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D2FF0">
      <w:pPr>
        <w:spacing w:line="276" w:lineRule="auto"/>
        <w:jc w:val="center"/>
        <w:rPr>
          <w:rFonts w:ascii="仿宋" w:hAnsi="仿宋" w:eastAsia="仿宋" w:cs="Times New Roman"/>
          <w:b/>
          <w:color w:val="000000"/>
          <w:w w:val="80"/>
          <w:sz w:val="72"/>
          <w:szCs w:val="72"/>
          <w:highlight w:val="yellow"/>
        </w:rPr>
      </w:pPr>
      <w:bookmarkStart w:id="0" w:name="_Hlk24613880"/>
    </w:p>
    <w:p w14:paraId="6C2505E4">
      <w:pPr>
        <w:spacing w:line="276" w:lineRule="auto"/>
        <w:jc w:val="center"/>
        <w:rPr>
          <w:rFonts w:ascii="仿宋" w:hAnsi="仿宋" w:eastAsia="仿宋" w:cs="Times New Roman"/>
          <w:b/>
          <w:color w:val="000000"/>
          <w:w w:val="80"/>
          <w:sz w:val="72"/>
          <w:szCs w:val="72"/>
          <w:highlight w:val="yellow"/>
        </w:rPr>
      </w:pPr>
    </w:p>
    <w:p w14:paraId="635FF7C2">
      <w:pPr>
        <w:spacing w:line="276" w:lineRule="auto"/>
        <w:jc w:val="center"/>
        <w:rPr>
          <w:rFonts w:ascii="仿宋" w:hAnsi="仿宋" w:eastAsia="仿宋" w:cs="Times New Roman"/>
          <w:b/>
          <w:color w:val="000000"/>
          <w:w w:val="80"/>
          <w:sz w:val="72"/>
          <w:szCs w:val="72"/>
          <w:highlight w:val="yellow"/>
        </w:rPr>
      </w:pPr>
    </w:p>
    <w:p w14:paraId="73B0B819">
      <w:pPr>
        <w:spacing w:line="276" w:lineRule="auto"/>
        <w:jc w:val="center"/>
        <w:rPr>
          <w:rFonts w:hint="eastAsia" w:ascii="仿宋" w:hAnsi="仿宋" w:eastAsia="仿宋" w:cs="Times New Roman"/>
          <w:b/>
          <w:color w:val="auto"/>
          <w:w w:val="80"/>
          <w:sz w:val="64"/>
          <w:szCs w:val="64"/>
          <w:highlight w:val="yellow"/>
          <w:lang w:eastAsia="zh-CN"/>
        </w:rPr>
      </w:pPr>
      <w:r>
        <w:rPr>
          <w:rFonts w:hint="eastAsia" w:ascii="仿宋" w:hAnsi="仿宋" w:eastAsia="仿宋" w:cs="Times New Roman"/>
          <w:b/>
          <w:color w:val="auto"/>
          <w:w w:val="80"/>
          <w:sz w:val="64"/>
          <w:szCs w:val="64"/>
          <w:lang w:eastAsia="zh-CN"/>
        </w:rPr>
        <w:t>浙江中凯实业有限公司</w:t>
      </w:r>
    </w:p>
    <w:p w14:paraId="5D938321">
      <w:pPr>
        <w:spacing w:line="276" w:lineRule="auto"/>
        <w:jc w:val="center"/>
        <w:rPr>
          <w:rFonts w:ascii="宋体" w:hAnsi="宋体" w:eastAsia="宋体" w:cs="宋体"/>
          <w:b/>
          <w:color w:val="auto"/>
          <w:sz w:val="52"/>
          <w:szCs w:val="52"/>
        </w:rPr>
      </w:pPr>
      <w:r>
        <w:rPr>
          <w:rFonts w:hint="eastAsia" w:ascii="宋体" w:hAnsi="宋体" w:eastAsia="宋体" w:cs="宋体"/>
          <w:b/>
          <w:color w:val="auto"/>
          <w:sz w:val="52"/>
          <w:szCs w:val="52"/>
        </w:rPr>
        <w:t xml:space="preserve"> </w:t>
      </w:r>
    </w:p>
    <w:p w14:paraId="7F1A6020">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质</w:t>
      </w:r>
    </w:p>
    <w:p w14:paraId="31E6B558">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量</w:t>
      </w:r>
    </w:p>
    <w:p w14:paraId="7AC7C569">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诚</w:t>
      </w:r>
    </w:p>
    <w:p w14:paraId="5CED422E">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信</w:t>
      </w:r>
    </w:p>
    <w:p w14:paraId="1510D46D">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报</w:t>
      </w:r>
    </w:p>
    <w:p w14:paraId="41B21AC9">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告</w:t>
      </w:r>
    </w:p>
    <w:p w14:paraId="68BA6BE8">
      <w:pPr>
        <w:spacing w:line="276" w:lineRule="auto"/>
        <w:ind w:firstLine="3900" w:firstLineChars="750"/>
        <w:rPr>
          <w:rFonts w:ascii="宋体" w:hAnsi="宋体" w:eastAsia="宋体" w:cs="宋体"/>
          <w:color w:val="auto"/>
          <w:sz w:val="52"/>
          <w:szCs w:val="52"/>
        </w:rPr>
      </w:pPr>
    </w:p>
    <w:p w14:paraId="52CA89C8">
      <w:pPr>
        <w:spacing w:line="276" w:lineRule="auto"/>
        <w:ind w:firstLine="3900" w:firstLineChars="750"/>
        <w:rPr>
          <w:rFonts w:ascii="宋体" w:hAnsi="宋体" w:eastAsia="宋体" w:cs="宋体"/>
          <w:color w:val="auto"/>
          <w:sz w:val="52"/>
          <w:szCs w:val="52"/>
        </w:rPr>
      </w:pPr>
    </w:p>
    <w:p w14:paraId="3F14AA14">
      <w:pPr>
        <w:spacing w:before="40" w:after="40" w:line="276" w:lineRule="auto"/>
        <w:jc w:val="center"/>
        <w:rPr>
          <w:rFonts w:ascii="宋体" w:hAnsi="宋体" w:eastAsia="宋体" w:cs="宋体"/>
          <w:color w:val="auto"/>
          <w:sz w:val="36"/>
          <w:szCs w:val="36"/>
        </w:rPr>
      </w:pPr>
      <w:r>
        <w:rPr>
          <w:rFonts w:hint="eastAsia" w:ascii="宋体" w:hAnsi="宋体" w:eastAsia="宋体" w:cs="宋体"/>
          <w:color w:val="auto"/>
          <w:sz w:val="36"/>
          <w:szCs w:val="36"/>
        </w:rPr>
        <w:t>报告日期：</w:t>
      </w:r>
      <w:r>
        <w:rPr>
          <w:rFonts w:ascii="宋体" w:hAnsi="宋体" w:eastAsia="宋体" w:cs="宋体"/>
          <w:color w:val="auto"/>
          <w:sz w:val="36"/>
          <w:szCs w:val="36"/>
        </w:rPr>
        <w:t>202</w:t>
      </w:r>
      <w:r>
        <w:rPr>
          <w:rFonts w:hint="eastAsia" w:ascii="宋体" w:hAnsi="宋体" w:eastAsia="宋体" w:cs="宋体"/>
          <w:color w:val="auto"/>
          <w:sz w:val="36"/>
          <w:szCs w:val="36"/>
          <w:lang w:val="en-US" w:eastAsia="zh-CN"/>
        </w:rPr>
        <w:t>6</w:t>
      </w:r>
      <w:r>
        <w:rPr>
          <w:rFonts w:hint="eastAsia" w:ascii="宋体" w:hAnsi="宋体" w:eastAsia="宋体" w:cs="宋体"/>
          <w:color w:val="auto"/>
          <w:sz w:val="36"/>
          <w:szCs w:val="36"/>
        </w:rPr>
        <w:t>年</w:t>
      </w:r>
      <w:r>
        <w:rPr>
          <w:rFonts w:hint="eastAsia" w:ascii="宋体" w:hAnsi="宋体" w:eastAsia="宋体" w:cs="宋体"/>
          <w:color w:val="auto"/>
          <w:sz w:val="36"/>
          <w:szCs w:val="36"/>
          <w:lang w:val="en-US" w:eastAsia="zh-CN"/>
        </w:rPr>
        <w:t>1</w:t>
      </w:r>
      <w:r>
        <w:rPr>
          <w:rFonts w:hint="eastAsia" w:ascii="宋体" w:hAnsi="宋体" w:eastAsia="宋体" w:cs="宋体"/>
          <w:color w:val="auto"/>
          <w:sz w:val="36"/>
          <w:szCs w:val="36"/>
        </w:rPr>
        <w:t>月</w:t>
      </w:r>
    </w:p>
    <w:bookmarkEnd w:id="0"/>
    <w:p w14:paraId="16CD94BD">
      <w:pPr>
        <w:spacing w:before="40" w:after="40" w:line="276" w:lineRule="auto"/>
        <w:jc w:val="center"/>
        <w:rPr>
          <w:rFonts w:ascii="宋体" w:hAnsi="宋体" w:eastAsia="宋体" w:cs="宋体"/>
          <w:color w:val="auto"/>
          <w:sz w:val="36"/>
          <w:szCs w:val="36"/>
        </w:rPr>
      </w:pPr>
    </w:p>
    <w:sdt>
      <w:sdtPr>
        <w:rPr>
          <w:rFonts w:ascii="宋体" w:hAnsi="宋体" w:eastAsia="宋体"/>
          <w:b/>
          <w:bCs/>
          <w:color w:val="auto"/>
          <w:sz w:val="36"/>
          <w:szCs w:val="36"/>
        </w:rPr>
        <w:id w:val="147479737"/>
        <w:docPartObj>
          <w:docPartGallery w:val="Table of Contents"/>
          <w:docPartUnique/>
        </w:docPartObj>
      </w:sdtPr>
      <w:sdtEndPr>
        <w:rPr>
          <w:rFonts w:ascii="宋体" w:hAnsi="宋体" w:eastAsia="宋体" w:cs="宋体"/>
          <w:b/>
          <w:bCs/>
          <w:color w:val="auto"/>
          <w:sz w:val="21"/>
          <w:szCs w:val="36"/>
        </w:rPr>
      </w:sdtEndPr>
      <w:sdtContent>
        <w:p w14:paraId="67CFD779">
          <w:pPr>
            <w:jc w:val="center"/>
            <w:rPr>
              <w:b/>
              <w:bCs/>
              <w:color w:val="auto"/>
              <w:sz w:val="36"/>
              <w:szCs w:val="36"/>
            </w:rPr>
          </w:pPr>
          <w:r>
            <w:rPr>
              <w:rFonts w:ascii="宋体" w:hAnsi="宋体" w:eastAsia="宋体"/>
              <w:b/>
              <w:bCs/>
              <w:color w:val="auto"/>
              <w:sz w:val="36"/>
              <w:szCs w:val="36"/>
            </w:rPr>
            <w:t>目录</w:t>
          </w:r>
        </w:p>
        <w:p w14:paraId="2B8A1B5E">
          <w:pPr>
            <w:pStyle w:val="29"/>
            <w:tabs>
              <w:tab w:val="right" w:leader="dot" w:pos="8306"/>
            </w:tabs>
            <w:spacing w:line="360" w:lineRule="auto"/>
            <w:rPr>
              <w:color w:val="auto"/>
              <w:sz w:val="24"/>
              <w:szCs w:val="24"/>
            </w:rPr>
          </w:pPr>
          <w:r>
            <w:rPr>
              <w:rFonts w:ascii="宋体" w:hAnsi="宋体" w:eastAsia="宋体" w:cs="宋体"/>
              <w:color w:val="auto"/>
              <w:sz w:val="24"/>
              <w:szCs w:val="24"/>
            </w:rPr>
            <w:fldChar w:fldCharType="begin"/>
          </w:r>
          <w:r>
            <w:rPr>
              <w:rFonts w:ascii="宋体" w:hAnsi="宋体" w:eastAsia="宋体" w:cs="宋体"/>
              <w:color w:val="auto"/>
              <w:sz w:val="24"/>
              <w:szCs w:val="24"/>
            </w:rPr>
            <w:instrText xml:space="preserve">TOC \o "1-2" \h \u </w:instrText>
          </w:r>
          <w:r>
            <w:rPr>
              <w:rFonts w:ascii="宋体" w:hAnsi="宋体" w:eastAsia="宋体" w:cs="宋体"/>
              <w:color w:val="auto"/>
              <w:sz w:val="24"/>
              <w:szCs w:val="24"/>
            </w:rPr>
            <w:fldChar w:fldCharType="separate"/>
          </w:r>
          <w:r>
            <w:rPr>
              <w:color w:val="auto"/>
            </w:rPr>
            <w:fldChar w:fldCharType="begin"/>
          </w:r>
          <w:r>
            <w:rPr>
              <w:color w:val="auto"/>
            </w:rPr>
            <w:instrText xml:space="preserve"> HYPERLINK \l "_Toc16600" </w:instrText>
          </w:r>
          <w:r>
            <w:rPr>
              <w:color w:val="auto"/>
            </w:rPr>
            <w:fldChar w:fldCharType="separate"/>
          </w:r>
          <w:r>
            <w:rPr>
              <w:rFonts w:hint="eastAsia" w:cs="Times New Roman" w:asciiTheme="minorEastAsia" w:hAnsiTheme="minorEastAsia"/>
              <w:color w:val="auto"/>
              <w:kern w:val="0"/>
              <w:sz w:val="24"/>
              <w:szCs w:val="24"/>
            </w:rPr>
            <w:t>一、前  言</w:t>
          </w:r>
          <w:r>
            <w:rPr>
              <w:color w:val="auto"/>
              <w:sz w:val="24"/>
              <w:szCs w:val="24"/>
            </w:rPr>
            <w:tab/>
          </w:r>
          <w:r>
            <w:rPr>
              <w:color w:val="auto"/>
              <w:sz w:val="24"/>
              <w:szCs w:val="24"/>
            </w:rPr>
            <w:fldChar w:fldCharType="begin"/>
          </w:r>
          <w:r>
            <w:rPr>
              <w:color w:val="auto"/>
              <w:sz w:val="24"/>
              <w:szCs w:val="24"/>
            </w:rPr>
            <w:instrText xml:space="preserve"> PAGEREF _Toc16600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fldChar w:fldCharType="end"/>
          </w:r>
        </w:p>
        <w:p w14:paraId="6C48B9E4">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"_Toc18094" </w:instrText>
          </w:r>
          <w:r>
            <w:rPr>
              <w:color w:val="auto"/>
            </w:rPr>
            <w:fldChar w:fldCharType="separate"/>
          </w:r>
          <w:r>
            <w:rPr>
              <w:rFonts w:hint="eastAsia" w:cs="Times New Roman" w:asciiTheme="minorEastAsia" w:hAnsiTheme="minorEastAsia"/>
              <w:color w:val="auto"/>
              <w:kern w:val="0"/>
              <w:sz w:val="24"/>
              <w:szCs w:val="24"/>
            </w:rPr>
            <w:t>（一）编制说明</w:t>
          </w:r>
          <w:r>
            <w:rPr>
              <w:color w:val="auto"/>
              <w:sz w:val="24"/>
              <w:szCs w:val="24"/>
            </w:rPr>
            <w:tab/>
          </w:r>
          <w:r>
            <w:rPr>
              <w:color w:val="auto"/>
              <w:sz w:val="24"/>
              <w:szCs w:val="24"/>
            </w:rPr>
            <w:fldChar w:fldCharType="begin"/>
          </w:r>
          <w:r>
            <w:rPr>
              <w:color w:val="auto"/>
              <w:sz w:val="24"/>
              <w:szCs w:val="24"/>
            </w:rPr>
            <w:instrText xml:space="preserve"> PAGEREF _Toc18094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fldChar w:fldCharType="end"/>
          </w:r>
        </w:p>
        <w:p w14:paraId="3D104A60">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"_Toc13821" </w:instrText>
          </w:r>
          <w:r>
            <w:rPr>
              <w:color w:val="auto"/>
            </w:rPr>
            <w:fldChar w:fldCharType="separate"/>
          </w:r>
          <w:r>
            <w:rPr>
              <w:rFonts w:hint="eastAsia" w:cs="Times New Roman" w:asciiTheme="minorEastAsia" w:hAnsiTheme="minorEastAsia"/>
              <w:color w:val="auto"/>
              <w:kern w:val="0"/>
              <w:sz w:val="24"/>
              <w:szCs w:val="24"/>
            </w:rPr>
            <w:t>（二）总经理致辞</w:t>
          </w:r>
          <w:r>
            <w:rPr>
              <w:color w:val="auto"/>
              <w:sz w:val="24"/>
              <w:szCs w:val="24"/>
            </w:rPr>
            <w:tab/>
          </w:r>
          <w:r>
            <w:rPr>
              <w:color w:val="auto"/>
              <w:sz w:val="24"/>
              <w:szCs w:val="24"/>
            </w:rPr>
            <w:fldChar w:fldCharType="begin"/>
          </w:r>
          <w:r>
            <w:rPr>
              <w:color w:val="auto"/>
              <w:sz w:val="24"/>
              <w:szCs w:val="24"/>
            </w:rPr>
            <w:instrText xml:space="preserve"> PAGEREF _Toc13821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fldChar w:fldCharType="end"/>
          </w:r>
        </w:p>
        <w:p w14:paraId="35022A1B">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"_Toc13647" </w:instrText>
          </w:r>
          <w:r>
            <w:rPr>
              <w:color w:val="auto"/>
            </w:rPr>
            <w:fldChar w:fldCharType="separate"/>
          </w:r>
          <w:r>
            <w:rPr>
              <w:rFonts w:hint="eastAsia" w:cs="Times New Roman" w:asciiTheme="minorEastAsia" w:hAnsiTheme="minorEastAsia"/>
              <w:color w:val="auto"/>
              <w:kern w:val="0"/>
              <w:sz w:val="24"/>
              <w:szCs w:val="24"/>
            </w:rPr>
            <w:t>（三）公司简介</w:t>
          </w:r>
          <w:r>
            <w:rPr>
              <w:color w:val="auto"/>
              <w:sz w:val="24"/>
              <w:szCs w:val="24"/>
            </w:rPr>
            <w:tab/>
          </w:r>
          <w:r>
            <w:rPr>
              <w:color w:val="auto"/>
              <w:sz w:val="24"/>
              <w:szCs w:val="24"/>
            </w:rPr>
            <w:fldChar w:fldCharType="begin"/>
          </w:r>
          <w:r>
            <w:rPr>
              <w:color w:val="auto"/>
              <w:sz w:val="24"/>
              <w:szCs w:val="24"/>
            </w:rPr>
            <w:instrText xml:space="preserve"> PAGEREF _Toc13647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fldChar w:fldCharType="end"/>
          </w:r>
        </w:p>
        <w:p w14:paraId="2F16107F">
          <w:pPr>
            <w:pStyle w:val="29"/>
            <w:tabs>
              <w:tab w:val="right" w:leader="dot" w:pos="8306"/>
            </w:tabs>
            <w:spacing w:line="360" w:lineRule="auto"/>
            <w:rPr>
              <w:color w:val="auto"/>
              <w:sz w:val="24"/>
              <w:szCs w:val="24"/>
            </w:rPr>
          </w:pPr>
          <w:r>
            <w:rPr>
              <w:color w:val="auto"/>
            </w:rPr>
            <w:fldChar w:fldCharType="begin"/>
          </w:r>
          <w:r>
            <w:rPr>
              <w:color w:val="auto"/>
            </w:rPr>
            <w:instrText xml:space="preserve"> HYPERLINK \l "_Toc8329" </w:instrText>
          </w:r>
          <w:r>
            <w:rPr>
              <w:color w:val="auto"/>
            </w:rPr>
            <w:fldChar w:fldCharType="separate"/>
          </w:r>
          <w:r>
            <w:rPr>
              <w:rFonts w:hint="eastAsia" w:cs="Times New Roman" w:asciiTheme="minorEastAsia" w:hAnsiTheme="minorEastAsia"/>
              <w:color w:val="auto"/>
              <w:kern w:val="0"/>
              <w:sz w:val="24"/>
              <w:szCs w:val="24"/>
            </w:rPr>
            <w:t>二、企业质量管理</w:t>
          </w:r>
          <w:r>
            <w:rPr>
              <w:color w:val="auto"/>
              <w:sz w:val="24"/>
              <w:szCs w:val="24"/>
            </w:rPr>
            <w:tab/>
          </w:r>
          <w:r>
            <w:rPr>
              <w:color w:val="auto"/>
              <w:sz w:val="24"/>
              <w:szCs w:val="24"/>
            </w:rPr>
            <w:fldChar w:fldCharType="begin"/>
          </w:r>
          <w:r>
            <w:rPr>
              <w:color w:val="auto"/>
              <w:sz w:val="24"/>
              <w:szCs w:val="24"/>
            </w:rPr>
            <w:instrText xml:space="preserve"> PAGEREF _Toc8329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fldChar w:fldCharType="end"/>
          </w:r>
        </w:p>
        <w:p w14:paraId="7C83A4EF">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"_Toc28792" </w:instrText>
          </w:r>
          <w:r>
            <w:rPr>
              <w:color w:val="auto"/>
            </w:rPr>
            <w:fldChar w:fldCharType="separate"/>
          </w:r>
          <w:r>
            <w:rPr>
              <w:rFonts w:hint="eastAsia" w:cs="Times New Roman" w:asciiTheme="minorEastAsia" w:hAnsiTheme="minorEastAsia"/>
              <w:color w:val="auto"/>
              <w:kern w:val="0"/>
              <w:sz w:val="24"/>
              <w:szCs w:val="24"/>
            </w:rPr>
            <w:t>（一）企业质量理念</w:t>
          </w:r>
          <w:r>
            <w:rPr>
              <w:color w:val="auto"/>
              <w:sz w:val="24"/>
              <w:szCs w:val="24"/>
            </w:rPr>
            <w:tab/>
          </w:r>
          <w:r>
            <w:rPr>
              <w:color w:val="auto"/>
              <w:sz w:val="24"/>
              <w:szCs w:val="24"/>
            </w:rPr>
            <w:fldChar w:fldCharType="begin"/>
          </w:r>
          <w:r>
            <w:rPr>
              <w:color w:val="auto"/>
              <w:sz w:val="24"/>
              <w:szCs w:val="24"/>
            </w:rPr>
            <w:instrText xml:space="preserve"> PAGEREF _Toc28792 </w:instrText>
          </w:r>
          <w:r>
            <w:rPr>
              <w:color w:val="auto"/>
              <w:sz w:val="24"/>
              <w:szCs w:val="24"/>
            </w:rPr>
            <w:fldChar w:fldCharType="separate"/>
          </w:r>
          <w:r>
            <w:rPr>
              <w:color w:val="auto"/>
              <w:sz w:val="24"/>
              <w:szCs w:val="24"/>
            </w:rPr>
            <w:t>4</w:t>
          </w:r>
          <w:r>
            <w:rPr>
              <w:color w:val="auto"/>
              <w:sz w:val="24"/>
              <w:szCs w:val="24"/>
            </w:rPr>
            <w:fldChar w:fldCharType="end"/>
          </w:r>
          <w:r>
            <w:rPr>
              <w:color w:val="auto"/>
              <w:sz w:val="24"/>
              <w:szCs w:val="24"/>
            </w:rPr>
            <w:fldChar w:fldCharType="end"/>
          </w:r>
        </w:p>
        <w:p w14:paraId="615B6BFE">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"_Toc9290" </w:instrText>
          </w:r>
          <w:r>
            <w:rPr>
              <w:color w:val="auto"/>
            </w:rPr>
            <w:fldChar w:fldCharType="separate"/>
          </w:r>
          <w:r>
            <w:rPr>
              <w:rFonts w:hint="eastAsia" w:cs="Times New Roman" w:asciiTheme="minorEastAsia" w:hAnsiTheme="minorEastAsia"/>
              <w:color w:val="auto"/>
              <w:kern w:val="0"/>
              <w:sz w:val="24"/>
              <w:szCs w:val="24"/>
            </w:rPr>
            <w:t>（二）质量管理机构</w:t>
          </w:r>
          <w:r>
            <w:rPr>
              <w:color w:val="auto"/>
              <w:sz w:val="24"/>
              <w:szCs w:val="24"/>
            </w:rPr>
            <w:tab/>
          </w:r>
          <w:r>
            <w:rPr>
              <w:color w:val="auto"/>
              <w:sz w:val="24"/>
              <w:szCs w:val="24"/>
            </w:rPr>
            <w:fldChar w:fldCharType="begin"/>
          </w:r>
          <w:r>
            <w:rPr>
              <w:color w:val="auto"/>
              <w:sz w:val="24"/>
              <w:szCs w:val="24"/>
            </w:rPr>
            <w:instrText xml:space="preserve"> PAGEREF _Toc9290 </w:instrText>
          </w:r>
          <w:r>
            <w:rPr>
              <w:color w:val="auto"/>
              <w:sz w:val="24"/>
              <w:szCs w:val="24"/>
            </w:rPr>
            <w:fldChar w:fldCharType="separate"/>
          </w:r>
          <w:r>
            <w:rPr>
              <w:color w:val="auto"/>
              <w:sz w:val="24"/>
              <w:szCs w:val="24"/>
            </w:rPr>
            <w:t>5</w:t>
          </w:r>
          <w:r>
            <w:rPr>
              <w:color w:val="auto"/>
              <w:sz w:val="24"/>
              <w:szCs w:val="24"/>
            </w:rPr>
            <w:fldChar w:fldCharType="end"/>
          </w:r>
          <w:r>
            <w:rPr>
              <w:color w:val="auto"/>
              <w:sz w:val="24"/>
              <w:szCs w:val="24"/>
            </w:rPr>
            <w:fldChar w:fldCharType="end"/>
          </w:r>
        </w:p>
        <w:p w14:paraId="0B4AE331">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"_Toc21673" </w:instrText>
          </w:r>
          <w:r>
            <w:rPr>
              <w:color w:val="auto"/>
            </w:rPr>
            <w:fldChar w:fldCharType="separate"/>
          </w:r>
          <w:r>
            <w:rPr>
              <w:rFonts w:hint="eastAsia" w:cs="Times New Roman" w:asciiTheme="minorEastAsia" w:hAnsiTheme="minorEastAsia"/>
              <w:color w:val="auto"/>
              <w:kern w:val="0"/>
              <w:sz w:val="24"/>
              <w:szCs w:val="24"/>
            </w:rPr>
            <w:t>（三）质量管理体系</w:t>
          </w:r>
          <w:r>
            <w:rPr>
              <w:color w:val="auto"/>
              <w:sz w:val="24"/>
              <w:szCs w:val="24"/>
            </w:rPr>
            <w:tab/>
          </w:r>
          <w:r>
            <w:rPr>
              <w:color w:val="auto"/>
              <w:sz w:val="24"/>
              <w:szCs w:val="24"/>
            </w:rPr>
            <w:fldChar w:fldCharType="begin"/>
          </w:r>
          <w:r>
            <w:rPr>
              <w:color w:val="auto"/>
              <w:sz w:val="24"/>
              <w:szCs w:val="24"/>
            </w:rPr>
            <w:instrText xml:space="preserve"> PAGEREF _Toc21673 </w:instrText>
          </w:r>
          <w:r>
            <w:rPr>
              <w:color w:val="auto"/>
              <w:sz w:val="24"/>
              <w:szCs w:val="24"/>
            </w:rPr>
            <w:fldChar w:fldCharType="separate"/>
          </w:r>
          <w:r>
            <w:rPr>
              <w:color w:val="auto"/>
              <w:sz w:val="24"/>
              <w:szCs w:val="24"/>
            </w:rPr>
            <w:t>5</w:t>
          </w:r>
          <w:r>
            <w:rPr>
              <w:color w:val="auto"/>
              <w:sz w:val="24"/>
              <w:szCs w:val="24"/>
            </w:rPr>
            <w:fldChar w:fldCharType="end"/>
          </w:r>
          <w:r>
            <w:rPr>
              <w:color w:val="auto"/>
              <w:sz w:val="24"/>
              <w:szCs w:val="24"/>
            </w:rPr>
            <w:fldChar w:fldCharType="end"/>
          </w:r>
        </w:p>
        <w:p w14:paraId="52FA8233">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"_Toc31735" </w:instrText>
          </w:r>
          <w:r>
            <w:rPr>
              <w:color w:val="auto"/>
            </w:rPr>
            <w:fldChar w:fldCharType="separate"/>
          </w:r>
          <w:r>
            <w:rPr>
              <w:rFonts w:hint="eastAsia" w:cs="Times New Roman" w:asciiTheme="minorEastAsia" w:hAnsiTheme="minorEastAsia"/>
              <w:color w:val="auto"/>
              <w:kern w:val="0"/>
              <w:sz w:val="24"/>
              <w:szCs w:val="24"/>
            </w:rPr>
            <w:t>（四）质量诚信管理</w:t>
          </w:r>
          <w:r>
            <w:rPr>
              <w:color w:val="auto"/>
              <w:sz w:val="24"/>
              <w:szCs w:val="24"/>
            </w:rPr>
            <w:tab/>
          </w:r>
          <w:r>
            <w:rPr>
              <w:color w:val="auto"/>
              <w:sz w:val="24"/>
              <w:szCs w:val="24"/>
            </w:rPr>
            <w:fldChar w:fldCharType="begin"/>
          </w:r>
          <w:r>
            <w:rPr>
              <w:color w:val="auto"/>
              <w:sz w:val="24"/>
              <w:szCs w:val="24"/>
            </w:rPr>
            <w:instrText xml:space="preserve"> PAGEREF _Toc31735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fldChar w:fldCharType="end"/>
          </w:r>
        </w:p>
        <w:p w14:paraId="6F61CF97">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"_Toc18678" </w:instrText>
          </w:r>
          <w:r>
            <w:rPr>
              <w:color w:val="auto"/>
            </w:rPr>
            <w:fldChar w:fldCharType="separate"/>
          </w:r>
          <w:r>
            <w:rPr>
              <w:rFonts w:hint="eastAsia" w:cs="Times New Roman" w:asciiTheme="minorEastAsia" w:hAnsiTheme="minorEastAsia"/>
              <w:color w:val="auto"/>
              <w:kern w:val="0"/>
              <w:sz w:val="24"/>
              <w:szCs w:val="24"/>
            </w:rPr>
            <w:t>（五）企业文化建设</w:t>
          </w:r>
          <w:r>
            <w:rPr>
              <w:color w:val="auto"/>
              <w:sz w:val="24"/>
              <w:szCs w:val="24"/>
            </w:rPr>
            <w:tab/>
          </w:r>
          <w:r>
            <w:rPr>
              <w:color w:val="auto"/>
              <w:sz w:val="24"/>
              <w:szCs w:val="24"/>
            </w:rPr>
            <w:fldChar w:fldCharType="begin"/>
          </w:r>
          <w:r>
            <w:rPr>
              <w:color w:val="auto"/>
              <w:sz w:val="24"/>
              <w:szCs w:val="24"/>
            </w:rPr>
            <w:instrText xml:space="preserve"> PAGEREF _Toc18678 </w:instrText>
          </w:r>
          <w:r>
            <w:rPr>
              <w:color w:val="auto"/>
              <w:sz w:val="24"/>
              <w:szCs w:val="24"/>
            </w:rPr>
            <w:fldChar w:fldCharType="separate"/>
          </w:r>
          <w:r>
            <w:rPr>
              <w:color w:val="auto"/>
              <w:sz w:val="24"/>
              <w:szCs w:val="24"/>
            </w:rPr>
            <w:t>12</w:t>
          </w:r>
          <w:r>
            <w:rPr>
              <w:color w:val="auto"/>
              <w:sz w:val="24"/>
              <w:szCs w:val="24"/>
            </w:rPr>
            <w:fldChar w:fldCharType="end"/>
          </w:r>
          <w:r>
            <w:rPr>
              <w:color w:val="auto"/>
              <w:sz w:val="24"/>
              <w:szCs w:val="24"/>
            </w:rPr>
            <w:fldChar w:fldCharType="end"/>
          </w:r>
        </w:p>
        <w:p w14:paraId="1665D7BB">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"_Toc5299" </w:instrText>
          </w:r>
          <w:r>
            <w:rPr>
              <w:color w:val="auto"/>
            </w:rPr>
            <w:fldChar w:fldCharType="separate"/>
          </w:r>
          <w:r>
            <w:rPr>
              <w:rFonts w:hint="eastAsia" w:cs="Times New Roman" w:asciiTheme="minorEastAsia" w:hAnsiTheme="minorEastAsia"/>
              <w:color w:val="auto"/>
              <w:kern w:val="0"/>
              <w:sz w:val="24"/>
              <w:szCs w:val="24"/>
            </w:rPr>
            <w:t>（六）企业技术水平</w:t>
          </w:r>
          <w:r>
            <w:rPr>
              <w:color w:val="auto"/>
              <w:sz w:val="24"/>
              <w:szCs w:val="24"/>
            </w:rPr>
            <w:tab/>
          </w:r>
          <w:r>
            <w:rPr>
              <w:color w:val="auto"/>
              <w:sz w:val="24"/>
              <w:szCs w:val="24"/>
            </w:rPr>
            <w:fldChar w:fldCharType="begin"/>
          </w:r>
          <w:r>
            <w:rPr>
              <w:color w:val="auto"/>
              <w:sz w:val="24"/>
              <w:szCs w:val="24"/>
            </w:rPr>
            <w:instrText xml:space="preserve"> PAGEREF _Toc5299 </w:instrText>
          </w:r>
          <w:r>
            <w:rPr>
              <w:color w:val="auto"/>
              <w:sz w:val="24"/>
              <w:szCs w:val="24"/>
            </w:rPr>
            <w:fldChar w:fldCharType="separate"/>
          </w:r>
          <w:r>
            <w:rPr>
              <w:color w:val="auto"/>
              <w:sz w:val="24"/>
              <w:szCs w:val="24"/>
            </w:rPr>
            <w:t>12</w:t>
          </w:r>
          <w:r>
            <w:rPr>
              <w:color w:val="auto"/>
              <w:sz w:val="24"/>
              <w:szCs w:val="24"/>
            </w:rPr>
            <w:fldChar w:fldCharType="end"/>
          </w:r>
          <w:r>
            <w:rPr>
              <w:color w:val="auto"/>
              <w:sz w:val="24"/>
              <w:szCs w:val="24"/>
            </w:rPr>
            <w:fldChar w:fldCharType="end"/>
          </w:r>
        </w:p>
        <w:p w14:paraId="5C11EEC8">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"_Toc26372" </w:instrText>
          </w:r>
          <w:r>
            <w:rPr>
              <w:color w:val="auto"/>
            </w:rPr>
            <w:fldChar w:fldCharType="separate"/>
          </w:r>
          <w:r>
            <w:rPr>
              <w:rFonts w:hint="eastAsia" w:cs="Times New Roman" w:asciiTheme="minorEastAsia" w:hAnsiTheme="minorEastAsia"/>
              <w:color w:val="auto"/>
              <w:kern w:val="0"/>
              <w:sz w:val="24"/>
              <w:szCs w:val="24"/>
            </w:rPr>
            <w:t>（七）企业计量水平</w:t>
          </w:r>
          <w:r>
            <w:rPr>
              <w:color w:val="auto"/>
              <w:sz w:val="24"/>
              <w:szCs w:val="24"/>
            </w:rPr>
            <w:tab/>
          </w:r>
          <w:r>
            <w:rPr>
              <w:color w:val="auto"/>
              <w:sz w:val="24"/>
              <w:szCs w:val="24"/>
            </w:rPr>
            <w:fldChar w:fldCharType="begin"/>
          </w:r>
          <w:r>
            <w:rPr>
              <w:color w:val="auto"/>
              <w:sz w:val="24"/>
              <w:szCs w:val="24"/>
            </w:rPr>
            <w:instrText xml:space="preserve"> PAGEREF _Toc26372 </w:instrText>
          </w:r>
          <w:r>
            <w:rPr>
              <w:color w:val="auto"/>
              <w:sz w:val="24"/>
              <w:szCs w:val="24"/>
            </w:rPr>
            <w:fldChar w:fldCharType="separate"/>
          </w:r>
          <w:r>
            <w:rPr>
              <w:color w:val="auto"/>
              <w:sz w:val="24"/>
              <w:szCs w:val="24"/>
            </w:rPr>
            <w:t>13</w:t>
          </w:r>
          <w:r>
            <w:rPr>
              <w:color w:val="auto"/>
              <w:sz w:val="24"/>
              <w:szCs w:val="24"/>
            </w:rPr>
            <w:fldChar w:fldCharType="end"/>
          </w:r>
          <w:r>
            <w:rPr>
              <w:color w:val="auto"/>
              <w:sz w:val="24"/>
              <w:szCs w:val="24"/>
            </w:rPr>
            <w:fldChar w:fldCharType="end"/>
          </w:r>
        </w:p>
        <w:p w14:paraId="3702644B">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"_Toc9831" </w:instrText>
          </w:r>
          <w:r>
            <w:rPr>
              <w:color w:val="auto"/>
            </w:rPr>
            <w:fldChar w:fldCharType="separate"/>
          </w:r>
          <w:r>
            <w:rPr>
              <w:rFonts w:hint="eastAsia" w:cs="Times New Roman" w:asciiTheme="minorEastAsia" w:hAnsiTheme="minorEastAsia"/>
              <w:color w:val="auto"/>
              <w:kern w:val="0"/>
              <w:sz w:val="24"/>
              <w:szCs w:val="24"/>
            </w:rPr>
            <w:t>（八）认证认可情况</w:t>
          </w:r>
          <w:r>
            <w:rPr>
              <w:color w:val="auto"/>
              <w:sz w:val="24"/>
              <w:szCs w:val="24"/>
            </w:rPr>
            <w:tab/>
          </w:r>
          <w:r>
            <w:rPr>
              <w:color w:val="auto"/>
              <w:sz w:val="24"/>
              <w:szCs w:val="24"/>
            </w:rPr>
            <w:fldChar w:fldCharType="begin"/>
          </w:r>
          <w:r>
            <w:rPr>
              <w:color w:val="auto"/>
              <w:sz w:val="24"/>
              <w:szCs w:val="24"/>
            </w:rPr>
            <w:instrText xml:space="preserve"> PAGEREF _Toc9831 </w:instrText>
          </w:r>
          <w:r>
            <w:rPr>
              <w:color w:val="auto"/>
              <w:sz w:val="24"/>
              <w:szCs w:val="24"/>
            </w:rPr>
            <w:fldChar w:fldCharType="separate"/>
          </w:r>
          <w:r>
            <w:rPr>
              <w:color w:val="auto"/>
              <w:sz w:val="24"/>
              <w:szCs w:val="24"/>
            </w:rPr>
            <w:t>13</w:t>
          </w:r>
          <w:r>
            <w:rPr>
              <w:color w:val="auto"/>
              <w:sz w:val="24"/>
              <w:szCs w:val="24"/>
            </w:rPr>
            <w:fldChar w:fldCharType="end"/>
          </w:r>
          <w:r>
            <w:rPr>
              <w:color w:val="auto"/>
              <w:sz w:val="24"/>
              <w:szCs w:val="24"/>
            </w:rPr>
            <w:fldChar w:fldCharType="end"/>
          </w:r>
        </w:p>
        <w:p w14:paraId="71CE71D3">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"_Toc110" </w:instrText>
          </w:r>
          <w:r>
            <w:rPr>
              <w:color w:val="auto"/>
            </w:rPr>
            <w:fldChar w:fldCharType="separate"/>
          </w:r>
          <w:r>
            <w:rPr>
              <w:rFonts w:hint="eastAsia" w:cs="Times New Roman" w:asciiTheme="minorEastAsia" w:hAnsiTheme="minorEastAsia"/>
              <w:color w:val="auto"/>
              <w:kern w:val="0"/>
              <w:sz w:val="24"/>
              <w:szCs w:val="24"/>
            </w:rPr>
            <w:t>（九）产品质量承诺</w:t>
          </w:r>
          <w:r>
            <w:rPr>
              <w:color w:val="auto"/>
              <w:sz w:val="24"/>
              <w:szCs w:val="24"/>
            </w:rPr>
            <w:tab/>
          </w:r>
          <w:r>
            <w:rPr>
              <w:color w:val="auto"/>
              <w:sz w:val="24"/>
              <w:szCs w:val="24"/>
            </w:rPr>
            <w:fldChar w:fldCharType="begin"/>
          </w:r>
          <w:r>
            <w:rPr>
              <w:color w:val="auto"/>
              <w:sz w:val="24"/>
              <w:szCs w:val="24"/>
            </w:rPr>
            <w:instrText xml:space="preserve"> PAGEREF _Toc110 </w:instrText>
          </w:r>
          <w:r>
            <w:rPr>
              <w:color w:val="auto"/>
              <w:sz w:val="24"/>
              <w:szCs w:val="24"/>
            </w:rPr>
            <w:fldChar w:fldCharType="separate"/>
          </w:r>
          <w:r>
            <w:rPr>
              <w:color w:val="auto"/>
              <w:sz w:val="24"/>
              <w:szCs w:val="24"/>
            </w:rPr>
            <w:t>13</w:t>
          </w:r>
          <w:r>
            <w:rPr>
              <w:color w:val="auto"/>
              <w:sz w:val="24"/>
              <w:szCs w:val="24"/>
            </w:rPr>
            <w:fldChar w:fldCharType="end"/>
          </w:r>
          <w:r>
            <w:rPr>
              <w:color w:val="auto"/>
              <w:sz w:val="24"/>
              <w:szCs w:val="24"/>
            </w:rPr>
            <w:fldChar w:fldCharType="end"/>
          </w:r>
        </w:p>
        <w:p w14:paraId="17F1B107">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"_Toc14390" </w:instrText>
          </w:r>
          <w:r>
            <w:rPr>
              <w:color w:val="auto"/>
            </w:rPr>
            <w:fldChar w:fldCharType="separate"/>
          </w:r>
          <w:r>
            <w:rPr>
              <w:rFonts w:hint="eastAsia" w:cs="Times New Roman" w:asciiTheme="minorEastAsia" w:hAnsiTheme="minorEastAsia"/>
              <w:color w:val="auto"/>
              <w:kern w:val="0"/>
              <w:sz w:val="24"/>
              <w:szCs w:val="24"/>
            </w:rPr>
            <w:t>（十）质量投诉处理</w:t>
          </w:r>
          <w:r>
            <w:rPr>
              <w:color w:val="auto"/>
              <w:sz w:val="24"/>
              <w:szCs w:val="24"/>
            </w:rPr>
            <w:tab/>
          </w:r>
          <w:r>
            <w:rPr>
              <w:color w:val="auto"/>
              <w:sz w:val="24"/>
              <w:szCs w:val="24"/>
            </w:rPr>
            <w:fldChar w:fldCharType="begin"/>
          </w:r>
          <w:r>
            <w:rPr>
              <w:color w:val="auto"/>
              <w:sz w:val="24"/>
              <w:szCs w:val="24"/>
            </w:rPr>
            <w:instrText xml:space="preserve"> PAGEREF _Toc14390 </w:instrText>
          </w:r>
          <w:r>
            <w:rPr>
              <w:color w:val="auto"/>
              <w:sz w:val="24"/>
              <w:szCs w:val="24"/>
            </w:rPr>
            <w:fldChar w:fldCharType="separate"/>
          </w:r>
          <w:r>
            <w:rPr>
              <w:color w:val="auto"/>
              <w:sz w:val="24"/>
              <w:szCs w:val="24"/>
            </w:rPr>
            <w:t>13</w:t>
          </w:r>
          <w:r>
            <w:rPr>
              <w:color w:val="auto"/>
              <w:sz w:val="24"/>
              <w:szCs w:val="24"/>
            </w:rPr>
            <w:fldChar w:fldCharType="end"/>
          </w:r>
          <w:r>
            <w:rPr>
              <w:color w:val="auto"/>
              <w:sz w:val="24"/>
              <w:szCs w:val="24"/>
            </w:rPr>
            <w:fldChar w:fldCharType="end"/>
          </w:r>
        </w:p>
        <w:p w14:paraId="2E21194F">
          <w:pPr>
            <w:pStyle w:val="32"/>
            <w:tabs>
              <w:tab w:val="right" w:leader="dot" w:pos="8306"/>
            </w:tabs>
            <w:spacing w:line="360" w:lineRule="auto"/>
            <w:rPr>
              <w:color w:val="auto"/>
              <w:sz w:val="24"/>
              <w:szCs w:val="24"/>
            </w:rPr>
          </w:pPr>
          <w:r>
            <w:rPr>
              <w:color w:val="auto"/>
            </w:rPr>
            <w:fldChar w:fldCharType="begin"/>
          </w:r>
          <w:r>
            <w:rPr>
              <w:color w:val="auto"/>
            </w:rPr>
            <w:instrText xml:space="preserve"> HYPERLINK \l "_Toc21494" </w:instrText>
          </w:r>
          <w:r>
            <w:rPr>
              <w:color w:val="auto"/>
            </w:rPr>
            <w:fldChar w:fldCharType="separate"/>
          </w:r>
          <w:r>
            <w:rPr>
              <w:rFonts w:hint="eastAsia" w:cs="Times New Roman" w:asciiTheme="minorEastAsia" w:hAnsiTheme="minorEastAsia"/>
              <w:color w:val="auto"/>
              <w:kern w:val="0"/>
              <w:sz w:val="24"/>
              <w:szCs w:val="24"/>
            </w:rPr>
            <w:t>（十一）质量风险监测</w:t>
          </w:r>
          <w:r>
            <w:rPr>
              <w:color w:val="auto"/>
              <w:sz w:val="24"/>
              <w:szCs w:val="24"/>
            </w:rPr>
            <w:tab/>
          </w:r>
          <w:r>
            <w:rPr>
              <w:color w:val="auto"/>
              <w:sz w:val="24"/>
              <w:szCs w:val="24"/>
            </w:rPr>
            <w:fldChar w:fldCharType="begin"/>
          </w:r>
          <w:r>
            <w:rPr>
              <w:color w:val="auto"/>
              <w:sz w:val="24"/>
              <w:szCs w:val="24"/>
            </w:rPr>
            <w:instrText xml:space="preserve"> PAGEREF _Toc21494 </w:instrText>
          </w:r>
          <w:r>
            <w:rPr>
              <w:color w:val="auto"/>
              <w:sz w:val="24"/>
              <w:szCs w:val="24"/>
            </w:rPr>
            <w:fldChar w:fldCharType="separate"/>
          </w:r>
          <w:r>
            <w:rPr>
              <w:color w:val="auto"/>
              <w:sz w:val="24"/>
              <w:szCs w:val="24"/>
            </w:rPr>
            <w:t>14</w:t>
          </w:r>
          <w:r>
            <w:rPr>
              <w:color w:val="auto"/>
              <w:sz w:val="24"/>
              <w:szCs w:val="24"/>
            </w:rPr>
            <w:fldChar w:fldCharType="end"/>
          </w:r>
          <w:r>
            <w:rPr>
              <w:color w:val="auto"/>
              <w:sz w:val="24"/>
              <w:szCs w:val="24"/>
            </w:rPr>
            <w:fldChar w:fldCharType="end"/>
          </w:r>
        </w:p>
        <w:p w14:paraId="46D4B547">
          <w:pPr>
            <w:pStyle w:val="29"/>
            <w:tabs>
              <w:tab w:val="right" w:leader="dot" w:pos="8306"/>
            </w:tabs>
            <w:spacing w:line="360" w:lineRule="auto"/>
            <w:rPr>
              <w:color w:val="auto"/>
              <w:sz w:val="24"/>
              <w:szCs w:val="24"/>
            </w:rPr>
          </w:pPr>
          <w:r>
            <w:rPr>
              <w:color w:val="auto"/>
            </w:rPr>
            <w:fldChar w:fldCharType="begin"/>
          </w:r>
          <w:r>
            <w:rPr>
              <w:color w:val="auto"/>
            </w:rPr>
            <w:instrText xml:space="preserve"> HYPERLINK \l "_Toc14688" </w:instrText>
          </w:r>
          <w:r>
            <w:rPr>
              <w:color w:val="auto"/>
            </w:rPr>
            <w:fldChar w:fldCharType="separate"/>
          </w:r>
          <w:r>
            <w:rPr>
              <w:rFonts w:hint="eastAsia" w:cs="Times New Roman" w:asciiTheme="minorEastAsia" w:hAnsiTheme="minorEastAsia"/>
              <w:color w:val="auto"/>
              <w:kern w:val="0"/>
              <w:sz w:val="24"/>
              <w:szCs w:val="24"/>
            </w:rPr>
            <w:t>三、展望</w:t>
          </w:r>
          <w:r>
            <w:rPr>
              <w:color w:val="auto"/>
              <w:sz w:val="24"/>
              <w:szCs w:val="24"/>
            </w:rPr>
            <w:tab/>
          </w:r>
          <w:r>
            <w:rPr>
              <w:color w:val="auto"/>
              <w:sz w:val="24"/>
              <w:szCs w:val="24"/>
            </w:rPr>
            <w:fldChar w:fldCharType="begin"/>
          </w:r>
          <w:r>
            <w:rPr>
              <w:color w:val="auto"/>
              <w:sz w:val="24"/>
              <w:szCs w:val="24"/>
            </w:rPr>
            <w:instrText xml:space="preserve"> PAGEREF _Toc14688 </w:instrText>
          </w:r>
          <w:r>
            <w:rPr>
              <w:color w:val="auto"/>
              <w:sz w:val="24"/>
              <w:szCs w:val="24"/>
            </w:rPr>
            <w:fldChar w:fldCharType="separate"/>
          </w:r>
          <w:r>
            <w:rPr>
              <w:color w:val="auto"/>
              <w:sz w:val="24"/>
              <w:szCs w:val="24"/>
            </w:rPr>
            <w:t>14</w:t>
          </w:r>
          <w:r>
            <w:rPr>
              <w:color w:val="auto"/>
              <w:sz w:val="24"/>
              <w:szCs w:val="24"/>
            </w:rPr>
            <w:fldChar w:fldCharType="end"/>
          </w:r>
          <w:r>
            <w:rPr>
              <w:color w:val="auto"/>
              <w:sz w:val="24"/>
              <w:szCs w:val="24"/>
            </w:rPr>
            <w:fldChar w:fldCharType="end"/>
          </w:r>
        </w:p>
        <w:p w14:paraId="693B4CDE">
          <w:pPr>
            <w:spacing w:before="40" w:after="40" w:line="360" w:lineRule="auto"/>
            <w:jc w:val="center"/>
            <w:rPr>
              <w:rFonts w:ascii="宋体" w:hAnsi="宋体" w:eastAsia="宋体" w:cs="宋体"/>
              <w:color w:val="auto"/>
              <w:szCs w:val="36"/>
            </w:rPr>
          </w:pPr>
          <w:r>
            <w:rPr>
              <w:rFonts w:ascii="宋体" w:hAnsi="宋体" w:eastAsia="宋体" w:cs="宋体"/>
              <w:color w:val="auto"/>
              <w:sz w:val="24"/>
              <w:szCs w:val="24"/>
            </w:rPr>
            <w:fldChar w:fldCharType="end"/>
          </w:r>
        </w:p>
      </w:sdtContent>
    </w:sdt>
    <w:p w14:paraId="2300C5F4">
      <w:pPr>
        <w:spacing w:line="360" w:lineRule="auto"/>
        <w:ind w:firstLine="480" w:firstLineChars="200"/>
        <w:rPr>
          <w:rFonts w:cs="Times New Roman" w:asciiTheme="minorEastAsia" w:hAnsiTheme="minorEastAsia"/>
          <w:color w:val="auto"/>
          <w:kern w:val="0"/>
          <w:sz w:val="24"/>
          <w:szCs w:val="24"/>
        </w:rPr>
      </w:pPr>
      <w:bookmarkStart w:id="1" w:name="_Toc451594564"/>
    </w:p>
    <w:p w14:paraId="6FB6EB4B">
      <w:pPr>
        <w:spacing w:line="360" w:lineRule="auto"/>
        <w:ind w:firstLine="480" w:firstLineChars="200"/>
        <w:outlineLvl w:val="0"/>
        <w:rPr>
          <w:rFonts w:cs="Times New Roman" w:asciiTheme="minorEastAsia" w:hAnsiTheme="minorEastAsia"/>
          <w:color w:val="auto"/>
          <w:kern w:val="0"/>
          <w:sz w:val="24"/>
          <w:szCs w:val="24"/>
        </w:rPr>
        <w:sectPr>
          <w:headerReference r:id="rId3" w:type="default"/>
          <w:footerReference r:id="rId4" w:type="default"/>
          <w:pgSz w:w="11906" w:h="16838"/>
          <w:pgMar w:top="1440" w:right="1800" w:bottom="1440" w:left="1800" w:header="851" w:footer="992" w:gutter="0"/>
          <w:cols w:space="425" w:num="1"/>
          <w:docGrid w:type="lines" w:linePitch="312" w:charSpace="0"/>
        </w:sectPr>
      </w:pPr>
      <w:bookmarkStart w:id="2" w:name="_Toc16600"/>
    </w:p>
    <w:p w14:paraId="576D8B4A">
      <w:pPr>
        <w:spacing w:line="360" w:lineRule="auto"/>
        <w:ind w:firstLine="480" w:firstLineChars="200"/>
        <w:outlineLvl w:val="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一、前  言</w:t>
      </w:r>
      <w:bookmarkEnd w:id="1"/>
      <w:bookmarkEnd w:id="2"/>
    </w:p>
    <w:p w14:paraId="20857738">
      <w:pPr>
        <w:spacing w:line="360" w:lineRule="auto"/>
        <w:ind w:firstLine="480" w:firstLineChars="200"/>
        <w:outlineLvl w:val="1"/>
        <w:rPr>
          <w:rFonts w:cs="Times New Roman" w:asciiTheme="minorEastAsia" w:hAnsiTheme="minorEastAsia"/>
          <w:color w:val="auto"/>
          <w:kern w:val="0"/>
          <w:sz w:val="24"/>
          <w:szCs w:val="24"/>
        </w:rPr>
      </w:pPr>
      <w:bookmarkStart w:id="3" w:name="_Toc18094"/>
      <w:r>
        <w:rPr>
          <w:rFonts w:hint="eastAsia" w:cs="Times New Roman" w:asciiTheme="minorEastAsia" w:hAnsiTheme="minorEastAsia"/>
          <w:color w:val="auto"/>
          <w:kern w:val="0"/>
          <w:sz w:val="24"/>
          <w:szCs w:val="24"/>
        </w:rPr>
        <w:t>（一）编制说明</w:t>
      </w:r>
      <w:bookmarkEnd w:id="3"/>
    </w:p>
    <w:p w14:paraId="3B3B50F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本报告为</w:t>
      </w:r>
      <w:r>
        <w:rPr>
          <w:rFonts w:hint="eastAsia" w:cs="Times New Roman" w:asciiTheme="minorEastAsia" w:hAnsiTheme="minorEastAsia"/>
          <w:color w:val="auto"/>
          <w:kern w:val="0"/>
          <w:sz w:val="24"/>
          <w:szCs w:val="24"/>
          <w:lang w:eastAsia="zh-CN"/>
        </w:rPr>
        <w:t>浙江中凯实业有限公司</w:t>
      </w:r>
      <w:r>
        <w:rPr>
          <w:rFonts w:hint="eastAsia" w:cs="Times New Roman" w:asciiTheme="minorEastAsia" w:hAnsiTheme="minorEastAsia"/>
          <w:color w:val="auto"/>
          <w:kern w:val="0"/>
          <w:sz w:val="24"/>
          <w:szCs w:val="24"/>
        </w:rPr>
        <w:t>（以下简称为“</w:t>
      </w:r>
      <w:r>
        <w:rPr>
          <w:rFonts w:hint="eastAsia" w:cs="Times New Roman" w:asciiTheme="minorEastAsia" w:hAnsiTheme="minorEastAsia"/>
          <w:color w:val="auto"/>
          <w:kern w:val="0"/>
          <w:sz w:val="24"/>
          <w:szCs w:val="24"/>
          <w:lang w:eastAsia="zh-CN"/>
        </w:rPr>
        <w:t>中凯实业</w:t>
      </w:r>
      <w:r>
        <w:rPr>
          <w:rFonts w:hint="eastAsia" w:cs="Times New Roman" w:asciiTheme="minorEastAsia" w:hAnsiTheme="minorEastAsia"/>
          <w:color w:val="auto"/>
          <w:kern w:val="0"/>
          <w:sz w:val="24"/>
          <w:szCs w:val="24"/>
        </w:rPr>
        <w:t>”</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lang w:val="en-US" w:eastAsia="zh-CN"/>
        </w:rPr>
        <w:t>中凯</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rPr>
        <w:t>或“公司”）首次公开发布的《企业质量诚信报告》，系根据中华人民共和国国家标准</w:t>
      </w:r>
      <w:r>
        <w:rPr>
          <w:rFonts w:cs="Times New Roman" w:asciiTheme="minorEastAsia" w:hAnsiTheme="minorEastAsia"/>
          <w:color w:val="auto"/>
          <w:kern w:val="0"/>
          <w:sz w:val="24"/>
          <w:szCs w:val="24"/>
        </w:rPr>
        <w:t>GB/T 29467-2012</w:t>
      </w:r>
      <w:r>
        <w:rPr>
          <w:rFonts w:hint="eastAsia" w:cs="Times New Roman" w:asciiTheme="minorEastAsia" w:hAnsiTheme="minorEastAsia"/>
          <w:color w:val="auto"/>
          <w:kern w:val="0"/>
          <w:sz w:val="24"/>
          <w:szCs w:val="24"/>
        </w:rPr>
        <w:t>《企业质量诚信管理实施规范》和GB/T 31870-2015《企业质量信用报告编写指南》的规定，结合本公司</w:t>
      </w:r>
      <w:r>
        <w:rPr>
          <w:rFonts w:cs="Times New Roman" w:asciiTheme="minorEastAsia" w:hAnsiTheme="minorEastAsia"/>
          <w:color w:val="auto"/>
          <w:kern w:val="0"/>
          <w:sz w:val="24"/>
          <w:szCs w:val="24"/>
        </w:rPr>
        <w:t>202</w:t>
      </w:r>
      <w:r>
        <w:rPr>
          <w:rFonts w:hint="eastAsia" w:cs="Times New Roman" w:asciiTheme="minorEastAsia" w:hAnsiTheme="minorEastAsia"/>
          <w:color w:val="auto"/>
          <w:kern w:val="0"/>
          <w:sz w:val="24"/>
          <w:szCs w:val="24"/>
          <w:lang w:val="en-US" w:eastAsia="zh-CN"/>
        </w:rPr>
        <w:t>4</w:t>
      </w:r>
      <w:r>
        <w:rPr>
          <w:rFonts w:hint="eastAsia" w:cs="Times New Roman" w:asciiTheme="minorEastAsia" w:hAnsiTheme="minorEastAsia"/>
          <w:color w:val="auto"/>
          <w:kern w:val="0"/>
          <w:sz w:val="24"/>
          <w:szCs w:val="24"/>
        </w:rPr>
        <w:t>年质量诚信体系建设情况编制而成。</w:t>
      </w:r>
    </w:p>
    <w:p w14:paraId="6D9D3731">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本公司保证本报告中所载资料在质量管理、产品质量责任、质量诚信管理等方面的理念、制度、采取的措施和取得的绩效等不存在任何虚假记载、误导性陈述，并对其内容的真实性、准确性承担责任。</w:t>
      </w:r>
    </w:p>
    <w:p w14:paraId="435B467D">
      <w:pPr>
        <w:spacing w:line="360" w:lineRule="auto"/>
        <w:ind w:firstLine="480" w:firstLineChars="200"/>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rPr>
        <w:t>报告组织范围：</w:t>
      </w:r>
      <w:r>
        <w:rPr>
          <w:rFonts w:hint="eastAsia" w:cs="Times New Roman" w:asciiTheme="minorEastAsia" w:hAnsiTheme="minorEastAsia"/>
          <w:color w:val="auto"/>
          <w:kern w:val="0"/>
          <w:sz w:val="24"/>
          <w:szCs w:val="24"/>
          <w:lang w:eastAsia="zh-CN"/>
        </w:rPr>
        <w:t>浙江中凯实业有限公司</w:t>
      </w:r>
    </w:p>
    <w:p w14:paraId="1FAC14A3">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报告发布时间：202</w:t>
      </w:r>
      <w:r>
        <w:rPr>
          <w:rFonts w:hint="eastAsia" w:cs="Times New Roman" w:asciiTheme="minorEastAsia" w:hAnsiTheme="minorEastAsia"/>
          <w:color w:val="auto"/>
          <w:kern w:val="0"/>
          <w:sz w:val="24"/>
          <w:szCs w:val="24"/>
          <w:lang w:val="en-US" w:eastAsia="zh-CN"/>
        </w:rPr>
        <w:t>5</w:t>
      </w:r>
      <w:r>
        <w:rPr>
          <w:rFonts w:hint="eastAsia" w:cs="Times New Roman" w:asciiTheme="minorEastAsia" w:hAnsiTheme="minorEastAsia"/>
          <w:color w:val="auto"/>
          <w:kern w:val="0"/>
          <w:sz w:val="24"/>
          <w:szCs w:val="24"/>
        </w:rPr>
        <w:t>年0</w:t>
      </w:r>
      <w:r>
        <w:rPr>
          <w:rFonts w:cs="Times New Roman" w:asciiTheme="minorEastAsia" w:hAnsiTheme="minorEastAsia"/>
          <w:color w:val="auto"/>
          <w:kern w:val="0"/>
          <w:sz w:val="24"/>
          <w:szCs w:val="24"/>
        </w:rPr>
        <w:t>1</w:t>
      </w:r>
      <w:r>
        <w:rPr>
          <w:rFonts w:hint="eastAsia" w:cs="Times New Roman" w:asciiTheme="minorEastAsia" w:hAnsiTheme="minorEastAsia"/>
          <w:color w:val="auto"/>
          <w:kern w:val="0"/>
          <w:sz w:val="24"/>
          <w:szCs w:val="24"/>
        </w:rPr>
        <w:t>月</w:t>
      </w:r>
      <w:r>
        <w:rPr>
          <w:rFonts w:cs="Times New Roman" w:asciiTheme="minorEastAsia" w:hAnsiTheme="minorEastAsia"/>
          <w:color w:val="auto"/>
          <w:kern w:val="0"/>
          <w:sz w:val="24"/>
          <w:szCs w:val="24"/>
        </w:rPr>
        <w:t>1</w:t>
      </w:r>
      <w:r>
        <w:rPr>
          <w:rFonts w:hint="eastAsia" w:cs="Times New Roman" w:asciiTheme="minorEastAsia" w:hAnsiTheme="minorEastAsia"/>
          <w:color w:val="auto"/>
          <w:kern w:val="0"/>
          <w:sz w:val="24"/>
          <w:szCs w:val="24"/>
        </w:rPr>
        <w:t>日至202</w:t>
      </w:r>
      <w:r>
        <w:rPr>
          <w:rFonts w:hint="eastAsia" w:cs="Times New Roman" w:asciiTheme="minorEastAsia" w:hAnsiTheme="minorEastAsia"/>
          <w:color w:val="auto"/>
          <w:kern w:val="0"/>
          <w:sz w:val="24"/>
          <w:szCs w:val="24"/>
          <w:lang w:val="en-US" w:eastAsia="zh-CN"/>
        </w:rPr>
        <w:t>5</w:t>
      </w:r>
      <w:r>
        <w:rPr>
          <w:rFonts w:hint="eastAsia" w:cs="Times New Roman" w:asciiTheme="minorEastAsia" w:hAnsiTheme="minorEastAsia"/>
          <w:color w:val="auto"/>
          <w:kern w:val="0"/>
          <w:sz w:val="24"/>
          <w:szCs w:val="24"/>
        </w:rPr>
        <w:t>年</w:t>
      </w:r>
      <w:r>
        <w:rPr>
          <w:rFonts w:cs="Times New Roman" w:asciiTheme="minorEastAsia" w:hAnsiTheme="minorEastAsia"/>
          <w:color w:val="auto"/>
          <w:kern w:val="0"/>
          <w:sz w:val="24"/>
          <w:szCs w:val="24"/>
        </w:rPr>
        <w:t>12</w:t>
      </w:r>
      <w:r>
        <w:rPr>
          <w:rFonts w:hint="eastAsia" w:cs="Times New Roman" w:asciiTheme="minorEastAsia" w:hAnsiTheme="minorEastAsia"/>
          <w:color w:val="auto"/>
          <w:kern w:val="0"/>
          <w:sz w:val="24"/>
          <w:szCs w:val="24"/>
        </w:rPr>
        <w:t>月</w:t>
      </w:r>
      <w:r>
        <w:rPr>
          <w:rFonts w:cs="Times New Roman" w:asciiTheme="minorEastAsia" w:hAnsiTheme="minorEastAsia"/>
          <w:color w:val="auto"/>
          <w:kern w:val="0"/>
          <w:sz w:val="24"/>
          <w:szCs w:val="24"/>
        </w:rPr>
        <w:t>3</w:t>
      </w:r>
      <w:r>
        <w:rPr>
          <w:rFonts w:hint="eastAsia" w:cs="Times New Roman" w:asciiTheme="minorEastAsia" w:hAnsiTheme="minorEastAsia"/>
          <w:color w:val="auto"/>
          <w:kern w:val="0"/>
          <w:sz w:val="24"/>
          <w:szCs w:val="24"/>
        </w:rPr>
        <w:t>1日期间</w:t>
      </w:r>
    </w:p>
    <w:p w14:paraId="27A061EC">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报告发布周期:1次/年</w:t>
      </w:r>
    </w:p>
    <w:p w14:paraId="4ED950C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报告数据说明:报告内所涉数据来源于公司,数据真实有效。</w:t>
      </w:r>
    </w:p>
    <w:p w14:paraId="01FBFAE5">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报告获取方式：公司网站</w:t>
      </w:r>
      <w:bookmarkStart w:id="4" w:name="_Toc13821"/>
      <w:r>
        <w:rPr>
          <w:rFonts w:hint="eastAsia" w:cs="Times New Roman" w:asciiTheme="minorEastAsia" w:hAnsiTheme="minorEastAsia"/>
          <w:color w:val="auto"/>
          <w:kern w:val="0"/>
          <w:sz w:val="24"/>
          <w:szCs w:val="24"/>
        </w:rPr>
        <w:t>http://www.</w:t>
      </w:r>
      <w:r>
        <w:rPr>
          <w:rFonts w:hint="eastAsia" w:ascii="宋体" w:hAnsi="宋体" w:eastAsia="宋体" w:cs="宋体"/>
          <w:color w:val="auto"/>
          <w:spacing w:val="-2"/>
        </w:rPr>
        <w:t>z</w:t>
      </w:r>
      <w:r>
        <w:rPr>
          <w:rFonts w:hint="eastAsia" w:ascii="宋体" w:hAnsi="宋体" w:eastAsia="宋体" w:cs="宋体"/>
          <w:color w:val="auto"/>
          <w:spacing w:val="2"/>
        </w:rPr>
        <w:t>k</w:t>
      </w:r>
      <w:r>
        <w:rPr>
          <w:rFonts w:hint="eastAsia" w:ascii="宋体" w:hAnsi="宋体" w:eastAsia="宋体" w:cs="宋体"/>
          <w:color w:val="auto"/>
          <w:spacing w:val="1"/>
        </w:rPr>
        <w:t>o</w:t>
      </w:r>
      <w:r>
        <w:rPr>
          <w:rFonts w:hint="eastAsia" w:ascii="宋体" w:hAnsi="宋体" w:eastAsia="宋体" w:cs="宋体"/>
          <w:color w:val="auto"/>
        </w:rPr>
        <w:t>p</w:t>
      </w:r>
      <w:r>
        <w:rPr>
          <w:rFonts w:hint="eastAsia" w:ascii="宋体" w:hAnsi="宋体" w:eastAsia="宋体" w:cs="宋体"/>
          <w:color w:val="auto"/>
          <w:spacing w:val="-2"/>
        </w:rPr>
        <w:t>a</w:t>
      </w:r>
      <w:r>
        <w:rPr>
          <w:rFonts w:hint="eastAsia" w:ascii="宋体" w:hAnsi="宋体" w:eastAsia="宋体" w:cs="宋体"/>
          <w:color w:val="auto"/>
        </w:rPr>
        <w:t>int</w:t>
      </w:r>
      <w:r>
        <w:rPr>
          <w:rFonts w:hint="eastAsia" w:ascii="宋体" w:hAnsi="宋体" w:eastAsia="宋体" w:cs="宋体"/>
          <w:color w:val="auto"/>
          <w:kern w:val="0"/>
          <w:sz w:val="24"/>
          <w:szCs w:val="24"/>
        </w:rPr>
        <w:t>.</w:t>
      </w:r>
      <w:r>
        <w:rPr>
          <w:rFonts w:hint="eastAsia" w:cs="Times New Roman" w:asciiTheme="minorEastAsia" w:hAnsiTheme="minorEastAsia"/>
          <w:color w:val="auto"/>
          <w:kern w:val="0"/>
          <w:sz w:val="24"/>
          <w:szCs w:val="24"/>
        </w:rPr>
        <w:t>com</w:t>
      </w:r>
    </w:p>
    <w:p w14:paraId="3AD4E38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（二）总经理致辞</w:t>
      </w:r>
      <w:bookmarkEnd w:id="4"/>
    </w:p>
    <w:p w14:paraId="142A998E">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尊敬的</w:t>
      </w:r>
      <w:r>
        <w:rPr>
          <w:rFonts w:hint="eastAsia" w:cs="Times New Roman" w:asciiTheme="minorEastAsia" w:hAnsiTheme="minorEastAsia"/>
          <w:color w:val="auto"/>
          <w:kern w:val="0"/>
          <w:sz w:val="24"/>
          <w:szCs w:val="24"/>
        </w:rPr>
        <w:t>市场监管</w:t>
      </w:r>
      <w:r>
        <w:rPr>
          <w:rFonts w:cs="Times New Roman" w:asciiTheme="minorEastAsia" w:hAnsiTheme="minorEastAsia"/>
          <w:color w:val="auto"/>
          <w:kern w:val="0"/>
          <w:sz w:val="24"/>
          <w:szCs w:val="24"/>
        </w:rPr>
        <w:t>部门、各界朋友及同仁：</w:t>
      </w:r>
    </w:p>
    <w:p w14:paraId="41519455">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lang w:eastAsia="zh-CN"/>
        </w:rPr>
        <w:t>浙江中凯实业有限公司</w:t>
      </w:r>
      <w:r>
        <w:rPr>
          <w:rFonts w:cs="Times New Roman" w:asciiTheme="minorEastAsia" w:hAnsiTheme="minorEastAsia"/>
          <w:color w:val="auto"/>
          <w:kern w:val="0"/>
          <w:sz w:val="24"/>
          <w:szCs w:val="24"/>
        </w:rPr>
        <w:t>衷心感谢社会各界广大用户的厚爱、支持与合作！ </w:t>
      </w:r>
    </w:p>
    <w:p w14:paraId="71B4601C">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我公司拥有先进的生产工艺和设备，建立了严格的质量控制体系，致力于</w:t>
      </w:r>
      <w:r>
        <w:rPr>
          <w:rFonts w:hint="eastAsia" w:cs="Times New Roman" w:asciiTheme="minorEastAsia" w:hAnsiTheme="minorEastAsia"/>
          <w:color w:val="auto"/>
          <w:kern w:val="0"/>
          <w:sz w:val="24"/>
          <w:szCs w:val="24"/>
        </w:rPr>
        <w:t>做一个有道德有责任的企业</w:t>
      </w:r>
      <w:r>
        <w:rPr>
          <w:rFonts w:cs="Times New Roman" w:asciiTheme="minorEastAsia" w:hAnsiTheme="minorEastAsia"/>
          <w:color w:val="auto"/>
          <w:kern w:val="0"/>
          <w:sz w:val="24"/>
          <w:szCs w:val="24"/>
        </w:rPr>
        <w:t>。</w:t>
      </w:r>
    </w:p>
    <w:p w14:paraId="3BB4F7B6">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中凯实业公司以科技、品质、服务为经营理念，秉承科技以人为本、品质为依托、服务为后盾，积极进取、做强做大，与建筑行业共绘城市美丽蓝图，创造出绚丽多彩的生活空间。</w:t>
      </w:r>
    </w:p>
    <w:p w14:paraId="0E7F67A0">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公司自创立以来，得到了各级领导和社会各界朋友的关心和帮助，得到了各位</w:t>
      </w:r>
      <w:r>
        <w:rPr>
          <w:rFonts w:hint="eastAsia" w:cs="Times New Roman" w:asciiTheme="minorEastAsia" w:hAnsiTheme="minorEastAsia"/>
          <w:color w:val="auto"/>
          <w:kern w:val="0"/>
          <w:sz w:val="24"/>
          <w:szCs w:val="24"/>
        </w:rPr>
        <w:t>客户</w:t>
      </w:r>
      <w:r>
        <w:rPr>
          <w:rFonts w:cs="Times New Roman" w:asciiTheme="minorEastAsia" w:hAnsiTheme="minorEastAsia"/>
          <w:color w:val="auto"/>
          <w:kern w:val="0"/>
          <w:sz w:val="24"/>
          <w:szCs w:val="24"/>
        </w:rPr>
        <w:t>和供应商朋友的可贵支持，在此，我谨代表公司全体员工向关心和支持过我们公司发展的各位领导、各界朋友和全体新老客户表示最诚挚的谢意！</w:t>
      </w:r>
      <w:bookmarkStart w:id="5" w:name="_Toc451594565"/>
      <w:bookmarkStart w:id="6" w:name="_Toc515451667"/>
      <w:bookmarkStart w:id="7" w:name="_Toc13647"/>
      <w:bookmarkStart w:id="8" w:name="_Toc451594566"/>
    </w:p>
    <w:p w14:paraId="48B70F89">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（三）公司简介</w:t>
      </w:r>
      <w:bookmarkEnd w:id="5"/>
      <w:bookmarkEnd w:id="6"/>
      <w:bookmarkEnd w:id="7"/>
    </w:p>
    <w:bookmarkEnd w:id="8"/>
    <w:p w14:paraId="1F149F94">
      <w:pPr>
        <w:spacing w:line="360" w:lineRule="auto"/>
        <w:ind w:firstLine="480" w:firstLineChars="200"/>
        <w:rPr>
          <w:rFonts w:cs="Times New Roman" w:asciiTheme="minorEastAsia" w:hAnsiTheme="minorEastAsia"/>
          <w:color w:val="auto"/>
          <w:kern w:val="0"/>
          <w:sz w:val="24"/>
          <w:szCs w:val="24"/>
        </w:rPr>
      </w:pPr>
      <w:bookmarkStart w:id="9" w:name="_Toc8329"/>
      <w:bookmarkStart w:id="10" w:name="_Toc515451669"/>
      <w:bookmarkStart w:id="11" w:name="_Toc451594567"/>
      <w:r>
        <w:rPr>
          <w:rFonts w:hint="eastAsia" w:cs="Times New Roman" w:asciiTheme="minorEastAsia" w:hAnsiTheme="minorEastAsia"/>
          <w:color w:val="auto"/>
          <w:kern w:val="0"/>
          <w:sz w:val="24"/>
          <w:szCs w:val="24"/>
          <w:lang w:eastAsia="zh-CN"/>
        </w:rPr>
        <w:t>浙江中凯实业有限公司</w:t>
      </w:r>
      <w:r>
        <w:rPr>
          <w:rFonts w:cs="Times New Roman" w:asciiTheme="minorEastAsia" w:hAnsiTheme="minorEastAsia"/>
          <w:color w:val="auto"/>
          <w:kern w:val="0"/>
          <w:sz w:val="24"/>
          <w:szCs w:val="24"/>
        </w:rPr>
        <w:t>成立于1995年</w:t>
      </w:r>
      <w:r>
        <w:rPr>
          <w:rFonts w:hint="eastAsia" w:cs="Times New Roman" w:asciiTheme="minorEastAsia" w:hAnsiTheme="minorEastAsia"/>
          <w:color w:val="auto"/>
          <w:kern w:val="0"/>
          <w:sz w:val="24"/>
          <w:szCs w:val="24"/>
          <w:lang w:eastAsia="zh-CN"/>
        </w:rPr>
        <w:t>，</w:t>
      </w:r>
      <w:r>
        <w:rPr>
          <w:rFonts w:cs="Times New Roman" w:asciiTheme="minorEastAsia" w:hAnsiTheme="minorEastAsia"/>
          <w:color w:val="auto"/>
          <w:kern w:val="0"/>
          <w:sz w:val="24"/>
          <w:szCs w:val="24"/>
        </w:rPr>
        <w:t>是一家由美国杜邦涂料化工集团有限公司提供高新技术，并被美国杜邦涂料化工集团有限公司授权在中国生产各种建筑涂料的生产制造企业，是国内一家提供技术长期合作伙伴的企业。</w:t>
      </w:r>
    </w:p>
    <w:p w14:paraId="5ABB4FC6">
      <w:pPr>
        <w:spacing w:line="360" w:lineRule="auto"/>
        <w:ind w:firstLine="480" w:firstLineChars="200"/>
        <w:rPr>
          <w:rFonts w:hint="eastAsia" w:cs="Times New Roman" w:asciiTheme="minorEastAsia" w:hAnsiTheme="minorEastAsia" w:eastAsiaTheme="minorEastAsia"/>
          <w:color w:val="auto"/>
          <w:kern w:val="0"/>
          <w:sz w:val="24"/>
          <w:szCs w:val="24"/>
          <w:lang w:val="en-US" w:eastAsia="zh-CN"/>
        </w:rPr>
      </w:pPr>
      <w:r>
        <w:rPr>
          <w:rFonts w:cs="Times New Roman" w:asciiTheme="minorEastAsia" w:hAnsiTheme="minorEastAsia"/>
          <w:color w:val="auto"/>
          <w:kern w:val="0"/>
          <w:sz w:val="24"/>
          <w:szCs w:val="24"/>
        </w:rPr>
        <w:t>中凯实业有限公司是一家以科研、制造、销售、施工为一体的现代化综合性高科技企业。公司拥有精良的生产设备，完整的管理体系和先进的检测设备，经过多年的市场调研和产品开发，荟萃了许多科研精英，解决了以往涂料中存在的一些长期没有得到解决的缺陷，成为建筑涂料领域的佼佼者，并成为国内具有一定规模和信誉的涂料生产企业。企业致力于生产高品质功能型建筑内外墙涂料，建筑外墙反射隔热涂料系统，高素质的员工队伍和先进的管理系统</w:t>
      </w:r>
      <w:r>
        <w:rPr>
          <w:rFonts w:hint="eastAsia" w:cs="Times New Roman" w:asciiTheme="minorEastAsia" w:hAnsiTheme="minorEastAsia"/>
          <w:color w:val="auto"/>
          <w:kern w:val="0"/>
          <w:sz w:val="24"/>
          <w:szCs w:val="24"/>
          <w:lang w:eastAsia="zh-CN"/>
        </w:rPr>
        <w:t>。</w:t>
      </w:r>
    </w:p>
    <w:p w14:paraId="226B5197">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中凯涂料品种有二十多个体系和外墙反射隔热涂料三个体系，共近百个品种，可满足不同需求的建筑装饰工程，在行业中具有极强的综合竞争力。</w:t>
      </w:r>
    </w:p>
    <w:p w14:paraId="585E8304">
      <w:pPr>
        <w:pStyle w:val="19"/>
        <w:spacing w:line="360" w:lineRule="auto"/>
        <w:ind w:firstLine="439" w:firstLineChars="183"/>
        <w:jc w:val="left"/>
        <w:rPr>
          <w:rFonts w:ascii="宋体" w:hAnsi="宋体"/>
          <w:color w:val="auto"/>
          <w:szCs w:val="24"/>
        </w:rPr>
      </w:pPr>
      <w:r>
        <w:rPr>
          <w:rFonts w:hint="eastAsia" w:ascii="宋体" w:hAnsi="宋体"/>
          <w:color w:val="auto"/>
          <w:szCs w:val="24"/>
        </w:rPr>
        <w:t>全球经济一体化的趋势下，</w:t>
      </w:r>
      <w:r>
        <w:rPr>
          <w:rFonts w:hint="eastAsia" w:ascii="宋体" w:hAnsi="宋体"/>
          <w:color w:val="auto"/>
          <w:szCs w:val="24"/>
          <w:lang w:eastAsia="zh-CN"/>
        </w:rPr>
        <w:t>浙江中凯实业</w:t>
      </w:r>
      <w:r>
        <w:rPr>
          <w:rFonts w:hint="eastAsia" w:ascii="宋体" w:hAnsi="宋体"/>
          <w:color w:val="auto"/>
          <w:szCs w:val="24"/>
        </w:rPr>
        <w:t>将继续深钻专业领域，提升自身技术高度，完善产品结构，优化全球服务网络平台朝着拥有国际先进技术和文化的企业方向迈进！</w:t>
      </w:r>
    </w:p>
    <w:p w14:paraId="3CD51E13">
      <w:pPr>
        <w:spacing w:line="360" w:lineRule="auto"/>
        <w:ind w:firstLine="480" w:firstLineChars="200"/>
        <w:outlineLvl w:val="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二、企业质量管理</w:t>
      </w:r>
      <w:bookmarkEnd w:id="9"/>
      <w:bookmarkEnd w:id="10"/>
      <w:bookmarkEnd w:id="11"/>
    </w:p>
    <w:p w14:paraId="56EF8EC6">
      <w:pPr>
        <w:spacing w:line="360" w:lineRule="auto"/>
        <w:ind w:firstLine="480" w:firstLineChars="200"/>
        <w:outlineLvl w:val="1"/>
        <w:rPr>
          <w:rFonts w:cs="Times New Roman" w:asciiTheme="minorEastAsia" w:hAnsiTheme="minorEastAsia"/>
          <w:color w:val="auto"/>
          <w:kern w:val="0"/>
          <w:sz w:val="24"/>
          <w:szCs w:val="24"/>
        </w:rPr>
      </w:pPr>
      <w:bookmarkStart w:id="12" w:name="_Toc28792"/>
      <w:bookmarkStart w:id="13" w:name="_Toc515451668"/>
      <w:r>
        <w:rPr>
          <w:rFonts w:hint="eastAsia" w:cs="Times New Roman" w:asciiTheme="minorEastAsia" w:hAnsiTheme="minorEastAsia"/>
          <w:color w:val="auto"/>
          <w:kern w:val="0"/>
          <w:sz w:val="24"/>
          <w:szCs w:val="24"/>
        </w:rPr>
        <w:t>（一）企业质量理念</w:t>
      </w:r>
      <w:bookmarkEnd w:id="12"/>
      <w:bookmarkEnd w:id="13"/>
    </w:p>
    <w:p w14:paraId="3F4533E5">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公司成立之初，便致力于打造高质量产品，将产品质量视为企业生存和发展的重要基石，本公司的质量方针是：“完善管理，品质为先，不断改进，提供满意的产品和服务”。</w:t>
      </w:r>
      <w:r>
        <w:rPr>
          <w:rFonts w:cs="Times New Roman" w:asciiTheme="minorEastAsia" w:hAnsiTheme="minorEastAsia"/>
          <w:color w:val="auto"/>
          <w:kern w:val="0"/>
          <w:sz w:val="24"/>
          <w:szCs w:val="24"/>
        </w:rPr>
        <w:t>企业产品通过“ISO9001国际质量体系认证”、“ISO14001环境管理体系认证”、“ISO45001职业健康安全认证”、“中国环境标志产品认证”、“危险物品生产许可证”、“安全生产许可证”、“石油和化工企业质量检验机构认证”，并由中保财产保险股份有限公司承担质量保险。</w:t>
      </w:r>
    </w:p>
    <w:p w14:paraId="5CE4BC98">
      <w:pPr>
        <w:spacing w:line="360" w:lineRule="auto"/>
        <w:ind w:firstLine="480" w:firstLineChars="200"/>
        <w:rPr>
          <w:rFonts w:hint="eastAsia" w:eastAsia="宋体" w:cs="Times New Roman" w:asciiTheme="minorEastAsia" w:hAnsiTheme="minorEastAsia"/>
          <w:color w:val="auto"/>
          <w:kern w:val="0"/>
          <w:sz w:val="24"/>
          <w:szCs w:val="24"/>
          <w:lang w:val="en-US" w:eastAsia="zh-CN"/>
        </w:rPr>
      </w:pPr>
      <w:r>
        <w:rPr>
          <w:rFonts w:hint="eastAsia" w:cs="Times New Roman" w:asciiTheme="minorEastAsia" w:hAnsiTheme="minorEastAsia"/>
          <w:color w:val="auto"/>
          <w:kern w:val="0"/>
          <w:sz w:val="24"/>
          <w:szCs w:val="24"/>
        </w:rPr>
        <w:t>公司</w:t>
      </w:r>
      <w:r>
        <w:rPr>
          <w:rFonts w:cs="Times New Roman" w:asciiTheme="minorEastAsia" w:hAnsiTheme="minorEastAsia"/>
          <w:color w:val="auto"/>
          <w:kern w:val="0"/>
          <w:sz w:val="24"/>
          <w:szCs w:val="24"/>
        </w:rPr>
        <w:t>严格按该国际质量管理体系执行，使企业产品的质量得到有力的保障，从而使企业的质量方针得以顺利推行。</w:t>
      </w:r>
      <w:r>
        <w:rPr>
          <w:rFonts w:hint="eastAsia" w:cs="Times New Roman" w:asciiTheme="minorEastAsia" w:hAnsiTheme="minorEastAsia"/>
          <w:color w:val="auto"/>
          <w:kern w:val="0"/>
          <w:sz w:val="24"/>
          <w:szCs w:val="24"/>
        </w:rPr>
        <w:t>为从根本上加强质量管理，提高公司经营质量，公司更以卓越绩效模式的导入为契机，推行全面质量管理，运用质量统计工具，通过内部审核、自我评价、第三方审核或评价，不断寻找改进机会和持续改进的方式，迈向卓越的绩效。</w:t>
      </w:r>
      <w:r>
        <w:rPr>
          <w:rFonts w:cs="Times New Roman" w:asciiTheme="minorEastAsia" w:hAnsiTheme="minorEastAsia"/>
          <w:color w:val="auto"/>
          <w:kern w:val="0"/>
          <w:sz w:val="24"/>
          <w:szCs w:val="24"/>
        </w:rPr>
        <w:t>在</w:t>
      </w:r>
      <w:r>
        <w:rPr>
          <w:rFonts w:hint="eastAsia" w:cs="Times New Roman" w:asciiTheme="minorEastAsia" w:hAnsiTheme="minorEastAsia"/>
          <w:color w:val="auto"/>
          <w:kern w:val="0"/>
          <w:sz w:val="24"/>
          <w:szCs w:val="24"/>
          <w:lang w:val="en-US" w:eastAsia="zh-CN"/>
        </w:rPr>
        <w:t>2011年及2017年的</w:t>
      </w:r>
      <w:r>
        <w:rPr>
          <w:rFonts w:cs="Times New Roman" w:asciiTheme="minorEastAsia" w:hAnsiTheme="minorEastAsia"/>
          <w:color w:val="auto"/>
          <w:kern w:val="0"/>
          <w:sz w:val="24"/>
          <w:szCs w:val="24"/>
        </w:rPr>
        <w:t>质量</w:t>
      </w:r>
      <w:r>
        <w:rPr>
          <w:rFonts w:hint="eastAsia" w:cs="Times New Roman" w:asciiTheme="minorEastAsia" w:hAnsiTheme="minorEastAsia"/>
          <w:color w:val="auto"/>
          <w:kern w:val="0"/>
          <w:sz w:val="24"/>
          <w:szCs w:val="24"/>
          <w:lang w:val="en-US" w:eastAsia="zh-CN"/>
        </w:rPr>
        <w:t>监督</w:t>
      </w:r>
      <w:r>
        <w:rPr>
          <w:rFonts w:cs="Times New Roman" w:asciiTheme="minorEastAsia" w:hAnsiTheme="minorEastAsia"/>
          <w:color w:val="auto"/>
          <w:kern w:val="0"/>
          <w:sz w:val="24"/>
          <w:szCs w:val="24"/>
        </w:rPr>
        <w:t>抽检中，</w:t>
      </w:r>
      <w:r>
        <w:rPr>
          <w:rFonts w:hint="eastAsia" w:cs="Times New Roman" w:asciiTheme="minorEastAsia" w:hAnsiTheme="minorEastAsia"/>
          <w:color w:val="auto"/>
          <w:kern w:val="0"/>
          <w:sz w:val="24"/>
          <w:szCs w:val="24"/>
          <w:lang w:val="en-US" w:eastAsia="zh-CN"/>
        </w:rPr>
        <w:t>结果均为合格</w:t>
      </w:r>
      <w:r>
        <w:rPr>
          <w:rFonts w:cs="Times New Roman" w:asciiTheme="minorEastAsia" w:hAnsiTheme="minorEastAsia"/>
          <w:color w:val="auto"/>
          <w:kern w:val="0"/>
          <w:sz w:val="24"/>
          <w:szCs w:val="24"/>
        </w:rPr>
        <w:t>。</w:t>
      </w:r>
      <w:r>
        <w:rPr>
          <w:rFonts w:hint="eastAsia" w:cs="Times New Roman" w:asciiTheme="minorEastAsia" w:hAnsiTheme="minorEastAsia"/>
          <w:color w:val="auto"/>
          <w:kern w:val="0"/>
          <w:sz w:val="24"/>
          <w:szCs w:val="24"/>
          <w:lang w:val="en-US" w:eastAsia="zh-CN"/>
        </w:rPr>
        <w:t>且在2023年</w:t>
      </w:r>
      <w:r>
        <w:rPr>
          <w:rFonts w:cs="Times New Roman" w:asciiTheme="minorEastAsia" w:hAnsiTheme="minorEastAsia"/>
          <w:color w:val="auto"/>
          <w:kern w:val="0"/>
          <w:sz w:val="24"/>
          <w:szCs w:val="24"/>
        </w:rPr>
        <w:t>质量管理体系认证活动监督检查</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lang w:val="en-US" w:eastAsia="zh-CN"/>
        </w:rPr>
        <w:t>顺利通过</w:t>
      </w:r>
      <w:r>
        <w:rPr>
          <w:rFonts w:cs="Times New Roman" w:asciiTheme="minorEastAsia" w:hAnsiTheme="minorEastAsia"/>
          <w:color w:val="auto"/>
          <w:kern w:val="0"/>
          <w:sz w:val="24"/>
          <w:szCs w:val="24"/>
        </w:rPr>
        <w:t>自愿性认证活动及结果合规性、有效性的检查</w:t>
      </w:r>
      <w:r>
        <w:rPr>
          <w:rFonts w:hint="eastAsia" w:cs="Times New Roman" w:asciiTheme="minorEastAsia" w:hAnsiTheme="minorEastAsia"/>
          <w:color w:val="auto"/>
          <w:kern w:val="0"/>
          <w:sz w:val="24"/>
          <w:szCs w:val="24"/>
          <w:lang w:eastAsia="zh-CN"/>
        </w:rPr>
        <w:t>。</w:t>
      </w:r>
    </w:p>
    <w:p w14:paraId="4E23FC58">
      <w:pPr>
        <w:spacing w:line="360" w:lineRule="auto"/>
        <w:ind w:firstLine="480" w:firstLineChars="200"/>
        <w:rPr>
          <w:rFonts w:cs="Times New Roman" w:asciiTheme="minorEastAsia" w:hAnsiTheme="minorEastAsia"/>
          <w:color w:val="FF0000"/>
          <w:kern w:val="0"/>
          <w:sz w:val="24"/>
          <w:szCs w:val="24"/>
        </w:rPr>
      </w:pPr>
      <w:r>
        <w:rPr>
          <w:rFonts w:hint="eastAsia" w:cs="Times New Roman" w:asciiTheme="minorEastAsia" w:hAnsiTheme="minorEastAsia"/>
          <w:color w:val="auto"/>
          <w:kern w:val="0"/>
          <w:sz w:val="24"/>
          <w:szCs w:val="24"/>
        </w:rPr>
        <w:t>公司通过会议、宣传栏、企业网站、微信公众号对企业文化、质量理念进行宣传。</w:t>
      </w:r>
    </w:p>
    <w:p w14:paraId="55948FBD">
      <w:pPr>
        <w:spacing w:line="360" w:lineRule="auto"/>
        <w:ind w:firstLine="480" w:firstLineChars="200"/>
        <w:outlineLvl w:val="1"/>
        <w:rPr>
          <w:rFonts w:cs="Times New Roman" w:asciiTheme="minorEastAsia" w:hAnsiTheme="minorEastAsia"/>
          <w:color w:val="auto"/>
          <w:kern w:val="0"/>
          <w:sz w:val="24"/>
          <w:szCs w:val="24"/>
        </w:rPr>
      </w:pPr>
      <w:bookmarkStart w:id="14" w:name="_Toc9290"/>
      <w:bookmarkStart w:id="15" w:name="_Toc515451670"/>
      <w:r>
        <w:rPr>
          <w:rFonts w:hint="eastAsia" w:cs="Times New Roman" w:asciiTheme="minorEastAsia" w:hAnsiTheme="minorEastAsia"/>
          <w:color w:val="auto"/>
          <w:kern w:val="0"/>
          <w:sz w:val="24"/>
          <w:szCs w:val="24"/>
        </w:rPr>
        <w:t>（二）质量管理机构</w:t>
      </w:r>
      <w:bookmarkEnd w:id="14"/>
      <w:bookmarkEnd w:id="15"/>
    </w:p>
    <w:p w14:paraId="3F5B2259">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 xml:space="preserve"> 公司遵循质量管理“三不原则”：不接受不合格品、不制造不合格品，不流出不合格品。本着对产品质量的高度重视，公司建立质量负责人制度，制定了各料件、部件、产品的检验标准，并各司其职、相互沟通配合，从研发、采购、生产等各过程，加强产品质量把控。</w:t>
      </w:r>
      <w:bookmarkStart w:id="16" w:name="_Toc515451671"/>
    </w:p>
    <w:p w14:paraId="26417E42">
      <w:pPr>
        <w:spacing w:line="360" w:lineRule="auto"/>
        <w:ind w:firstLine="480" w:firstLineChars="200"/>
        <w:jc w:val="center"/>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图1：质量、环境、职业健康安全管理体系组织架构图</w:t>
      </w:r>
    </w:p>
    <w:p w14:paraId="39958038">
      <w:pPr>
        <w:spacing w:line="360" w:lineRule="auto"/>
        <w:ind w:firstLine="480" w:firstLineChars="200"/>
        <w:jc w:val="center"/>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lang w:eastAsia="zh-CN"/>
        </w:rPr>
        <w:t>浙江中凯实业有限公司</w:t>
      </w:r>
    </w:p>
    <w:p w14:paraId="3764C0CE">
      <w:pPr>
        <w:spacing w:line="360" w:lineRule="auto"/>
        <w:jc w:val="center"/>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eastAsiaTheme="minorEastAsia"/>
          <w:color w:val="auto"/>
          <w:kern w:val="0"/>
          <w:sz w:val="24"/>
          <w:szCs w:val="24"/>
          <w:lang w:eastAsia="zh-CN"/>
        </w:rPr>
        <w:drawing>
          <wp:inline distT="0" distB="0" distL="114300" distR="114300">
            <wp:extent cx="5596890" cy="2758440"/>
            <wp:effectExtent l="0" t="0" r="3810" b="3810"/>
            <wp:docPr id="5" name="图片 5" descr="03c61a98-f770-4e70-8c5e-4bb0c0655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3c61a98-f770-4e70-8c5e-4bb0c0655be1"/>
                    <pic:cNvPicPr>
                      <a:picLocks noChangeAspect="1"/>
                    </pic:cNvPicPr>
                  </pic:nvPicPr>
                  <pic:blipFill>
                    <a:blip r:embed="rId7"/>
                    <a:stretch>
                      <a:fillRect/>
                    </a:stretch>
                  </pic:blipFill>
                  <pic:spPr>
                    <a:xfrm>
                      <a:off x="0" y="0"/>
                      <a:ext cx="5596890" cy="2758440"/>
                    </a:xfrm>
                    <a:prstGeom prst="rect">
                      <a:avLst/>
                    </a:prstGeom>
                  </pic:spPr>
                </pic:pic>
              </a:graphicData>
            </a:graphic>
          </wp:inline>
        </w:drawing>
      </w:r>
    </w:p>
    <w:p w14:paraId="2F457E39">
      <w:pPr>
        <w:spacing w:line="360" w:lineRule="auto"/>
        <w:ind w:firstLine="480" w:firstLineChars="200"/>
        <w:outlineLvl w:val="1"/>
        <w:rPr>
          <w:rFonts w:cs="Times New Roman" w:asciiTheme="minorEastAsia" w:hAnsiTheme="minorEastAsia"/>
          <w:color w:val="auto"/>
          <w:kern w:val="0"/>
          <w:sz w:val="24"/>
          <w:szCs w:val="24"/>
        </w:rPr>
      </w:pPr>
      <w:bookmarkStart w:id="17" w:name="_Toc21673"/>
      <w:r>
        <w:rPr>
          <w:rFonts w:hint="eastAsia" w:cs="Times New Roman" w:asciiTheme="minorEastAsia" w:hAnsiTheme="minorEastAsia"/>
          <w:color w:val="auto"/>
          <w:kern w:val="0"/>
          <w:sz w:val="24"/>
          <w:szCs w:val="24"/>
        </w:rPr>
        <w:t>（三）质量管理体系</w:t>
      </w:r>
      <w:bookmarkEnd w:id="16"/>
      <w:bookmarkEnd w:id="17"/>
    </w:p>
    <w:p w14:paraId="18080CF4">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公司自引入</w:t>
      </w:r>
      <w:r>
        <w:rPr>
          <w:rFonts w:hint="eastAsia" w:cs="Times New Roman" w:asciiTheme="minorEastAsia" w:hAnsiTheme="minorEastAsia"/>
          <w:color w:val="auto"/>
          <w:kern w:val="0"/>
          <w:sz w:val="24"/>
          <w:szCs w:val="24"/>
          <w:lang w:val="en-US" w:eastAsia="zh-CN"/>
        </w:rPr>
        <w:t>ISO9001</w:t>
      </w:r>
      <w:r>
        <w:rPr>
          <w:rFonts w:hint="eastAsia" w:cs="Times New Roman" w:asciiTheme="minorEastAsia" w:hAnsiTheme="minorEastAsia"/>
          <w:color w:val="auto"/>
          <w:kern w:val="0"/>
          <w:sz w:val="24"/>
          <w:szCs w:val="24"/>
        </w:rPr>
        <w:t>质量管理体系以来，“完善管理，品质为先，不断改进，提供满意的产品和服务”为质量方针，围绕公司系列产品的设计、开发生产和销售过程，按GB/T 19001-2016建立质量管理体系，形成了质量手册、程序文件和其他质量文件等，加以实施和保持，并持续改进有效性。</w:t>
      </w:r>
    </w:p>
    <w:p w14:paraId="07E5A19E">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1、质量管理体系方针与目标</w:t>
      </w:r>
    </w:p>
    <w:p w14:paraId="0F75EDFD">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从导入</w:t>
      </w:r>
      <w:r>
        <w:rPr>
          <w:rFonts w:hint="eastAsia" w:cs="Times New Roman" w:asciiTheme="minorEastAsia" w:hAnsiTheme="minorEastAsia"/>
          <w:color w:val="auto"/>
          <w:kern w:val="0"/>
          <w:sz w:val="24"/>
          <w:szCs w:val="24"/>
          <w:lang w:val="en-US" w:eastAsia="zh-CN"/>
        </w:rPr>
        <w:t>ISO 9001</w:t>
      </w:r>
      <w:r>
        <w:rPr>
          <w:rFonts w:hint="eastAsia" w:cs="Times New Roman" w:asciiTheme="minorEastAsia" w:hAnsiTheme="minorEastAsia"/>
          <w:color w:val="auto"/>
          <w:kern w:val="0"/>
          <w:sz w:val="24"/>
          <w:szCs w:val="24"/>
        </w:rPr>
        <w:t>质量管理体系，坚持产品质量的“安全可靠，持续改进”，到导入卓越绩效管理模式，推行全面质量管理，坚持“让产品发声，用品质讲话”，公司建立了以战略为核心，以GB/T 19580卓越绩效模式为框架的整合型全面质量管理体系，满足了顾客、股东、员工、供应商、社会和合作伙伴六大利益相关方的要求，在公司各层次建立了相应的战略规划、质量目标，并以公司绩效考核体系为依托，设立了质量考核KPI目标和质量问责制。</w:t>
      </w:r>
    </w:p>
    <w:p w14:paraId="3A37B03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1.1质量方针：</w:t>
      </w:r>
    </w:p>
    <w:p w14:paraId="0571103F">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完善管理，品质为先，不断改进，提供满意的产品和服务。</w:t>
      </w:r>
    </w:p>
    <w:p w14:paraId="5D88EC9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质量方针理解：</w:t>
      </w:r>
    </w:p>
    <w:p w14:paraId="69C841FC">
      <w:pPr>
        <w:spacing w:line="360" w:lineRule="auto"/>
        <w:ind w:firstLine="480" w:firstLineChars="200"/>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rPr>
        <w:t>完善管理是质量保障的根基</w:t>
      </w:r>
      <w:r>
        <w:rPr>
          <w:rFonts w:hint="eastAsia" w:cs="Times New Roman" w:asciiTheme="minorEastAsia" w:hAnsiTheme="minorEastAsia"/>
          <w:color w:val="auto"/>
          <w:kern w:val="0"/>
          <w:sz w:val="24"/>
          <w:szCs w:val="24"/>
          <w:lang w:eastAsia="zh-CN"/>
        </w:rPr>
        <w:t>。</w:t>
      </w:r>
    </w:p>
    <w:p w14:paraId="5C69C63B">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完善管理是质量工作的前提与基础。只有建立健全标准化、规范化的质量管理体系，明确岗位职责、优化工作流程、完善制度规范，让各项工作有章可循、有据可依，才能从源头规避管理漏洞，为品质把控筑牢制度防线，为产品与服务质量稳定输出提供坚实支撑。</w:t>
      </w:r>
    </w:p>
    <w:p w14:paraId="39774074">
      <w:pPr>
        <w:spacing w:line="360" w:lineRule="auto"/>
        <w:ind w:firstLine="480" w:firstLineChars="200"/>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rPr>
        <w:t>品质为先是经营发展的核心</w:t>
      </w:r>
      <w:r>
        <w:rPr>
          <w:rFonts w:hint="eastAsia" w:cs="Times New Roman" w:asciiTheme="minorEastAsia" w:hAnsiTheme="minorEastAsia"/>
          <w:color w:val="auto"/>
          <w:kern w:val="0"/>
          <w:sz w:val="24"/>
          <w:szCs w:val="24"/>
          <w:lang w:eastAsia="zh-CN"/>
        </w:rPr>
        <w:t>。</w:t>
      </w:r>
    </w:p>
    <w:p w14:paraId="6A96E992">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品质为先凸显了质量在企业发展中的核心地位。始终将产品和服务质量放在首位，严格执行质量标准、严控关键环节、严把质量关口，杜绝侥幸心理与敷衍心态，以高标准、严要求对待每一项工作、每一件产品、每一次服务，坚守质量底线，以过硬品质赢得客户信任、树立良好口碑，夯实企业立足市场的根本。</w:t>
      </w:r>
    </w:p>
    <w:p w14:paraId="00036B97">
      <w:pPr>
        <w:spacing w:line="360" w:lineRule="auto"/>
        <w:ind w:firstLine="480" w:firstLineChars="200"/>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rPr>
        <w:t>不断改进是持续提升的动力</w:t>
      </w:r>
      <w:r>
        <w:rPr>
          <w:rFonts w:hint="eastAsia" w:cs="Times New Roman" w:asciiTheme="minorEastAsia" w:hAnsiTheme="minorEastAsia"/>
          <w:color w:val="auto"/>
          <w:kern w:val="0"/>
          <w:sz w:val="24"/>
          <w:szCs w:val="24"/>
          <w:lang w:eastAsia="zh-CN"/>
        </w:rPr>
        <w:t>。</w:t>
      </w:r>
    </w:p>
    <w:p w14:paraId="4DE396C2">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不断改进是企业永葆活力、持续进步的关键。市场环境、客户需求、行业标准始终处于动态变化中，需秉持精益求精的态度，主动发现管理、生产、服务中的不足，通过复盘总结、对标学习、技术优化、流程革新等方式持续改进；不满足于现有成果，主动突破瓶颈，推动质量管理水平、产品性能、服务质量持续迭代升级，适配市场发展需求。</w:t>
      </w:r>
    </w:p>
    <w:p w14:paraId="079E70ED">
      <w:pPr>
        <w:spacing w:line="360" w:lineRule="auto"/>
        <w:ind w:firstLine="480" w:firstLineChars="200"/>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rPr>
        <w:t>提供满意的产品和服务是最终目标</w:t>
      </w:r>
      <w:r>
        <w:rPr>
          <w:rFonts w:hint="eastAsia" w:cs="Times New Roman" w:asciiTheme="minorEastAsia" w:hAnsiTheme="minorEastAsia"/>
          <w:color w:val="auto"/>
          <w:kern w:val="0"/>
          <w:sz w:val="24"/>
          <w:szCs w:val="24"/>
          <w:lang w:eastAsia="zh-CN"/>
        </w:rPr>
        <w:t>。</w:t>
      </w:r>
    </w:p>
    <w:p w14:paraId="2F205BA8">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提供满意的产品和服务是质量工作的落脚点与最终追求。一切管理完善、品质坚守、持续改进的行动，最终都以满足客户需求、超出客户预期为导向。既要保障产品质量安全、性能稳定，也要优化服务流程、提升服务体验，精准对接客户实际诉求，以优质产品和贴心服务回馈客户，实现企业与客户的双向共赢。</w:t>
      </w:r>
    </w:p>
    <w:p w14:paraId="5F1FA357">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四项内容相辅相成、环环相扣：完善管理筑牢基础，品质为先坚守核心，不断改进注入动力，客户满意锚定目标，共同构成企业长期稳健发展的质量核心导向。</w:t>
      </w:r>
    </w:p>
    <w:p w14:paraId="5BCA32CB">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2、质量教育</w:t>
      </w:r>
    </w:p>
    <w:p w14:paraId="770B8F0D">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在体系运行过程中，公司运用各种科学、有效的方法，测量、分析、改进，基于PDCA的系统方法，不断持续改善。公司运用多种工具，持续改进各部门、各层次的绩效，并采用标杆对比和学习的方式，不断修正个人工作思路和方式，确保实现个人和公司整体目标。公司积极与外部进行沟通交流，适时邀请专家对公司员工进行专项培训。公司定期对各级员工开展质量教育，对质量控制点进行专项管理，确保制造过程产品质量的一致性。</w:t>
      </w:r>
    </w:p>
    <w:p w14:paraId="117BE8DA">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为牢固树立全体员工的诚信意识，公司每年年初制定本年度的教育培训计划。各部门负责人根据公司要求，编制教育培训计划和内容，认真组织下属的教育培训。各车间主任负责班组长及员工的诚信宣传教育工作。公司通过专题培训、书面文字进行张贴或传达、质量诚信先进员工经验交流、利用图片展示等多种方式对企业员工实施质量诚信教育。</w:t>
      </w:r>
    </w:p>
    <w:p w14:paraId="59A0A1E0">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3、质量法规及责任制度</w:t>
      </w:r>
    </w:p>
    <w:p w14:paraId="026EEE70">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通过收集法律法规及其它标准、要求，制定内部相关标准，使产品达到国家法律法规和国家、行业标准的要求（部分指标超过外部要求），从产品技术上践行社会责任。同时，公司制定了《管理方针》《质量/环境/职业健康安全管理体系策划》、《管理方案》，对产品质量控制明确责任，遵循对质量事故不放过原则。</w:t>
      </w:r>
    </w:p>
    <w:p w14:paraId="74BDECEA">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公司在新产品、新技术研发过程中，积极识别收集法律、法规、行业与产品标准、知识产权风险规避及合规性进行评价，以满足法律、法规以及客户的要求与期望。</w:t>
      </w:r>
    </w:p>
    <w:p w14:paraId="3536CFFC">
      <w:pPr>
        <w:spacing w:line="360" w:lineRule="auto"/>
        <w:ind w:firstLine="480" w:firstLineChars="200"/>
        <w:jc w:val="center"/>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表1：公司所遵守的质量标准和其他相关法律</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6844"/>
      </w:tblGrid>
      <w:tr w14:paraId="02D2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blHeader/>
          <w:jc w:val="center"/>
        </w:trPr>
        <w:tc>
          <w:tcPr>
            <w:tcW w:w="1520" w:type="dxa"/>
            <w:tcBorders>
              <w:bottom w:val="single" w:color="auto" w:sz="4" w:space="0"/>
            </w:tcBorders>
            <w:vAlign w:val="center"/>
          </w:tcPr>
          <w:p w14:paraId="12D5D496">
            <w:pPr>
              <w:spacing w:line="360" w:lineRule="auto"/>
              <w:jc w:val="center"/>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类 别</w:t>
            </w:r>
          </w:p>
        </w:tc>
        <w:tc>
          <w:tcPr>
            <w:tcW w:w="6844" w:type="dxa"/>
            <w:tcBorders>
              <w:bottom w:val="single" w:color="auto" w:sz="4" w:space="0"/>
            </w:tcBorders>
            <w:vAlign w:val="center"/>
          </w:tcPr>
          <w:p w14:paraId="30493065">
            <w:pPr>
              <w:spacing w:line="360" w:lineRule="auto"/>
              <w:ind w:firstLine="480" w:firstLineChars="200"/>
              <w:jc w:val="center"/>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内  容</w:t>
            </w:r>
          </w:p>
        </w:tc>
      </w:tr>
      <w:tr w14:paraId="5370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520" w:type="dxa"/>
            <w:vAlign w:val="center"/>
          </w:tcPr>
          <w:p w14:paraId="5D7230E3">
            <w:pPr>
              <w:spacing w:line="360" w:lineRule="auto"/>
              <w:jc w:val="center"/>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员工权益</w:t>
            </w:r>
          </w:p>
          <w:p w14:paraId="00CA6131">
            <w:pPr>
              <w:spacing w:line="360" w:lineRule="auto"/>
              <w:jc w:val="center"/>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社会责任</w:t>
            </w:r>
          </w:p>
        </w:tc>
        <w:tc>
          <w:tcPr>
            <w:tcW w:w="6844" w:type="dxa"/>
            <w:vAlign w:val="center"/>
          </w:tcPr>
          <w:p w14:paraId="6EFF4E6B">
            <w:pPr>
              <w:spacing w:line="360" w:lineRule="auto"/>
              <w:rPr>
                <w:rFonts w:hint="eastAsia" w:cs="Times New Roman" w:asciiTheme="minorEastAsia" w:hAnsiTheme="minorEastAsia" w:eastAsiaTheme="minorEastAsia"/>
                <w:color w:val="auto"/>
                <w:kern w:val="0"/>
                <w:sz w:val="24"/>
                <w:szCs w:val="24"/>
                <w:lang w:val="en-US" w:eastAsia="zh-CN"/>
              </w:rPr>
            </w:pPr>
            <w:r>
              <w:rPr>
                <w:rFonts w:cs="Times New Roman" w:asciiTheme="minorEastAsia" w:hAnsiTheme="minorEastAsia"/>
                <w:color w:val="auto"/>
                <w:kern w:val="0"/>
                <w:sz w:val="24"/>
                <w:szCs w:val="24"/>
              </w:rPr>
              <w:t>《劳动法》、《工会法》、《消费者权益保护法》、《环境保护法》、《安全生产法》、《职业病防治法》、ISO9001</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lang w:val="en-US" w:eastAsia="zh-CN"/>
              </w:rPr>
              <w:t>2015</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lang w:val="en-US" w:eastAsia="zh-CN"/>
              </w:rPr>
              <w:t>I</w:t>
            </w:r>
            <w:r>
              <w:rPr>
                <w:rFonts w:cs="Times New Roman" w:asciiTheme="minorEastAsia" w:hAnsiTheme="minorEastAsia"/>
                <w:color w:val="auto"/>
                <w:kern w:val="0"/>
                <w:sz w:val="24"/>
                <w:szCs w:val="24"/>
              </w:rPr>
              <w:t>SO14001</w:t>
            </w:r>
            <w:r>
              <w:rPr>
                <w:rFonts w:hint="eastAsia" w:cs="Times New Roman" w:asciiTheme="minorEastAsia" w:hAnsiTheme="minorEastAsia"/>
                <w:color w:val="auto"/>
                <w:kern w:val="0"/>
                <w:sz w:val="24"/>
                <w:szCs w:val="24"/>
                <w:lang w:val="en-US" w:eastAsia="zh-CN"/>
              </w:rPr>
              <w:t>:2015</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lang w:val="en-US" w:eastAsia="zh-CN"/>
              </w:rPr>
              <w:t>I</w:t>
            </w:r>
            <w:r>
              <w:rPr>
                <w:rFonts w:cs="Times New Roman" w:asciiTheme="minorEastAsia" w:hAnsiTheme="minorEastAsia"/>
                <w:color w:val="auto"/>
                <w:kern w:val="0"/>
                <w:sz w:val="24"/>
                <w:szCs w:val="24"/>
              </w:rPr>
              <w:t>SO45001</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lang w:val="en-US" w:eastAsia="zh-CN"/>
              </w:rPr>
              <w:t>2018</w:t>
            </w:r>
            <w:r>
              <w:rPr>
                <w:rFonts w:cs="Times New Roman" w:asciiTheme="minorEastAsia" w:hAnsiTheme="minorEastAsia"/>
                <w:color w:val="auto"/>
                <w:kern w:val="0"/>
                <w:sz w:val="24"/>
                <w:szCs w:val="24"/>
              </w:rPr>
              <w:t>等</w:t>
            </w:r>
            <w:r>
              <w:rPr>
                <w:rFonts w:hint="eastAsia" w:cs="Times New Roman" w:asciiTheme="minorEastAsia" w:hAnsiTheme="minorEastAsia"/>
                <w:color w:val="auto"/>
                <w:kern w:val="0"/>
                <w:sz w:val="24"/>
                <w:szCs w:val="24"/>
                <w:lang w:eastAsia="zh-CN"/>
              </w:rPr>
              <w:t>。</w:t>
            </w:r>
          </w:p>
        </w:tc>
      </w:tr>
      <w:tr w14:paraId="3F13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520" w:type="dxa"/>
            <w:vAlign w:val="center"/>
          </w:tcPr>
          <w:p w14:paraId="1727AE32">
            <w:pPr>
              <w:spacing w:line="360" w:lineRule="auto"/>
              <w:jc w:val="center"/>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产品标准执行与制定</w:t>
            </w:r>
          </w:p>
        </w:tc>
        <w:tc>
          <w:tcPr>
            <w:tcW w:w="6844" w:type="dxa"/>
            <w:vAlign w:val="center"/>
          </w:tcPr>
          <w:p w14:paraId="685279B2">
            <w:pPr>
              <w:keepNext w:val="0"/>
              <w:keepLines w:val="0"/>
              <w:widowControl/>
              <w:suppressLineNumbers w:val="0"/>
              <w:jc w:val="left"/>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“品字标浙江制造”团体标准</w:t>
            </w:r>
            <w:bookmarkStart w:id="18" w:name="_Hlk112429142"/>
            <w:r>
              <w:rPr>
                <w:rFonts w:hint="eastAsia" w:cs="Times New Roman" w:asciiTheme="minorEastAsia" w:hAnsiTheme="minorEastAsia"/>
                <w:color w:val="auto"/>
                <w:kern w:val="0"/>
                <w:sz w:val="24"/>
                <w:szCs w:val="24"/>
                <w:lang w:val="en-US" w:eastAsia="zh-CN"/>
              </w:rPr>
              <w:t>T/ZZB 2269</w:t>
            </w:r>
            <w:r>
              <w:rPr>
                <w:rFonts w:hint="default" w:cs="Times New Roman" w:asciiTheme="minorEastAsia" w:hAnsiTheme="minorEastAsia"/>
                <w:color w:val="auto"/>
                <w:kern w:val="0"/>
                <w:sz w:val="24"/>
                <w:szCs w:val="24"/>
                <w:lang w:val="en-US" w:eastAsia="zh-CN"/>
              </w:rPr>
              <w:t>—</w:t>
            </w:r>
            <w:r>
              <w:rPr>
                <w:rFonts w:hint="eastAsia" w:cs="Times New Roman" w:asciiTheme="minorEastAsia" w:hAnsiTheme="minorEastAsia"/>
                <w:color w:val="auto"/>
                <w:kern w:val="0"/>
                <w:sz w:val="24"/>
                <w:szCs w:val="24"/>
                <w:lang w:val="en-US" w:eastAsia="zh-CN"/>
              </w:rPr>
              <w:t>2021</w:t>
            </w:r>
            <w:r>
              <w:rPr>
                <w:rFonts w:hint="eastAsia" w:cs="Times New Roman" w:asciiTheme="minorEastAsia" w:hAnsiTheme="minorEastAsia"/>
                <w:color w:val="auto"/>
                <w:kern w:val="0"/>
                <w:sz w:val="24"/>
                <w:szCs w:val="24"/>
              </w:rPr>
              <w:t>《</w:t>
            </w:r>
            <w:r>
              <w:rPr>
                <w:rFonts w:hint="eastAsia" w:cs="Times New Roman" w:asciiTheme="minorEastAsia" w:hAnsiTheme="minorEastAsia"/>
                <w:color w:val="auto"/>
                <w:kern w:val="0"/>
                <w:sz w:val="24"/>
                <w:szCs w:val="24"/>
                <w:lang w:val="en-US" w:eastAsia="zh-CN"/>
              </w:rPr>
              <w:t>外墙用合成树脂乳液砂壁状建筑涂料</w:t>
            </w:r>
            <w:r>
              <w:rPr>
                <w:rFonts w:hint="eastAsia" w:cs="Times New Roman" w:asciiTheme="minorEastAsia" w:hAnsiTheme="minorEastAsia"/>
                <w:color w:val="auto"/>
                <w:kern w:val="0"/>
                <w:sz w:val="24"/>
                <w:szCs w:val="24"/>
              </w:rPr>
              <w:t>》等</w:t>
            </w:r>
            <w:bookmarkEnd w:id="18"/>
            <w:r>
              <w:rPr>
                <w:rFonts w:hint="eastAsia" w:cs="Times New Roman" w:asciiTheme="minorEastAsia" w:hAnsiTheme="minorEastAsia"/>
                <w:color w:val="auto"/>
                <w:kern w:val="0"/>
                <w:sz w:val="24"/>
                <w:szCs w:val="24"/>
              </w:rPr>
              <w:t>。</w:t>
            </w:r>
          </w:p>
        </w:tc>
      </w:tr>
    </w:tbl>
    <w:p w14:paraId="6CB1B049">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制定了《内部质量审核程序》、《管理评审控制程序》，并培养内审员团队，为确保体系运行的有效性和持续改进，安排了内审、过程审核和质量稽查。对于审核中发现的不符合项，由责任部门分析原因，制定纠正或预防措施，落实整改，并验证整改效果，最终形成内部审核报告，对体系的整改及不符合项的预防提出建议，并作为管理评审的一个重要输入，报告最高管理者。</w:t>
      </w:r>
    </w:p>
    <w:p w14:paraId="77C4E2AB">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制定了《不合格品控制程序》程序对不合格品进行了严格管控。公司对不合格品应进行标识（如经检验、试验或验证的原材料、外购件等未满足规定要求的）。返工产品返工后要进行再检测，符合规定才可转序或入库、交付。对达不到要求的降级处理或报废。当在交付或开始使用后发现不合格品时，本公司针对不合格品情况，进行分析，并采取与不合格影响或潜在影响程度相适应的的措施，并采取纠正产品进行再次验证，以证实符合要求。</w:t>
      </w:r>
    </w:p>
    <w:p w14:paraId="5738A797">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此外，公司还制定了《质量环境安全管理手册》、《持续改进控制程序》等制度，对出现的质量问题进行问责和教育，并在日常研发、生产作业中，强调系统化，通过品管圈、持续改善等活动及质量工具的展开，充分应用PDCA循环，持续改善，追求卓越。</w:t>
      </w:r>
    </w:p>
    <w:p w14:paraId="3382343B">
      <w:pPr>
        <w:spacing w:line="360" w:lineRule="auto"/>
        <w:ind w:firstLine="480" w:firstLineChars="200"/>
        <w:outlineLvl w:val="1"/>
        <w:rPr>
          <w:rFonts w:cs="Times New Roman" w:asciiTheme="minorEastAsia" w:hAnsiTheme="minorEastAsia"/>
          <w:color w:val="auto"/>
          <w:kern w:val="0"/>
          <w:sz w:val="24"/>
          <w:szCs w:val="24"/>
        </w:rPr>
      </w:pPr>
      <w:bookmarkStart w:id="19" w:name="_Toc451594568"/>
      <w:bookmarkStart w:id="20" w:name="_Toc515451673"/>
      <w:bookmarkStart w:id="21" w:name="_Toc31735"/>
      <w:r>
        <w:rPr>
          <w:rFonts w:hint="eastAsia" w:cs="Times New Roman" w:asciiTheme="minorEastAsia" w:hAnsiTheme="minorEastAsia"/>
          <w:color w:val="auto"/>
          <w:kern w:val="0"/>
          <w:sz w:val="24"/>
          <w:szCs w:val="24"/>
        </w:rPr>
        <w:t>（四）质量诚信管理</w:t>
      </w:r>
      <w:bookmarkEnd w:id="19"/>
      <w:bookmarkEnd w:id="20"/>
      <w:bookmarkEnd w:id="21"/>
    </w:p>
    <w:p w14:paraId="251A9640">
      <w:pPr>
        <w:spacing w:line="360" w:lineRule="auto"/>
        <w:ind w:firstLine="480" w:firstLineChars="200"/>
        <w:outlineLvl w:val="2"/>
        <w:rPr>
          <w:rFonts w:cs="Times New Roman" w:asciiTheme="minorEastAsia" w:hAnsiTheme="minorEastAsia"/>
          <w:color w:val="auto"/>
          <w:kern w:val="0"/>
          <w:sz w:val="24"/>
          <w:szCs w:val="24"/>
        </w:rPr>
      </w:pPr>
      <w:bookmarkStart w:id="22" w:name="_Toc515451674"/>
      <w:r>
        <w:rPr>
          <w:rFonts w:hint="eastAsia" w:cs="Times New Roman" w:asciiTheme="minorEastAsia" w:hAnsiTheme="minorEastAsia"/>
          <w:color w:val="auto"/>
          <w:kern w:val="0"/>
          <w:sz w:val="24"/>
          <w:szCs w:val="24"/>
        </w:rPr>
        <w:t>1、质量承诺</w:t>
      </w:r>
      <w:bookmarkEnd w:id="22"/>
    </w:p>
    <w:p w14:paraId="0802CE6D">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a）诚信守法</w:t>
      </w:r>
    </w:p>
    <w:p w14:paraId="6EB5CF69">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自公司创建第一天起，中凯就把“品质与诚信，服务于口碑”作为公司发展的驱动力</w:t>
      </w:r>
      <w:r>
        <w:rPr>
          <w:rFonts w:cs="Times New Roman" w:asciiTheme="minorEastAsia" w:hAnsiTheme="minorEastAsia"/>
          <w:color w:val="auto"/>
          <w:kern w:val="0"/>
          <w:sz w:val="24"/>
          <w:szCs w:val="24"/>
        </w:rPr>
        <w:t>，严格遵循《公司法》、《经济法》、《产品质量法》、《安全生产法》、《环保法》、《劳动法》以及</w:t>
      </w:r>
      <w:r>
        <w:rPr>
          <w:rFonts w:hint="eastAsia" w:cs="Times New Roman" w:asciiTheme="minorEastAsia" w:hAnsiTheme="minorEastAsia"/>
          <w:color w:val="auto"/>
          <w:kern w:val="0"/>
          <w:sz w:val="24"/>
          <w:szCs w:val="24"/>
          <w:lang w:val="en-US" w:eastAsia="zh-CN"/>
        </w:rPr>
        <w:t>涂料</w:t>
      </w:r>
      <w:r>
        <w:rPr>
          <w:rFonts w:cs="Times New Roman" w:asciiTheme="minorEastAsia" w:hAnsiTheme="minorEastAsia"/>
          <w:color w:val="auto"/>
          <w:kern w:val="0"/>
          <w:sz w:val="24"/>
          <w:szCs w:val="24"/>
        </w:rPr>
        <w:t>行业的相关法律法规，加强员工法律知识培训，配合政府部门开展普法教育活动，鼓励表彰员工的“正能量”，使诚信守法的作风深入公司全体员工的意识和行为。公司合同主动违约率为零，从不拖欠银行贷款，逾期应收账款降至合理范围，公司高层、中层领导都没有违法乱纪纪录，员工违法次数为零，在顾客、用户、公众、社会中树立了良好的信用道德形象。</w:t>
      </w:r>
    </w:p>
    <w:p w14:paraId="4FE2E89A">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b）满足客户需求</w:t>
      </w:r>
    </w:p>
    <w:p w14:paraId="4F0246B8">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高度重视技术研发，加强了研发力量的投入，以客户需求为中心，积极听取客户关于功能、质量、配置等方面的意见和建议，开展产品改进和创新活动，满足客户对产品和交期的需求。在产品质量方面，公司严格执行</w:t>
      </w:r>
      <w:r>
        <w:rPr>
          <w:rFonts w:hint="eastAsia" w:cs="Times New Roman" w:asciiTheme="minorEastAsia" w:hAnsiTheme="minorEastAsia"/>
          <w:color w:val="auto"/>
          <w:kern w:val="0"/>
          <w:sz w:val="24"/>
          <w:szCs w:val="24"/>
          <w:lang w:val="en-US" w:eastAsia="zh-CN"/>
        </w:rPr>
        <w:t>ISO 9001</w:t>
      </w:r>
      <w:r>
        <w:rPr>
          <w:rFonts w:hint="eastAsia" w:cs="Times New Roman" w:asciiTheme="minorEastAsia" w:hAnsiTheme="minorEastAsia"/>
          <w:color w:val="auto"/>
          <w:kern w:val="0"/>
          <w:sz w:val="24"/>
          <w:szCs w:val="24"/>
        </w:rPr>
        <w:t>质量管理体系，通过开展技术攻关、质量改进等活动，保障产品质量安全。</w:t>
      </w:r>
    </w:p>
    <w:p w14:paraId="255FD477">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2、质量管理</w:t>
      </w:r>
    </w:p>
    <w:p w14:paraId="6866A7FA">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--质量监测</w:t>
      </w:r>
    </w:p>
    <w:p w14:paraId="45471E5A">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公司应对以下内容的数据进行收集与分析：</w:t>
      </w:r>
    </w:p>
    <w:p w14:paraId="54643830">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a.顾客满意程度调查表进行统计分析。</w:t>
      </w:r>
    </w:p>
    <w:p w14:paraId="23CC6CF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b.过程产品、最终产品质量是否达到了规定的管理目标要求。</w:t>
      </w:r>
    </w:p>
    <w:p w14:paraId="747C3BC7">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c.与顾客、法律法规及标准要求的符合程度。</w:t>
      </w:r>
    </w:p>
    <w:p w14:paraId="5D0E4684">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d.供方的产品质量情况。</w:t>
      </w:r>
    </w:p>
    <w:p w14:paraId="07B40E4C">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e.环境/安全监测的结果，以及不符合的发生，包括事故、事件等，必要时也应进行统计分析，以利于采取纠正和预防措施。</w:t>
      </w:r>
    </w:p>
    <w:p w14:paraId="2195330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f.管理目标的实施情况。</w:t>
      </w:r>
    </w:p>
    <w:p w14:paraId="73D28C7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--质量追溯</w:t>
      </w:r>
    </w:p>
    <w:p w14:paraId="6F62DE8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公司每年组织进行管理评审会议，评审质量、环境、职业健康安全等管理体系的适宜性、充分性和有效性，达到持续不断完善管理体系，确保公司体系方针和目标的实现，满足相关方要求。</w:t>
      </w:r>
    </w:p>
    <w:p w14:paraId="3EFF0D0C">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--质量分析</w:t>
      </w:r>
    </w:p>
    <w:p w14:paraId="59A46DE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公司通过统计口径、财务报表、专题会议等多种渠道全面收集、整理和测量产品质量的数据和信息，并对数据和信息进行分析，制定相应的改进措施。</w:t>
      </w:r>
    </w:p>
    <w:p w14:paraId="14185FDB">
      <w:pPr>
        <w:spacing w:line="360" w:lineRule="auto"/>
        <w:ind w:firstLine="480" w:firstLineChars="200"/>
        <w:outlineLvl w:val="2"/>
        <w:rPr>
          <w:rFonts w:cs="Times New Roman" w:asciiTheme="minorEastAsia" w:hAnsiTheme="minorEastAsia"/>
          <w:color w:val="auto"/>
          <w:kern w:val="0"/>
          <w:sz w:val="24"/>
          <w:szCs w:val="24"/>
        </w:rPr>
      </w:pPr>
      <w:bookmarkStart w:id="23" w:name="_Toc515451675"/>
      <w:r>
        <w:rPr>
          <w:rFonts w:hint="eastAsia" w:cs="Times New Roman" w:asciiTheme="minorEastAsia" w:hAnsiTheme="minorEastAsia"/>
          <w:color w:val="auto"/>
          <w:kern w:val="0"/>
          <w:sz w:val="24"/>
          <w:szCs w:val="24"/>
        </w:rPr>
        <w:t>3、运作管理</w:t>
      </w:r>
      <w:bookmarkEnd w:id="23"/>
    </w:p>
    <w:p w14:paraId="0622057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a）产品设计诚信管理</w:t>
      </w:r>
    </w:p>
    <w:p w14:paraId="62395756">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公司产品设计与研发严格依照《设计与开发控制程序》从研发策划、过程各类活动记录、设计和开发输出、评审相关的整个过程。</w:t>
      </w:r>
    </w:p>
    <w:p w14:paraId="4CD870A8">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b）原材料采购诚信管理</w:t>
      </w:r>
    </w:p>
    <w:p w14:paraId="2666C4E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企业根据物料对产品质量的风险程度，将物料分为A重要物资、B</w:t>
      </w:r>
      <w:r>
        <w:rPr>
          <w:rFonts w:hint="eastAsia" w:hAnsi="宋体"/>
          <w:bCs/>
          <w:color w:val="auto"/>
          <w:sz w:val="24"/>
          <w:szCs w:val="24"/>
        </w:rPr>
        <w:t>一般物资</w:t>
      </w:r>
      <w:r>
        <w:rPr>
          <w:rFonts w:hint="eastAsia" w:cs="Times New Roman" w:asciiTheme="minorEastAsia" w:hAnsiTheme="minorEastAsia"/>
          <w:color w:val="auto"/>
          <w:kern w:val="0"/>
          <w:sz w:val="24"/>
          <w:szCs w:val="24"/>
        </w:rPr>
        <w:t>、C</w:t>
      </w:r>
      <w:r>
        <w:rPr>
          <w:rFonts w:hint="eastAsia" w:hAnsi="宋体"/>
          <w:bCs/>
          <w:color w:val="auto"/>
          <w:sz w:val="24"/>
          <w:szCs w:val="24"/>
        </w:rPr>
        <w:t>辅助物资</w:t>
      </w:r>
      <w:r>
        <w:rPr>
          <w:rFonts w:hint="eastAsia" w:cs="Times New Roman" w:asciiTheme="minorEastAsia" w:hAnsiTheme="minorEastAsia"/>
          <w:color w:val="auto"/>
          <w:kern w:val="0"/>
          <w:sz w:val="24"/>
          <w:szCs w:val="24"/>
        </w:rPr>
        <w:t>三类。对A类物料供应商，除了必须符合法定的资质外，还要定期进行现场审计。对B类物料的供应商，企业首先要对该种物料进行风险分析，视供应商提供物料的质量情况决定是否需进行现场审计。对C类物料的供应商，一般只考虑审计其资质。供方经初审合格后，由采购部经理决定是否需要送样或小批试用，考察其质量。供方产品如出现严重质量问题，如发生批次产品不合格，采购员应根据进货检证单将不合格情况记录在“供方业绩评价表”上，若供方在一年内有三批，则取消合格供方资格。</w:t>
      </w:r>
    </w:p>
    <w:p w14:paraId="4F9BE280">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在设备采购方面，采购员对有信誉及有能力的公司进行初步查询，并由供方提供相关证明(营业执照或质量证明,许可证等)后，填写“供方调查评价表”，验证供方管理体系满足采购产品要求的能力，包括对产品质量、环境影响及安全要求和生产能力等作出评价,交采购部主管初审，必要时可进行现场调查。所有设备在使用前必须经过设备验证，确保符合产品工艺要求。</w:t>
      </w:r>
    </w:p>
    <w:p w14:paraId="2A4D1E85">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c）生产过程诚信管理</w:t>
      </w:r>
    </w:p>
    <w:p w14:paraId="6B989BDF">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生产部、技术部、安全科具体负责各品种生产管理与技术管理工作。制定并逐步完善了各种生产管理制度、工作标准、岗位操作规程和各类工艺规程、管理规程、标准操作规程。采用车间集中培训和班前、班后会对各岗位操作人员进行全面的岗位技能培训，持证上岗，并采用多种方式进行督查、考核，增强员工质量意识，提高操作水平，在生产过程中，各级管理人员严格履行管理职责，及时检查，及时纠正差错，保证生产秩序的稳定。</w:t>
      </w:r>
    </w:p>
    <w:p w14:paraId="58A0A5C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对生产所需的原材料、辅料材料进行投产前复核，把好中间产品、成品的质量，严格执行对不合格品的“不生产、不接收、不流转”的“三不原则”，关键工序设质量控制点，督促员工做好自检、互检，专检规程，严格审批记录的管理规程，做到领用、发放和核对相统一。对每一生产步骤进行物料平衡，保证物料的投入和产品的产出数量与工艺要求相一致，确认无潜在质量隐患。</w:t>
      </w:r>
    </w:p>
    <w:p w14:paraId="2603E51C">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生产记录由生产部负责审核、印制和保管。员工操作必须按要求及时填写生产记录，做到字迹清晰、内容真实、数据完整，操作人及复核人签名确认。每批生产结束后，车间统计员把记录汇总、复核，及时上交生产部，经审核无误后，按批号整理归档，由专人管理。</w:t>
      </w:r>
    </w:p>
    <w:p w14:paraId="7E7930A5">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公司根据行业特点及实际情况，加强生产过程的信息化建设水平，应用</w:t>
      </w:r>
      <w:r>
        <w:rPr>
          <w:rFonts w:cs="Times New Roman" w:asciiTheme="minorEastAsia" w:hAnsiTheme="minorEastAsia"/>
          <w:color w:val="auto"/>
          <w:kern w:val="0"/>
          <w:sz w:val="24"/>
          <w:szCs w:val="24"/>
        </w:rPr>
        <w:t>ERP</w:t>
      </w:r>
      <w:r>
        <w:rPr>
          <w:rFonts w:hint="eastAsia" w:cs="Times New Roman" w:asciiTheme="minorEastAsia" w:hAnsiTheme="minorEastAsia"/>
          <w:color w:val="auto"/>
          <w:kern w:val="0"/>
          <w:sz w:val="24"/>
          <w:szCs w:val="24"/>
        </w:rPr>
        <w:t>系统的生产管理模块对整个过程进行数据采集和监控，对公司整个生产过程实行系统化管理，并挖掘内部潜力，发挥技术骨干人员的力量，开展对现有设备进行持续性改造或科技创新工作，对薄弱环节进行技术攻关；生产员工上岗前要经过培训及考核，建立全员培训档案，通过集中培训、班前会培训、“传、帮、带”、目视化等多种方式进行培训，强化其工作技能和质量意识。生产员工严格遵守车间纪律。</w:t>
      </w:r>
    </w:p>
    <w:p w14:paraId="0A4C231B">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推行精细化生产组织模式以缩短生产和交货周期，快速适应市场订单品种和数量高低起伏的变化，在降低库存基础上满足客户需求，满足了客户对电扶梯产品性能的全面了解和产品质量的进一步认可，订货率也随之提高，并且在很大程度上解决了售后质量问题，减少了售后服务工作人员的工作量，使售后服务工作安排更加柔性化。</w:t>
      </w:r>
    </w:p>
    <w:p w14:paraId="25EB6B59">
      <w:pPr>
        <w:spacing w:line="360" w:lineRule="auto"/>
        <w:ind w:firstLine="480" w:firstLineChars="200"/>
        <w:outlineLvl w:val="2"/>
        <w:rPr>
          <w:rFonts w:cs="Times New Roman" w:asciiTheme="minorEastAsia" w:hAnsiTheme="minorEastAsia"/>
          <w:color w:val="auto"/>
          <w:kern w:val="0"/>
          <w:sz w:val="24"/>
          <w:szCs w:val="24"/>
        </w:rPr>
      </w:pPr>
      <w:bookmarkStart w:id="24" w:name="_Toc515451676"/>
      <w:r>
        <w:rPr>
          <w:rFonts w:hint="eastAsia" w:cs="Times New Roman" w:asciiTheme="minorEastAsia" w:hAnsiTheme="minorEastAsia"/>
          <w:color w:val="auto"/>
          <w:kern w:val="0"/>
          <w:sz w:val="24"/>
          <w:szCs w:val="24"/>
        </w:rPr>
        <w:t>4、营销管理</w:t>
      </w:r>
      <w:bookmarkEnd w:id="24"/>
    </w:p>
    <w:p w14:paraId="5381F312">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根据战略要求，对市场进行细分，以提高资源和运作的有效性针对性。公司将顾客分为直接顾客、间接顾客两类。针对不同类型顾客确定顾客的需求与期望，针对其需求与期望来确定适当的方法，建立相应的体系与团队，建立各种渠道和方法，针对性的进行顾客需求与期望的了解。</w:t>
      </w:r>
    </w:p>
    <w:p w14:paraId="3B56ED27">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公司通过展览会、行业会议、行业标委会、公共媒体、互联网、外部机构等渠道，以问卷调查、面对面或电话访谈、观察查询、外部委托等方法，了解客户的需求和期望。</w:t>
      </w:r>
    </w:p>
    <w:p w14:paraId="10D4D56D">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各部门定期搜集顾客信息，解析后确定的顾客需求信息按照不同细分市场进行分类梳理总结，形成不同顾客群的需求与期望数据库，并从中归纳出针对不同细分市场顾客群总体需求特点的汇总资料，供产品规划、产品开发设计、过程控制等决策时参考。</w:t>
      </w:r>
    </w:p>
    <w:p w14:paraId="500C6B6C">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以“科技铸就永恒的亮丽”为核心价值观，指引公司以科技为内核、品质为基石、长期为导向，用专业技术塑造优质产品，用匠心坚守打造长久口碑，以创新与实干让企业、产品、品牌始终保持亮眼价值，实现可持续高质量发展。</w:t>
      </w:r>
    </w:p>
    <w:p w14:paraId="0781EA40">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公司建立顾客回访制度，采取顾客自愿形式，记录顾客联系电话、产品型号订购时间等相关信息</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rPr>
        <w:t>在顾客购买一段时间后进行电话回访，主动询问顾客满意度以及是否有使用疑问、质量问题和相关建议。通过常态化回访机制，全面收集顾客使用体验与反馈意见，建立闭环问题处理流程，做到有记录、有跟进、有整改、有回复。坚持以顾客需求为导向，及时解决顾客诉求，不断优化产品品质与服务细节，践行“完善管理，品质为先，不断改进，提供满意的产品和服务”的质量方针，持续提升顾客满意度。</w:t>
      </w:r>
    </w:p>
    <w:p w14:paraId="1E044ED3">
      <w:pPr>
        <w:spacing w:line="360" w:lineRule="auto"/>
        <w:ind w:firstLine="480" w:firstLineChars="200"/>
        <w:rPr>
          <w:rFonts w:cs="Times New Roman" w:asciiTheme="minorEastAsia" w:hAnsiTheme="minorEastAsia"/>
          <w:color w:val="FF0000"/>
          <w:kern w:val="0"/>
          <w:sz w:val="24"/>
          <w:szCs w:val="24"/>
        </w:rPr>
      </w:pPr>
      <w:r>
        <w:rPr>
          <w:rFonts w:hint="eastAsia" w:cs="Times New Roman" w:asciiTheme="minorEastAsia" w:hAnsiTheme="minorEastAsia"/>
          <w:color w:val="auto"/>
          <w:kern w:val="0"/>
          <w:sz w:val="24"/>
          <w:szCs w:val="24"/>
        </w:rPr>
        <w:t>公司建立及时反馈处理用户投诉意见的快速反应机制，投诉/应急处理的响应时间原则上不超过</w:t>
      </w:r>
      <w:r>
        <w:rPr>
          <w:rFonts w:cs="Times New Roman" w:asciiTheme="minorEastAsia" w:hAnsiTheme="minorEastAsia"/>
          <w:color w:val="auto"/>
          <w:kern w:val="0"/>
          <w:sz w:val="24"/>
          <w:szCs w:val="24"/>
        </w:rPr>
        <w:t>24</w:t>
      </w:r>
      <w:r>
        <w:rPr>
          <w:rFonts w:hint="eastAsia" w:cs="Times New Roman" w:asciiTheme="minorEastAsia" w:hAnsiTheme="minorEastAsia"/>
          <w:color w:val="auto"/>
          <w:kern w:val="0"/>
          <w:sz w:val="24"/>
          <w:szCs w:val="24"/>
        </w:rPr>
        <w:t>小时，对不可预测的变化，及时采取应对措施。</w:t>
      </w:r>
    </w:p>
    <w:p w14:paraId="2650C99F">
      <w:pPr>
        <w:spacing w:line="360" w:lineRule="auto"/>
        <w:ind w:firstLine="480" w:firstLineChars="200"/>
        <w:outlineLvl w:val="1"/>
        <w:rPr>
          <w:rFonts w:cs="Times New Roman" w:asciiTheme="minorEastAsia" w:hAnsiTheme="minorEastAsia"/>
          <w:color w:val="auto"/>
          <w:kern w:val="0"/>
          <w:sz w:val="24"/>
          <w:szCs w:val="24"/>
        </w:rPr>
      </w:pPr>
      <w:bookmarkStart w:id="25" w:name="_Toc18678"/>
      <w:r>
        <w:rPr>
          <w:rFonts w:hint="eastAsia" w:cs="Times New Roman" w:asciiTheme="minorEastAsia" w:hAnsiTheme="minorEastAsia"/>
          <w:color w:val="auto"/>
          <w:kern w:val="0"/>
          <w:sz w:val="24"/>
          <w:szCs w:val="24"/>
        </w:rPr>
        <w:t>（五）企业文化建设</w:t>
      </w:r>
      <w:bookmarkEnd w:id="25"/>
    </w:p>
    <w:p w14:paraId="0453B1DB">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1、企业</w:t>
      </w:r>
      <w:r>
        <w:rPr>
          <w:rFonts w:hint="eastAsia" w:cs="Times New Roman" w:asciiTheme="minorEastAsia" w:hAnsiTheme="minorEastAsia"/>
          <w:color w:val="auto"/>
          <w:kern w:val="0"/>
          <w:sz w:val="24"/>
          <w:szCs w:val="24"/>
          <w:lang w:val="en-US" w:eastAsia="zh-CN"/>
        </w:rPr>
        <w:t>宗旨</w:t>
      </w:r>
      <w:r>
        <w:rPr>
          <w:rFonts w:hint="eastAsia" w:cs="Times New Roman" w:asciiTheme="minorEastAsia" w:hAnsiTheme="minorEastAsia"/>
          <w:color w:val="auto"/>
          <w:kern w:val="0"/>
          <w:sz w:val="24"/>
          <w:szCs w:val="24"/>
        </w:rPr>
        <w:t>、企业愿景、企业价值观</w:t>
      </w:r>
    </w:p>
    <w:p w14:paraId="19DAD0EA">
      <w:pPr>
        <w:spacing w:line="360" w:lineRule="auto"/>
        <w:ind w:firstLine="480" w:firstLineChars="200"/>
        <w:rPr>
          <w:rFonts w:cs="Times New Roman" w:asciiTheme="minorEastAsia" w:hAnsiTheme="minorEastAsia"/>
          <w:color w:val="auto"/>
          <w:kern w:val="0"/>
          <w:sz w:val="24"/>
          <w:szCs w:val="24"/>
        </w:rPr>
      </w:pPr>
      <w:bookmarkStart w:id="26" w:name="_Hlk24922071"/>
      <w:bookmarkStart w:id="27" w:name="_Hlk24613985"/>
      <w:bookmarkStart w:id="28" w:name="_Hlk112002177"/>
      <w:r>
        <w:rPr>
          <w:rFonts w:hint="eastAsia" w:cs="Times New Roman" w:asciiTheme="minorEastAsia" w:hAnsiTheme="minorEastAsia"/>
          <w:color w:val="auto"/>
          <w:kern w:val="0"/>
          <w:sz w:val="24"/>
          <w:szCs w:val="24"/>
        </w:rPr>
        <w:t>公司</w:t>
      </w:r>
      <w:r>
        <w:rPr>
          <w:rFonts w:hint="eastAsia" w:cs="Times New Roman" w:asciiTheme="minorEastAsia" w:hAnsiTheme="minorEastAsia"/>
          <w:color w:val="auto"/>
          <w:kern w:val="0"/>
          <w:sz w:val="24"/>
          <w:szCs w:val="24"/>
          <w:lang w:val="en-US" w:eastAsia="zh-CN"/>
        </w:rPr>
        <w:t>宗旨</w:t>
      </w:r>
      <w:r>
        <w:rPr>
          <w:rFonts w:hint="eastAsia" w:cs="Times New Roman" w:asciiTheme="minorEastAsia" w:hAnsiTheme="minorEastAsia"/>
          <w:color w:val="auto"/>
          <w:kern w:val="0"/>
          <w:sz w:val="24"/>
          <w:szCs w:val="24"/>
        </w:rPr>
        <w:t>：</w:t>
      </w:r>
      <w:bookmarkStart w:id="29" w:name="_Hlk112001009"/>
      <w:r>
        <w:rPr>
          <w:rFonts w:hint="eastAsia" w:ascii="宋体" w:hAnsi="宋体"/>
          <w:color w:val="auto"/>
          <w:sz w:val="24"/>
          <w:szCs w:val="24"/>
        </w:rPr>
        <w:t>人是企业的主体，是生产力诸要素中活跃、积极的因素。始终坚持</w:t>
      </w:r>
      <w:r>
        <w:rPr>
          <w:rFonts w:hint="eastAsia" w:ascii="宋体" w:hAnsi="宋体"/>
          <w:color w:val="auto"/>
          <w:sz w:val="24"/>
          <w:szCs w:val="24"/>
          <w:lang w:eastAsia="zh-CN"/>
        </w:rPr>
        <w:t>“</w:t>
      </w:r>
      <w:r>
        <w:rPr>
          <w:rFonts w:hint="eastAsia" w:ascii="宋体" w:hAnsi="宋体"/>
          <w:color w:val="auto"/>
          <w:sz w:val="24"/>
          <w:szCs w:val="24"/>
        </w:rPr>
        <w:t>以人为本，强企富民”，是中凯办企业的出发点和落脚点，是中凯根本的指导思想和根本的目的。因此，从满足人的需求和激发人的创造性出发，全心全意依靠员工办企业，通过企业的发展，不断为消费者创造更多的价值，为投资者创造更多的利益造福员工，造福杜会，是中凯的追求目标。</w:t>
      </w:r>
    </w:p>
    <w:p w14:paraId="7A8D56E1">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愿景：</w:t>
      </w:r>
      <w:r>
        <w:rPr>
          <w:rFonts w:hint="eastAsia" w:ascii="宋体" w:hAnsi="宋体"/>
          <w:color w:val="auto"/>
          <w:sz w:val="24"/>
          <w:szCs w:val="24"/>
        </w:rPr>
        <w:t>随着时代的变迁，社会的进步，人们对于漆的要求不再是简单的墙面保护和装饰作用，建筑物承载的也不仅仅是供人使用的简单功能，崇尚设计美学的时代悄然而至。所以中凯不得不要求自己做出策略改变，放下过去拥抱未来。未来中凯将打破藩篱，创造出更具美学意义的产品，通过系统化的立面美学设计对建筑的每一面墙进行研究，为它打造最美的涂装方案。赋予每一个经手的建筑物以独特灵魂，让建筑物“发声”，这是中凯着眼置身的新事业。</w:t>
      </w:r>
    </w:p>
    <w:p w14:paraId="1B4AE695">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核心价值观：</w:t>
      </w:r>
      <w:bookmarkEnd w:id="29"/>
      <w:r>
        <w:rPr>
          <w:rFonts w:hint="eastAsia" w:cs="Times New Roman" w:asciiTheme="minorEastAsia" w:hAnsiTheme="minorEastAsia"/>
          <w:color w:val="auto"/>
          <w:kern w:val="0"/>
          <w:sz w:val="24"/>
          <w:szCs w:val="24"/>
        </w:rPr>
        <w:t>科技铸就永恒的亮丽。</w:t>
      </w:r>
      <w:bookmarkEnd w:id="26"/>
      <w:bookmarkEnd w:id="27"/>
    </w:p>
    <w:bookmarkEnd w:id="28"/>
    <w:p w14:paraId="237CAAE3">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2、品牌建设情况</w:t>
      </w:r>
    </w:p>
    <w:p w14:paraId="2579131B">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公司拥有精良的生产设备，完整的管理体系和先进的检测设备，经过多年的市场调研和产品开发，荟萃了许多科研精英，解决了以往涂料中存在的一些长期没有得到解决的缺陷，成为建筑涂料领域的佼佼者，并成为国内具有一定规模和信誉的涂料生产企业。</w:t>
      </w:r>
    </w:p>
    <w:p w14:paraId="28DBEB86">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公司不断壮大“精、专、新”的研发队伍，持续改善产品技术水平和质量性能，近年来产品多次获得客户和同行认可</w:t>
      </w:r>
      <w:r>
        <w:rPr>
          <w:rFonts w:hint="eastAsia" w:cs="Times New Roman" w:asciiTheme="minorEastAsia" w:hAnsiTheme="minorEastAsia"/>
          <w:color w:val="auto"/>
          <w:kern w:val="0"/>
          <w:sz w:val="24"/>
          <w:szCs w:val="24"/>
        </w:rPr>
        <w:t>。</w:t>
      </w:r>
    </w:p>
    <w:p w14:paraId="17E73938">
      <w:pPr>
        <w:spacing w:line="360" w:lineRule="auto"/>
        <w:ind w:firstLine="480" w:firstLineChars="200"/>
        <w:outlineLvl w:val="1"/>
        <w:rPr>
          <w:rFonts w:cs="Times New Roman" w:asciiTheme="minorEastAsia" w:hAnsiTheme="minorEastAsia"/>
          <w:color w:val="auto"/>
          <w:kern w:val="0"/>
          <w:sz w:val="24"/>
          <w:szCs w:val="24"/>
        </w:rPr>
      </w:pPr>
      <w:bookmarkStart w:id="30" w:name="_Toc515451678"/>
      <w:bookmarkStart w:id="31" w:name="_Toc5299"/>
      <w:r>
        <w:rPr>
          <w:rFonts w:hint="eastAsia" w:cs="Times New Roman" w:asciiTheme="minorEastAsia" w:hAnsiTheme="minorEastAsia"/>
          <w:color w:val="auto"/>
          <w:kern w:val="0"/>
          <w:sz w:val="24"/>
          <w:szCs w:val="24"/>
        </w:rPr>
        <w:t>（六）</w:t>
      </w:r>
      <w:bookmarkEnd w:id="30"/>
      <w:r>
        <w:rPr>
          <w:rFonts w:hint="eastAsia" w:cs="Times New Roman" w:asciiTheme="minorEastAsia" w:hAnsiTheme="minorEastAsia"/>
          <w:color w:val="auto"/>
          <w:kern w:val="0"/>
          <w:sz w:val="24"/>
          <w:szCs w:val="24"/>
        </w:rPr>
        <w:t>企业技术水平</w:t>
      </w:r>
      <w:bookmarkEnd w:id="31"/>
    </w:p>
    <w:p w14:paraId="44503E77">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lang w:val="en-US" w:eastAsia="zh-CN"/>
        </w:rPr>
        <w:t>1</w:t>
      </w:r>
      <w:r>
        <w:rPr>
          <w:rFonts w:hint="eastAsia" w:cs="Times New Roman" w:asciiTheme="minorEastAsia" w:hAnsiTheme="minorEastAsia"/>
          <w:color w:val="auto"/>
          <w:kern w:val="0"/>
          <w:sz w:val="24"/>
          <w:szCs w:val="24"/>
        </w:rPr>
        <w:t>、专利情况</w:t>
      </w:r>
    </w:p>
    <w:p w14:paraId="55793568">
      <w:pPr>
        <w:pStyle w:val="107"/>
        <w:rPr>
          <w:rFonts w:cs="Times New Roman" w:asciiTheme="minorEastAsia" w:hAnsiTheme="minorEastAsia"/>
          <w:color w:val="auto"/>
          <w:kern w:val="0"/>
          <w:sz w:val="24"/>
          <w:szCs w:val="24"/>
          <w:highlight w:val="yellow"/>
        </w:rPr>
      </w:pPr>
      <w:r>
        <w:rPr>
          <w:rFonts w:hint="eastAsia" w:cs="Times New Roman" w:asciiTheme="minorEastAsia" w:hAnsiTheme="minorEastAsia"/>
          <w:color w:val="auto"/>
          <w:kern w:val="0"/>
          <w:sz w:val="24"/>
          <w:szCs w:val="24"/>
        </w:rPr>
        <w:t>近年来，公司积极开展自主创新工作，加大研发投入力度，公司</w:t>
      </w:r>
      <w:r>
        <w:rPr>
          <w:rFonts w:hint="eastAsia" w:cs="Times New Roman" w:asciiTheme="minorEastAsia" w:hAnsiTheme="minorEastAsia"/>
          <w:color w:val="auto"/>
          <w:kern w:val="0"/>
          <w:sz w:val="24"/>
          <w:szCs w:val="24"/>
          <w:highlight w:val="none"/>
          <w:lang w:val="en-US" w:eastAsia="zh-CN"/>
        </w:rPr>
        <w:t>目前授权的</w:t>
      </w:r>
      <w:r>
        <w:rPr>
          <w:rFonts w:hint="eastAsia" w:cs="Times New Roman" w:asciiTheme="minorEastAsia" w:hAnsiTheme="minorEastAsia"/>
          <w:color w:val="auto"/>
          <w:kern w:val="0"/>
          <w:sz w:val="24"/>
          <w:szCs w:val="24"/>
          <w:highlight w:val="none"/>
        </w:rPr>
        <w:t>专利</w:t>
      </w:r>
      <w:r>
        <w:rPr>
          <w:rFonts w:hint="eastAsia" w:cs="Times New Roman" w:asciiTheme="minorEastAsia" w:hAnsiTheme="minorEastAsia"/>
          <w:color w:val="auto"/>
          <w:kern w:val="0"/>
          <w:sz w:val="24"/>
          <w:szCs w:val="24"/>
          <w:highlight w:val="none"/>
          <w:lang w:val="en-US" w:eastAsia="zh-CN"/>
        </w:rPr>
        <w:t>有37</w:t>
      </w:r>
      <w:r>
        <w:rPr>
          <w:rFonts w:hint="eastAsia" w:cs="Times New Roman" w:asciiTheme="minorEastAsia" w:hAnsiTheme="minorEastAsia"/>
          <w:color w:val="auto"/>
          <w:kern w:val="0"/>
          <w:sz w:val="24"/>
          <w:szCs w:val="24"/>
          <w:highlight w:val="none"/>
        </w:rPr>
        <w:t>项，实用新型专利</w:t>
      </w:r>
      <w:r>
        <w:rPr>
          <w:rFonts w:hint="eastAsia" w:cs="Times New Roman" w:asciiTheme="minorEastAsia" w:hAnsiTheme="minorEastAsia"/>
          <w:color w:val="auto"/>
          <w:kern w:val="0"/>
          <w:sz w:val="24"/>
          <w:szCs w:val="24"/>
          <w:highlight w:val="none"/>
          <w:lang w:val="en-US" w:eastAsia="zh-CN"/>
        </w:rPr>
        <w:t>36</w:t>
      </w:r>
      <w:bookmarkStart w:id="41" w:name="_GoBack"/>
      <w:bookmarkEnd w:id="41"/>
      <w:r>
        <w:rPr>
          <w:rFonts w:hint="eastAsia" w:cs="Times New Roman" w:asciiTheme="minorEastAsia" w:hAnsiTheme="minorEastAsia"/>
          <w:color w:val="auto"/>
          <w:kern w:val="0"/>
          <w:sz w:val="24"/>
          <w:szCs w:val="24"/>
          <w:highlight w:val="none"/>
        </w:rPr>
        <w:t>项</w:t>
      </w:r>
      <w:r>
        <w:rPr>
          <w:rFonts w:hint="eastAsia" w:cs="Times New Roman" w:asciiTheme="minorEastAsia" w:hAnsiTheme="minorEastAsia"/>
          <w:color w:val="auto"/>
          <w:kern w:val="0"/>
          <w:sz w:val="24"/>
          <w:szCs w:val="24"/>
          <w:highlight w:val="none"/>
          <w:lang w:eastAsia="zh-CN"/>
        </w:rPr>
        <w:t>，</w:t>
      </w:r>
      <w:r>
        <w:rPr>
          <w:rFonts w:hint="eastAsia" w:cs="Times New Roman" w:asciiTheme="minorEastAsia" w:hAnsiTheme="minorEastAsia"/>
          <w:color w:val="auto"/>
          <w:kern w:val="0"/>
          <w:sz w:val="24"/>
          <w:szCs w:val="24"/>
          <w:highlight w:val="none"/>
        </w:rPr>
        <w:t>发明专利</w:t>
      </w:r>
      <w:r>
        <w:rPr>
          <w:rFonts w:hint="eastAsia" w:cs="Times New Roman" w:asciiTheme="minorEastAsia" w:hAnsiTheme="minorEastAsia"/>
          <w:color w:val="auto"/>
          <w:kern w:val="0"/>
          <w:sz w:val="24"/>
          <w:szCs w:val="24"/>
          <w:highlight w:val="none"/>
          <w:lang w:val="en-US" w:eastAsia="zh-CN"/>
        </w:rPr>
        <w:t>1</w:t>
      </w:r>
      <w:r>
        <w:rPr>
          <w:rFonts w:hint="eastAsia" w:cs="Times New Roman" w:asciiTheme="minorEastAsia" w:hAnsiTheme="minorEastAsia"/>
          <w:color w:val="auto"/>
          <w:kern w:val="0"/>
          <w:sz w:val="24"/>
          <w:szCs w:val="24"/>
          <w:highlight w:val="none"/>
        </w:rPr>
        <w:t>项</w:t>
      </w:r>
      <w:r>
        <w:rPr>
          <w:rFonts w:hint="eastAsia"/>
          <w:color w:val="auto"/>
          <w:szCs w:val="24"/>
          <w:lang w:val="zh-CN"/>
        </w:rPr>
        <w:t>。</w:t>
      </w:r>
    </w:p>
    <w:p w14:paraId="2602B498">
      <w:pPr>
        <w:spacing w:line="360" w:lineRule="auto"/>
        <w:ind w:firstLine="480" w:firstLineChars="200"/>
        <w:outlineLvl w:val="2"/>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lang w:val="en-US" w:eastAsia="zh-CN"/>
        </w:rPr>
        <w:t>2</w:t>
      </w:r>
      <w:r>
        <w:rPr>
          <w:rFonts w:hint="eastAsia" w:cs="Times New Roman" w:asciiTheme="minorEastAsia" w:hAnsiTheme="minorEastAsia"/>
          <w:color w:val="auto"/>
          <w:kern w:val="0"/>
          <w:sz w:val="24"/>
          <w:szCs w:val="24"/>
        </w:rPr>
        <w:t>、产品检验标准与水平</w:t>
      </w:r>
    </w:p>
    <w:p w14:paraId="50D6EE94">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将企业标准化贯穿于生产全过程，从原辅材料、包装材料的采购、半成品、成品检验等各个环节，均制定了相关标准。从而使产品从原辅材料进厂到成品出厂的整个生产过程都处于标准化规范管理之中，对稳定产品质量、提高企业管理水平奠定了良好的基础。</w:t>
      </w:r>
    </w:p>
    <w:p w14:paraId="64108173">
      <w:pPr>
        <w:spacing w:line="360" w:lineRule="auto"/>
        <w:ind w:firstLine="480" w:firstLineChars="200"/>
        <w:outlineLvl w:val="1"/>
        <w:rPr>
          <w:rFonts w:cs="Times New Roman" w:asciiTheme="minorEastAsia" w:hAnsiTheme="minorEastAsia"/>
          <w:color w:val="auto"/>
          <w:kern w:val="0"/>
          <w:sz w:val="24"/>
          <w:szCs w:val="24"/>
        </w:rPr>
      </w:pPr>
      <w:bookmarkStart w:id="32" w:name="_Toc515451679"/>
      <w:bookmarkStart w:id="33" w:name="_Toc26372"/>
      <w:r>
        <w:rPr>
          <w:rFonts w:hint="eastAsia" w:cs="Times New Roman" w:asciiTheme="minorEastAsia" w:hAnsiTheme="minorEastAsia"/>
          <w:color w:val="auto"/>
          <w:kern w:val="0"/>
          <w:sz w:val="24"/>
          <w:szCs w:val="24"/>
        </w:rPr>
        <w:t>（七）</w:t>
      </w:r>
      <w:bookmarkEnd w:id="32"/>
      <w:r>
        <w:rPr>
          <w:rFonts w:hint="eastAsia" w:cs="Times New Roman" w:asciiTheme="minorEastAsia" w:hAnsiTheme="minorEastAsia"/>
          <w:color w:val="auto"/>
          <w:kern w:val="0"/>
          <w:sz w:val="24"/>
          <w:szCs w:val="24"/>
        </w:rPr>
        <w:t>企业计量水平</w:t>
      </w:r>
      <w:bookmarkEnd w:id="33"/>
    </w:p>
    <w:p w14:paraId="68431010">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严格执行《中华人民共和国计量法》等文件法规，从原材料采购、过程管理、生产设备、检验设备、工序检验、成品检验等环节建立了一整套管理文件和控制方法。设有专职计量人员负责公司的在用计量设备管理、配备和定期校检工作，注重对计量管理人员的专业培训，为公司的计量管理的规范化提供了有力的保障。</w:t>
      </w:r>
    </w:p>
    <w:p w14:paraId="6FCC163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为确保产品质量，在产品生产工艺中严格过程控制，对生产工艺过程中的原辅材料等加强计量管理，确保计量设备的正常运行和计量的准确性。</w:t>
      </w:r>
    </w:p>
    <w:p w14:paraId="037E3FF7">
      <w:pPr>
        <w:spacing w:line="360" w:lineRule="auto"/>
        <w:ind w:firstLine="480" w:firstLineChars="200"/>
        <w:rPr>
          <w:rFonts w:cs="Times New Roman" w:asciiTheme="minorEastAsia" w:hAnsiTheme="minorEastAsia"/>
          <w:color w:val="FF0000"/>
          <w:kern w:val="0"/>
          <w:sz w:val="24"/>
          <w:szCs w:val="24"/>
        </w:rPr>
      </w:pPr>
      <w:r>
        <w:rPr>
          <w:rFonts w:hint="eastAsia" w:cs="Times New Roman" w:asciiTheme="minorEastAsia" w:hAnsiTheme="minorEastAsia"/>
          <w:color w:val="auto"/>
          <w:kern w:val="0"/>
          <w:sz w:val="24"/>
          <w:szCs w:val="24"/>
        </w:rPr>
        <w:t>对计量器具从采购、入库出库严格按照审批计划和管理程序执行，仓库有专人保管计量器具，建立台帐和登记手续，计量器具的领用出库必须通过检定，有检定合格证方可投入使用；对在用的计量器具严格按周期检定，强化现场检查和监管，掌握其使用情况，发现问题及时处理；对存在问题部门提出整改意见，采取积极有效措施进行整改，为生产优质产品奠定了坚实的的计量基础。</w:t>
      </w:r>
    </w:p>
    <w:p w14:paraId="4E4A5372">
      <w:pPr>
        <w:spacing w:line="360" w:lineRule="auto"/>
        <w:ind w:firstLine="480" w:firstLineChars="200"/>
        <w:rPr>
          <w:rFonts w:hint="eastAsia" w:cs="Times New Roman" w:asciiTheme="minorEastAsia" w:hAnsiTheme="minorEastAsia"/>
          <w:color w:val="auto"/>
          <w:kern w:val="0"/>
          <w:sz w:val="24"/>
          <w:szCs w:val="24"/>
        </w:rPr>
      </w:pPr>
      <w:bookmarkStart w:id="34" w:name="_Toc515451680"/>
      <w:bookmarkStart w:id="35" w:name="_Toc9831"/>
      <w:r>
        <w:rPr>
          <w:rFonts w:hint="eastAsia" w:cs="Times New Roman" w:asciiTheme="minorEastAsia" w:hAnsiTheme="minorEastAsia"/>
          <w:color w:val="auto"/>
          <w:kern w:val="0"/>
          <w:sz w:val="24"/>
          <w:szCs w:val="24"/>
        </w:rPr>
        <w:t>（八）认证认可情况</w:t>
      </w:r>
      <w:bookmarkEnd w:id="34"/>
      <w:bookmarkEnd w:id="35"/>
    </w:p>
    <w:p w14:paraId="1470234B">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目前公司已通过</w:t>
      </w:r>
      <w:r>
        <w:rPr>
          <w:rFonts w:hint="eastAsia" w:cs="Times New Roman" w:asciiTheme="minorEastAsia" w:hAnsiTheme="minorEastAsia"/>
          <w:color w:val="auto"/>
          <w:kern w:val="0"/>
          <w:sz w:val="24"/>
          <w:szCs w:val="24"/>
          <w:lang w:val="en-US" w:eastAsia="zh-CN"/>
        </w:rPr>
        <w:t>ISO 9001</w:t>
      </w:r>
      <w:r>
        <w:rPr>
          <w:rFonts w:hint="eastAsia" w:cs="Times New Roman" w:asciiTheme="minorEastAsia" w:hAnsiTheme="minorEastAsia"/>
          <w:color w:val="auto"/>
          <w:kern w:val="0"/>
          <w:sz w:val="24"/>
          <w:szCs w:val="24"/>
        </w:rPr>
        <w:t>质量认证，并准备开展“浙江制造”品牌认证，公司将严格按国际质量管理体系执行，使企业产品的质量得到有力的保障，从而使企业“完善管理，品质为先，不断改进，提供满意的产品和服务。”的质量方针得以顺利推行。</w:t>
      </w:r>
    </w:p>
    <w:p w14:paraId="2D06B6C9">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--管理体系</w:t>
      </w:r>
    </w:p>
    <w:p w14:paraId="759EFBE2">
      <w:pPr>
        <w:spacing w:line="360" w:lineRule="auto"/>
        <w:ind w:firstLine="480" w:firstLineChars="200"/>
        <w:rPr>
          <w:rFonts w:hint="eastAsia"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通过“ISO</w:t>
      </w:r>
      <w:r>
        <w:rPr>
          <w:rFonts w:hint="eastAsia" w:cs="Times New Roman" w:asciiTheme="minorEastAsia" w:hAnsiTheme="minorEastAsia"/>
          <w:color w:val="auto"/>
          <w:kern w:val="0"/>
          <w:sz w:val="24"/>
          <w:szCs w:val="24"/>
          <w:lang w:val="en-US" w:eastAsia="zh-CN"/>
        </w:rPr>
        <w:t xml:space="preserve"> </w:t>
      </w:r>
      <w:r>
        <w:rPr>
          <w:rFonts w:hint="eastAsia" w:cs="Times New Roman" w:asciiTheme="minorEastAsia" w:hAnsiTheme="minorEastAsia"/>
          <w:color w:val="auto"/>
          <w:kern w:val="0"/>
          <w:sz w:val="24"/>
          <w:szCs w:val="24"/>
        </w:rPr>
        <w:t>9001 国际质量体系认证”、“ISO</w:t>
      </w:r>
      <w:r>
        <w:rPr>
          <w:rFonts w:hint="eastAsia" w:cs="Times New Roman" w:asciiTheme="minorEastAsia" w:hAnsiTheme="minorEastAsia"/>
          <w:color w:val="auto"/>
          <w:kern w:val="0"/>
          <w:sz w:val="24"/>
          <w:szCs w:val="24"/>
          <w:lang w:val="en-US" w:eastAsia="zh-CN"/>
        </w:rPr>
        <w:t xml:space="preserve"> </w:t>
      </w:r>
      <w:r>
        <w:rPr>
          <w:rFonts w:hint="eastAsia" w:cs="Times New Roman" w:asciiTheme="minorEastAsia" w:hAnsiTheme="minorEastAsia"/>
          <w:color w:val="auto"/>
          <w:kern w:val="0"/>
          <w:sz w:val="24"/>
          <w:szCs w:val="24"/>
        </w:rPr>
        <w:t>14001 环境管理体系认证”、“ISO</w:t>
      </w:r>
      <w:r>
        <w:rPr>
          <w:rFonts w:hint="eastAsia" w:cs="Times New Roman" w:asciiTheme="minorEastAsia" w:hAnsiTheme="minorEastAsia"/>
          <w:color w:val="auto"/>
          <w:kern w:val="0"/>
          <w:sz w:val="24"/>
          <w:szCs w:val="24"/>
          <w:lang w:val="en-US" w:eastAsia="zh-CN"/>
        </w:rPr>
        <w:t xml:space="preserve"> </w:t>
      </w:r>
      <w:r>
        <w:rPr>
          <w:rFonts w:hint="eastAsia" w:cs="Times New Roman" w:asciiTheme="minorEastAsia" w:hAnsiTheme="minorEastAsia"/>
          <w:color w:val="auto"/>
          <w:kern w:val="0"/>
          <w:sz w:val="24"/>
          <w:szCs w:val="24"/>
        </w:rPr>
        <w:t>45001 职业健康安全认证”</w:t>
      </w:r>
      <w:r>
        <w:rPr>
          <w:rFonts w:hint="eastAsia" w:cs="Times New Roman" w:asciiTheme="minorEastAsia" w:hAnsiTheme="minorEastAsia"/>
          <w:color w:val="auto"/>
          <w:kern w:val="0"/>
          <w:sz w:val="24"/>
          <w:szCs w:val="24"/>
          <w:lang w:eastAsia="zh-CN"/>
        </w:rPr>
        <w:t>，</w:t>
      </w:r>
      <w:r>
        <w:rPr>
          <w:rFonts w:hint="eastAsia" w:cs="Times New Roman" w:asciiTheme="minorEastAsia" w:hAnsiTheme="minorEastAsia"/>
          <w:color w:val="auto"/>
          <w:kern w:val="0"/>
          <w:sz w:val="24"/>
          <w:szCs w:val="24"/>
        </w:rPr>
        <w:t>产品达到业内先进水平。</w:t>
      </w:r>
    </w:p>
    <w:p w14:paraId="6F31F626">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--产品认证</w:t>
      </w:r>
    </w:p>
    <w:p w14:paraId="6ABD031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公司主要产品性能指标达到国内领先水平。</w:t>
      </w:r>
    </w:p>
    <w:p w14:paraId="702D84B7">
      <w:pPr>
        <w:spacing w:line="360" w:lineRule="auto"/>
        <w:ind w:firstLine="480" w:firstLineChars="200"/>
        <w:outlineLvl w:val="1"/>
        <w:rPr>
          <w:rFonts w:cs="Times New Roman" w:asciiTheme="minorEastAsia" w:hAnsiTheme="minorEastAsia"/>
          <w:color w:val="auto"/>
          <w:kern w:val="0"/>
          <w:sz w:val="24"/>
          <w:szCs w:val="24"/>
        </w:rPr>
      </w:pPr>
      <w:bookmarkStart w:id="36" w:name="_Toc110"/>
      <w:bookmarkStart w:id="37" w:name="_Toc515451683"/>
      <w:r>
        <w:rPr>
          <w:rFonts w:hint="eastAsia" w:cs="Times New Roman" w:asciiTheme="minorEastAsia" w:hAnsiTheme="minorEastAsia"/>
          <w:color w:val="auto"/>
          <w:kern w:val="0"/>
          <w:sz w:val="24"/>
          <w:szCs w:val="24"/>
        </w:rPr>
        <w:t>（九）产品质量承诺</w:t>
      </w:r>
      <w:bookmarkEnd w:id="36"/>
    </w:p>
    <w:bookmarkEnd w:id="37"/>
    <w:p w14:paraId="2106A2CE">
      <w:pPr>
        <w:spacing w:line="360" w:lineRule="auto"/>
        <w:ind w:firstLine="480" w:firstLineChars="200"/>
        <w:outlineLvl w:val="1"/>
        <w:rPr>
          <w:rFonts w:cstheme="minorHAnsi"/>
          <w:color w:val="auto"/>
          <w:sz w:val="24"/>
          <w:szCs w:val="24"/>
        </w:rPr>
      </w:pPr>
      <w:bookmarkStart w:id="38" w:name="_Toc14390"/>
      <w:r>
        <w:rPr>
          <w:rFonts w:hint="eastAsia" w:cstheme="minorHAnsi"/>
          <w:color w:val="auto"/>
          <w:sz w:val="24"/>
          <w:szCs w:val="24"/>
          <w:lang w:val="en-US" w:eastAsia="zh-CN"/>
        </w:rPr>
        <w:t>公司</w:t>
      </w:r>
      <w:r>
        <w:rPr>
          <w:rFonts w:hint="eastAsia" w:cstheme="minorHAnsi"/>
          <w:color w:val="auto"/>
          <w:sz w:val="24"/>
          <w:szCs w:val="24"/>
        </w:rPr>
        <w:t>提供的产品，经权威部门检测，不符合国家标准的，应向</w:t>
      </w:r>
      <w:r>
        <w:rPr>
          <w:rFonts w:hint="eastAsia" w:cstheme="minorHAnsi"/>
          <w:color w:val="auto"/>
          <w:sz w:val="24"/>
          <w:szCs w:val="24"/>
          <w:lang w:val="en-US" w:eastAsia="zh-CN"/>
        </w:rPr>
        <w:t>客户</w:t>
      </w:r>
      <w:r>
        <w:rPr>
          <w:rFonts w:hint="eastAsia" w:cstheme="minorHAnsi"/>
          <w:color w:val="auto"/>
          <w:sz w:val="24"/>
          <w:szCs w:val="24"/>
        </w:rPr>
        <w:t>支付该批货物总价10%的违约金。并尽快调换合格产品给</w:t>
      </w:r>
      <w:r>
        <w:rPr>
          <w:rFonts w:hint="eastAsia" w:cstheme="minorHAnsi"/>
          <w:color w:val="auto"/>
          <w:sz w:val="24"/>
          <w:szCs w:val="24"/>
          <w:lang w:val="en-US" w:eastAsia="zh-CN"/>
        </w:rPr>
        <w:t>客户</w:t>
      </w:r>
      <w:r>
        <w:rPr>
          <w:rFonts w:hint="eastAsia" w:cstheme="minorHAnsi"/>
          <w:color w:val="auto"/>
          <w:sz w:val="24"/>
          <w:szCs w:val="24"/>
        </w:rPr>
        <w:t>。</w:t>
      </w:r>
    </w:p>
    <w:p w14:paraId="16A08ACF">
      <w:pPr>
        <w:spacing w:line="360" w:lineRule="auto"/>
        <w:ind w:firstLine="480" w:firstLineChars="200"/>
        <w:outlineLvl w:val="1"/>
        <w:rPr>
          <w:rFonts w:cstheme="minorHAnsi"/>
          <w:color w:val="auto"/>
          <w:kern w:val="0"/>
          <w:sz w:val="24"/>
          <w:szCs w:val="24"/>
        </w:rPr>
      </w:pPr>
      <w:r>
        <w:rPr>
          <w:rFonts w:cstheme="minorHAnsi"/>
          <w:color w:val="auto"/>
          <w:kern w:val="0"/>
          <w:sz w:val="24"/>
          <w:szCs w:val="24"/>
        </w:rPr>
        <w:t>（十）质量投诉处理</w:t>
      </w:r>
      <w:bookmarkEnd w:id="38"/>
    </w:p>
    <w:p w14:paraId="27F9F61A">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建立并实施顾客投诉处理流程，确保及时有效地处理客户投诉。客户投诉由专职人员处理，每张投诉单，均应严密监控，根据客户投诉类型与程度的差异，以客户为中心并注重收集和解决客户的反馈，并采取必要的纠正/预防措施，以防止类似问题的重复发生。以电话回访的方式跟踪投诉处理过程，了解顾客的满意度。</w:t>
      </w:r>
    </w:p>
    <w:p w14:paraId="3B630130">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同时，公司销售部门对客诉信息定期监测，设立售后服务部门，对市场中重复发生及影响客户满意度和产品体验的问题进行集中收集，并加以分析，形成报告。定期组织内部各部门召开产品质量会议。组建品管圈、跨部门产品质量改善团队、同时联动上游供应商及相关合作伙伴，对重大产品质量问题进行攻坚改善，消除质量风险，提升产品质量满意度。</w:t>
      </w:r>
    </w:p>
    <w:p w14:paraId="60315BB0">
      <w:pPr>
        <w:spacing w:line="360" w:lineRule="auto"/>
        <w:ind w:firstLine="480" w:firstLineChars="200"/>
        <w:outlineLvl w:val="1"/>
        <w:rPr>
          <w:rFonts w:cs="Times New Roman" w:asciiTheme="minorEastAsia" w:hAnsiTheme="minorEastAsia"/>
          <w:color w:val="auto"/>
          <w:kern w:val="0"/>
          <w:sz w:val="24"/>
          <w:szCs w:val="24"/>
        </w:rPr>
      </w:pPr>
      <w:bookmarkStart w:id="39" w:name="_Toc21494"/>
      <w:r>
        <w:rPr>
          <w:rFonts w:hint="eastAsia" w:cs="Times New Roman" w:asciiTheme="minorEastAsia" w:hAnsiTheme="minorEastAsia"/>
          <w:color w:val="auto"/>
          <w:kern w:val="0"/>
          <w:sz w:val="24"/>
          <w:szCs w:val="24"/>
        </w:rPr>
        <w:t>（十一）质量风险监测</w:t>
      </w:r>
      <w:bookmarkEnd w:id="39"/>
    </w:p>
    <w:p w14:paraId="60975331">
      <w:pPr>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公司制定常规产品生产运行控制流程，做到每一个环节严格控制，严格把关，确保每个零件的生产都符合相关要求，确保最终产品质量的合格。公司还运用三检制，即自检、</w:t>
      </w:r>
      <w:r>
        <w:rPr>
          <w:rFonts w:hint="eastAsia" w:cs="Times New Roman" w:asciiTheme="minorEastAsia" w:hAnsiTheme="minorEastAsia"/>
          <w:color w:val="auto"/>
          <w:kern w:val="0"/>
          <w:sz w:val="24"/>
          <w:szCs w:val="24"/>
        </w:rPr>
        <w:t>互检、专检，</w:t>
      </w:r>
      <w:r>
        <w:rPr>
          <w:rFonts w:cs="Times New Roman" w:asciiTheme="minorEastAsia" w:hAnsiTheme="minorEastAsia"/>
          <w:color w:val="auto"/>
          <w:kern w:val="0"/>
          <w:sz w:val="24"/>
          <w:szCs w:val="24"/>
        </w:rPr>
        <w:t>对产品质量进行严格把控。其中自检包括</w:t>
      </w:r>
      <w:r>
        <w:rPr>
          <w:rFonts w:hint="eastAsia" w:cs="Times New Roman" w:asciiTheme="minorEastAsia" w:hAnsiTheme="minorEastAsia"/>
          <w:color w:val="auto"/>
          <w:kern w:val="0"/>
          <w:sz w:val="24"/>
          <w:szCs w:val="24"/>
        </w:rPr>
        <w:t>了</w:t>
      </w:r>
      <w:r>
        <w:rPr>
          <w:rFonts w:cs="Times New Roman" w:asciiTheme="minorEastAsia" w:hAnsiTheme="minorEastAsia"/>
          <w:color w:val="auto"/>
          <w:kern w:val="0"/>
          <w:sz w:val="24"/>
          <w:szCs w:val="24"/>
        </w:rPr>
        <w:t>产品</w:t>
      </w:r>
      <w:r>
        <w:rPr>
          <w:rFonts w:hint="eastAsia" w:cs="Times New Roman" w:asciiTheme="minorEastAsia" w:hAnsiTheme="minorEastAsia"/>
          <w:color w:val="auto"/>
          <w:kern w:val="0"/>
          <w:sz w:val="24"/>
          <w:szCs w:val="24"/>
        </w:rPr>
        <w:t>生产全过程</w:t>
      </w:r>
      <w:r>
        <w:rPr>
          <w:rFonts w:cs="Times New Roman" w:asciiTheme="minorEastAsia" w:hAnsiTheme="minorEastAsia"/>
          <w:color w:val="auto"/>
          <w:kern w:val="0"/>
          <w:sz w:val="24"/>
          <w:szCs w:val="24"/>
        </w:rPr>
        <w:t>，员工对自己所生产出来的产品，按照图纸</w:t>
      </w:r>
      <w:r>
        <w:rPr>
          <w:rFonts w:hint="eastAsia" w:cs="Times New Roman" w:asciiTheme="minorEastAsia" w:hAnsiTheme="minorEastAsia"/>
          <w:color w:val="auto"/>
          <w:kern w:val="0"/>
          <w:sz w:val="24"/>
          <w:szCs w:val="24"/>
        </w:rPr>
        <w:t>或</w:t>
      </w:r>
      <w:r>
        <w:rPr>
          <w:rFonts w:cs="Times New Roman" w:asciiTheme="minorEastAsia" w:hAnsiTheme="minorEastAsia"/>
          <w:color w:val="auto"/>
          <w:kern w:val="0"/>
          <w:sz w:val="24"/>
          <w:szCs w:val="24"/>
        </w:rPr>
        <w:t>要求自行进行检验，并作出是否合格的判定且在</w:t>
      </w:r>
      <w:r>
        <w:rPr>
          <w:rFonts w:hint="eastAsia" w:cs="Times New Roman" w:asciiTheme="minorEastAsia" w:hAnsiTheme="minorEastAsia"/>
          <w:color w:val="auto"/>
          <w:kern w:val="0"/>
          <w:sz w:val="24"/>
          <w:szCs w:val="24"/>
        </w:rPr>
        <w:t>检验记录</w:t>
      </w:r>
      <w:r>
        <w:rPr>
          <w:rFonts w:cs="Times New Roman" w:asciiTheme="minorEastAsia" w:hAnsiTheme="minorEastAsia"/>
          <w:color w:val="auto"/>
          <w:kern w:val="0"/>
          <w:sz w:val="24"/>
          <w:szCs w:val="24"/>
        </w:rPr>
        <w:t>上做好相关的自检记录。单元化模块化的生产模式，使</w:t>
      </w:r>
      <w:r>
        <w:rPr>
          <w:rFonts w:hint="eastAsia" w:cs="Times New Roman" w:asciiTheme="minorEastAsia" w:hAnsiTheme="minorEastAsia"/>
          <w:color w:val="auto"/>
          <w:kern w:val="0"/>
          <w:sz w:val="24"/>
          <w:szCs w:val="24"/>
        </w:rPr>
        <w:t>产品</w:t>
      </w:r>
      <w:r>
        <w:rPr>
          <w:rFonts w:cs="Times New Roman" w:asciiTheme="minorEastAsia" w:hAnsiTheme="minorEastAsia"/>
          <w:color w:val="auto"/>
          <w:kern w:val="0"/>
          <w:sz w:val="24"/>
          <w:szCs w:val="24"/>
        </w:rPr>
        <w:t>关键质量环节得以暴露和控制，进而保证</w:t>
      </w:r>
      <w:r>
        <w:rPr>
          <w:rFonts w:hint="eastAsia" w:cs="Times New Roman" w:asciiTheme="minorEastAsia" w:hAnsiTheme="minorEastAsia"/>
          <w:color w:val="auto"/>
          <w:kern w:val="0"/>
          <w:sz w:val="24"/>
          <w:szCs w:val="24"/>
        </w:rPr>
        <w:t>产品</w:t>
      </w:r>
      <w:r>
        <w:rPr>
          <w:rFonts w:cs="Times New Roman" w:asciiTheme="minorEastAsia" w:hAnsiTheme="minorEastAsia"/>
          <w:color w:val="auto"/>
          <w:kern w:val="0"/>
          <w:sz w:val="24"/>
          <w:szCs w:val="24"/>
        </w:rPr>
        <w:t>质量安全</w:t>
      </w:r>
      <w:r>
        <w:rPr>
          <w:rFonts w:hint="eastAsia" w:cs="Times New Roman" w:asciiTheme="minorEastAsia" w:hAnsiTheme="minorEastAsia"/>
          <w:color w:val="auto"/>
          <w:kern w:val="0"/>
          <w:sz w:val="24"/>
          <w:szCs w:val="24"/>
        </w:rPr>
        <w:t>，防范质量安全风险</w:t>
      </w:r>
      <w:r>
        <w:rPr>
          <w:rFonts w:cs="Times New Roman" w:asciiTheme="minorEastAsia" w:hAnsiTheme="minorEastAsia"/>
          <w:color w:val="auto"/>
          <w:kern w:val="0"/>
          <w:sz w:val="24"/>
          <w:szCs w:val="24"/>
        </w:rPr>
        <w:t>。</w:t>
      </w:r>
      <w:r>
        <w:rPr>
          <w:rFonts w:hint="eastAsia" w:cs="Times New Roman" w:asciiTheme="minorEastAsia" w:hAnsiTheme="minorEastAsia"/>
          <w:color w:val="auto"/>
          <w:kern w:val="0"/>
          <w:sz w:val="24"/>
          <w:szCs w:val="24"/>
        </w:rPr>
        <w:t> </w:t>
      </w:r>
    </w:p>
    <w:p w14:paraId="285F59F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制定了质量控制体系，成立了以总经理为最高领导人，质量工艺工程师，材料控制系统、检验与试验控制系统、生产设备控制系统、加工控制系统为组员的质量控制体系结构。并明确了质量控制体系结构及各相关部门职责。</w:t>
      </w:r>
    </w:p>
    <w:p w14:paraId="6D0C1AEB">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公司编制以顾客为关注焦点、顾客满意的管理制度规定了在业务过程中的冲突和风险得到有效预防和处理的要求。当发生与顾客关系重大问题时，规定了制定应急措施进行处理。</w:t>
      </w:r>
    </w:p>
    <w:p w14:paraId="0471ABAD">
      <w:pPr>
        <w:spacing w:line="360" w:lineRule="auto"/>
        <w:ind w:firstLine="480" w:firstLineChars="200"/>
        <w:outlineLvl w:val="0"/>
        <w:rPr>
          <w:rFonts w:cs="Times New Roman" w:asciiTheme="minorEastAsia" w:hAnsiTheme="minorEastAsia"/>
          <w:color w:val="auto"/>
          <w:kern w:val="0"/>
          <w:sz w:val="24"/>
          <w:szCs w:val="24"/>
        </w:rPr>
      </w:pPr>
      <w:bookmarkStart w:id="40" w:name="_Toc14688"/>
      <w:r>
        <w:rPr>
          <w:rFonts w:hint="eastAsia" w:cs="Times New Roman" w:asciiTheme="minorEastAsia" w:hAnsiTheme="minorEastAsia"/>
          <w:color w:val="auto"/>
          <w:kern w:val="0"/>
          <w:sz w:val="24"/>
          <w:szCs w:val="24"/>
        </w:rPr>
        <w:t>三、展望</w:t>
      </w:r>
      <w:bookmarkEnd w:id="40"/>
    </w:p>
    <w:p w14:paraId="17D3BA88">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多年来，我们坚定不移地走合作共赢的发展道路，与众多优秀合作伙伴开展全方位、多形式的合资与合作，在合作中学习，在合作中提高，追求长期发展和互利共赢。我们相信，通过智慧的联合，团队的协作，将帮助我们实现优势互补。</w:t>
      </w:r>
    </w:p>
    <w:p w14:paraId="30A7AD1A">
      <w:pPr>
        <w:spacing w:line="360" w:lineRule="auto"/>
        <w:ind w:firstLine="480" w:firstLineChars="200"/>
        <w:rPr>
          <w:rFonts w:cs="Times New Roman" w:asciiTheme="minorEastAsia" w:hAnsiTheme="minorEastAsia"/>
          <w:color w:val="auto"/>
          <w:kern w:val="0"/>
          <w:sz w:val="24"/>
          <w:szCs w:val="24"/>
        </w:rPr>
      </w:pPr>
    </w:p>
    <w:sectPr>
      <w:head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Helvetica-Narrow">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ABE5D">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97C5">
    <w:pPr>
      <w:pStyle w:val="28"/>
      <w:jc w:val="left"/>
    </w:pPr>
    <w:r>
      <w:drawing>
        <wp:inline distT="0" distB="0" distL="114300" distR="114300">
          <wp:extent cx="2042160" cy="495300"/>
          <wp:effectExtent l="0" t="0" r="152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042160" cy="4953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DCD1">
    <w:pPr>
      <w:pStyle w:val="18"/>
      <w:spacing w:line="14" w:lineRule="auto"/>
      <w:rPr>
        <w:sz w:val="20"/>
      </w:rPr>
    </w:pPr>
    <w:r>
      <w:drawing>
        <wp:anchor distT="0" distB="0" distL="114300" distR="114300" simplePos="0" relativeHeight="251659264" behindDoc="1" locked="0" layoutInCell="1" allowOverlap="1">
          <wp:simplePos x="0" y="0"/>
          <wp:positionH relativeFrom="page">
            <wp:posOffset>787400</wp:posOffset>
          </wp:positionH>
          <wp:positionV relativeFrom="page">
            <wp:posOffset>540385</wp:posOffset>
          </wp:positionV>
          <wp:extent cx="1376045" cy="304800"/>
          <wp:effectExtent l="0" t="0" r="14605"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a:stretch>
                    <a:fillRect/>
                  </a:stretch>
                </pic:blipFill>
                <pic:spPr>
                  <a:xfrm>
                    <a:off x="0" y="0"/>
                    <a:ext cx="1376045" cy="304800"/>
                  </a:xfrm>
                  <a:prstGeom prst="rect">
                    <a:avLst/>
                  </a:prstGeom>
                  <a:noFill/>
                  <a:ln>
                    <a:noFill/>
                  </a:ln>
                </pic:spPr>
              </pic:pic>
            </a:graphicData>
          </a:graphic>
        </wp:anchor>
      </w:drawing>
    </w:r>
    <w:r>
      <mc:AlternateContent>
        <mc:Choice Requires="wps">
          <w:drawing>
            <wp:anchor distT="0" distB="0" distL="114300" distR="114300" simplePos="0" relativeHeight="251660288" behindDoc="1" locked="0" layoutInCell="1" allowOverlap="1">
              <wp:simplePos x="0" y="0"/>
              <wp:positionH relativeFrom="page">
                <wp:posOffset>701040</wp:posOffset>
              </wp:positionH>
              <wp:positionV relativeFrom="page">
                <wp:posOffset>892810</wp:posOffset>
              </wp:positionV>
              <wp:extent cx="615823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615823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5.2pt;margin-top:70.3pt;height:0pt;width:484.9pt;mso-position-horizontal-relative:page;mso-position-vertical-relative:page;z-index:-251656192;mso-width-relative:page;mso-height-relative:page;" filled="f" stroked="t" coordsize="21600,21600" o:gfxdata="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9zlfG1gAAAAwBAAAPAAAAAAAAAAEAIAAAACIAAABkcnMvZG93bnJldi54bWxQSwEC&#10;FAAUAAAACACHTuJA8QK1RPYBAADkAwAADgAAAAAAAAABACAAAAAlAQAAZHJzL2Uyb0RvYy54bWxQ&#10;SwUGAAAAAAYABgBZAQAAjQU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6158865</wp:posOffset>
              </wp:positionH>
              <wp:positionV relativeFrom="page">
                <wp:posOffset>731520</wp:posOffset>
              </wp:positionV>
              <wp:extent cx="65532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655320" cy="139700"/>
                      </a:xfrm>
                      <a:prstGeom prst="rect">
                        <a:avLst/>
                      </a:prstGeom>
                      <a:noFill/>
                      <a:ln>
                        <a:noFill/>
                      </a:ln>
                    </wps:spPr>
                    <wps:txbx>
                      <w:txbxContent>
                        <w:p w14:paraId="2413B67E">
                          <w:pPr>
                            <w:spacing w:before="0" w:line="220" w:lineRule="exact"/>
                            <w:ind w:left="20" w:right="0" w:firstLine="0"/>
                            <w:jc w:val="left"/>
                            <w:rPr>
                              <w:sz w:val="18"/>
                            </w:rPr>
                          </w:pPr>
                          <w:r>
                            <w:rPr>
                              <w:sz w:val="18"/>
                            </w:rPr>
                            <w:t>资 质 文 件</w:t>
                          </w:r>
                        </w:p>
                      </w:txbxContent>
                    </wps:txbx>
                    <wps:bodyPr lIns="0" tIns="0" rIns="0" bIns="0" upright="1"/>
                  </wps:wsp>
                </a:graphicData>
              </a:graphic>
            </wp:anchor>
          </w:drawing>
        </mc:Choice>
        <mc:Fallback>
          <w:pict>
            <v:shape id="_x0000_s1026" o:spid="_x0000_s1026" o:spt="202" type="#_x0000_t202" style="position:absolute;left:0pt;margin-left:484.95pt;margin-top:57.6pt;height:11pt;width:51.6pt;mso-position-horizontal-relative:page;mso-position-vertical-relative:page;z-index:-251655168;mso-width-relative:page;mso-height-relative:page;" filled="f" stroked="f" coordsize="21600,21600" o:gfxdata="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ig2Bd2gAAAAwBAAAPAAAAAAAAAAEAIAAAACIAAABkcnMvZG93bnJldi54bWxQ&#10;SwECFAAUAAAACACHTuJA1oHCdrwBAABxAwAADgAAAAAAAAABACAAAAApAQAAZHJzL2Uyb0RvYy54&#10;bWxQSwUGAAAAAAYABgBZAQAAVwUAAAAA&#10;">
              <v:fill on="f" focussize="0,0"/>
              <v:stroke on="f"/>
              <v:imagedata o:title=""/>
              <o:lock v:ext="edit" aspectratio="f"/>
              <v:textbox inset="0mm,0mm,0mm,0mm">
                <w:txbxContent>
                  <w:p w14:paraId="2413B67E">
                    <w:pPr>
                      <w:spacing w:before="0" w:line="220" w:lineRule="exact"/>
                      <w:ind w:left="20" w:right="0" w:firstLine="0"/>
                      <w:jc w:val="left"/>
                      <w:rPr>
                        <w:sz w:val="18"/>
                      </w:rPr>
                    </w:pPr>
                    <w:r>
                      <w:rPr>
                        <w:sz w:val="18"/>
                      </w:rPr>
                      <w:t>资 质 文 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pStyle w:val="98"/>
      <w:suff w:val="nothing"/>
      <w:lvlText w:val="%1"/>
      <w:lvlJc w:val="left"/>
      <w:pPr>
        <w:ind w:left="0" w:firstLine="0"/>
      </w:pPr>
      <w:rPr>
        <w:rFonts w:hint="default" w:ascii="Times New Roman" w:hAnsi="Times New Roman"/>
        <w:b/>
        <w:i w:val="0"/>
        <w:sz w:val="21"/>
      </w:rPr>
    </w:lvl>
    <w:lvl w:ilvl="1" w:tentative="0">
      <w:start w:val="1"/>
      <w:numFmt w:val="decimal"/>
      <w:pStyle w:val="99"/>
      <w:suff w:val="nothing"/>
      <w:lvlText w:val="%1%2　"/>
      <w:lvlJc w:val="left"/>
      <w:pPr>
        <w:ind w:left="0" w:firstLine="0"/>
      </w:pPr>
      <w:rPr>
        <w:rFonts w:hint="eastAsia" w:ascii="黑体" w:hAnsi="Times New Roman" w:eastAsia="黑体"/>
        <w:b w:val="0"/>
        <w:i w:val="0"/>
        <w:sz w:val="21"/>
      </w:rPr>
    </w:lvl>
    <w:lvl w:ilvl="2" w:tentative="0">
      <w:start w:val="1"/>
      <w:numFmt w:val="decimal"/>
      <w:pStyle w:val="100"/>
      <w:suff w:val="nothing"/>
      <w:lvlText w:val="%1%2.%3　"/>
      <w:lvlJc w:val="left"/>
      <w:pPr>
        <w:ind w:left="0" w:firstLine="0"/>
      </w:pPr>
      <w:rPr>
        <w:rFonts w:hint="eastAsia" w:ascii="黑体" w:hAnsi="Times New Roman" w:eastAsia="黑体"/>
        <w:b w:val="0"/>
        <w:i w:val="0"/>
        <w:sz w:val="21"/>
      </w:rPr>
    </w:lvl>
    <w:lvl w:ilvl="3" w:tentative="0">
      <w:start w:val="1"/>
      <w:numFmt w:val="decimal"/>
      <w:pStyle w:val="101"/>
      <w:suff w:val="nothing"/>
      <w:lvlText w:val="%1%2.%3.%4　"/>
      <w:lvlJc w:val="left"/>
      <w:pPr>
        <w:ind w:left="0" w:firstLine="0"/>
      </w:pPr>
      <w:rPr>
        <w:rFonts w:hint="eastAsia" w:ascii="黑体" w:hAnsi="Times New Roman" w:eastAsia="黑体"/>
        <w:b w:val="0"/>
        <w:i w:val="0"/>
        <w:sz w:val="21"/>
      </w:rPr>
    </w:lvl>
    <w:lvl w:ilvl="4" w:tentative="0">
      <w:start w:val="1"/>
      <w:numFmt w:val="decimal"/>
      <w:pStyle w:val="102"/>
      <w:suff w:val="nothing"/>
      <w:lvlText w:val="%1%2.%3.%4.%5　"/>
      <w:lvlJc w:val="left"/>
      <w:pPr>
        <w:ind w:left="0" w:firstLine="0"/>
      </w:pPr>
      <w:rPr>
        <w:rFonts w:hint="eastAsia" w:ascii="黑体" w:hAnsi="Times New Roman" w:eastAsia="黑体"/>
        <w:b w:val="0"/>
        <w:i w:val="0"/>
        <w:sz w:val="21"/>
      </w:rPr>
    </w:lvl>
    <w:lvl w:ilvl="5" w:tentative="0">
      <w:start w:val="1"/>
      <w:numFmt w:val="decimal"/>
      <w:pStyle w:val="103"/>
      <w:suff w:val="nothing"/>
      <w:lvlText w:val="%1%2.%3.%4.%5.%6　"/>
      <w:lvlJc w:val="left"/>
      <w:pPr>
        <w:ind w:left="0" w:firstLine="0"/>
      </w:pPr>
      <w:rPr>
        <w:rFonts w:hint="eastAsia" w:ascii="黑体" w:hAnsi="Times New Roman" w:eastAsia="黑体"/>
        <w:b w:val="0"/>
        <w:i w:val="0"/>
        <w:sz w:val="21"/>
      </w:rPr>
    </w:lvl>
    <w:lvl w:ilvl="6" w:tentative="0">
      <w:start w:val="1"/>
      <w:numFmt w:val="decimal"/>
      <w:pStyle w:val="10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Zjc4MGQ1ODJmNzEzNzUyZjRiZWM3ZWVjYjRhYmIifQ=="/>
  </w:docVars>
  <w:rsids>
    <w:rsidRoot w:val="00CD5536"/>
    <w:rsid w:val="000001E5"/>
    <w:rsid w:val="00004397"/>
    <w:rsid w:val="00015645"/>
    <w:rsid w:val="00021662"/>
    <w:rsid w:val="00036A7A"/>
    <w:rsid w:val="000437A1"/>
    <w:rsid w:val="000519DC"/>
    <w:rsid w:val="0005457F"/>
    <w:rsid w:val="00063F4D"/>
    <w:rsid w:val="00066D0C"/>
    <w:rsid w:val="0007798C"/>
    <w:rsid w:val="00077D7B"/>
    <w:rsid w:val="0009113C"/>
    <w:rsid w:val="00091477"/>
    <w:rsid w:val="000934BE"/>
    <w:rsid w:val="00093D9A"/>
    <w:rsid w:val="000C3B69"/>
    <w:rsid w:val="000C7797"/>
    <w:rsid w:val="000F2948"/>
    <w:rsid w:val="000F668C"/>
    <w:rsid w:val="001100C5"/>
    <w:rsid w:val="00116ECF"/>
    <w:rsid w:val="00131595"/>
    <w:rsid w:val="001360AA"/>
    <w:rsid w:val="001435B5"/>
    <w:rsid w:val="00153385"/>
    <w:rsid w:val="00165DCC"/>
    <w:rsid w:val="0017669F"/>
    <w:rsid w:val="00186145"/>
    <w:rsid w:val="00187913"/>
    <w:rsid w:val="001B6A47"/>
    <w:rsid w:val="001C1CAA"/>
    <w:rsid w:val="001D1108"/>
    <w:rsid w:val="001F317C"/>
    <w:rsid w:val="001F5694"/>
    <w:rsid w:val="0020185A"/>
    <w:rsid w:val="00205BD5"/>
    <w:rsid w:val="002204FD"/>
    <w:rsid w:val="00225468"/>
    <w:rsid w:val="00233AAC"/>
    <w:rsid w:val="00234E6C"/>
    <w:rsid w:val="00241399"/>
    <w:rsid w:val="0024604C"/>
    <w:rsid w:val="00250A59"/>
    <w:rsid w:val="00250CD1"/>
    <w:rsid w:val="00262045"/>
    <w:rsid w:val="002827AB"/>
    <w:rsid w:val="002B6B4E"/>
    <w:rsid w:val="002D2D0C"/>
    <w:rsid w:val="002F65F1"/>
    <w:rsid w:val="00310AC9"/>
    <w:rsid w:val="00315483"/>
    <w:rsid w:val="00320F9F"/>
    <w:rsid w:val="00330422"/>
    <w:rsid w:val="00336210"/>
    <w:rsid w:val="0035589D"/>
    <w:rsid w:val="00356491"/>
    <w:rsid w:val="003571F1"/>
    <w:rsid w:val="00377118"/>
    <w:rsid w:val="003809D1"/>
    <w:rsid w:val="003906B1"/>
    <w:rsid w:val="00397853"/>
    <w:rsid w:val="003B02BA"/>
    <w:rsid w:val="003B6748"/>
    <w:rsid w:val="003C2E66"/>
    <w:rsid w:val="003C2FB7"/>
    <w:rsid w:val="003C7C77"/>
    <w:rsid w:val="003D6397"/>
    <w:rsid w:val="004314BE"/>
    <w:rsid w:val="004432F6"/>
    <w:rsid w:val="00451B40"/>
    <w:rsid w:val="00463CC3"/>
    <w:rsid w:val="00470308"/>
    <w:rsid w:val="004805CD"/>
    <w:rsid w:val="00483C04"/>
    <w:rsid w:val="004848C6"/>
    <w:rsid w:val="00485095"/>
    <w:rsid w:val="004947D8"/>
    <w:rsid w:val="004978CF"/>
    <w:rsid w:val="004A06E6"/>
    <w:rsid w:val="004B21B4"/>
    <w:rsid w:val="004B2217"/>
    <w:rsid w:val="004B501E"/>
    <w:rsid w:val="004C5677"/>
    <w:rsid w:val="004D70BA"/>
    <w:rsid w:val="00502028"/>
    <w:rsid w:val="0051403C"/>
    <w:rsid w:val="0053275A"/>
    <w:rsid w:val="00533338"/>
    <w:rsid w:val="00535E17"/>
    <w:rsid w:val="005445FD"/>
    <w:rsid w:val="00545C25"/>
    <w:rsid w:val="00554B93"/>
    <w:rsid w:val="005572C7"/>
    <w:rsid w:val="00564830"/>
    <w:rsid w:val="005A40F6"/>
    <w:rsid w:val="005A5A6F"/>
    <w:rsid w:val="005A74DA"/>
    <w:rsid w:val="005B2CE2"/>
    <w:rsid w:val="005D770E"/>
    <w:rsid w:val="005E4681"/>
    <w:rsid w:val="00603844"/>
    <w:rsid w:val="00623075"/>
    <w:rsid w:val="00625F82"/>
    <w:rsid w:val="00634892"/>
    <w:rsid w:val="00637B07"/>
    <w:rsid w:val="006644E1"/>
    <w:rsid w:val="00667FBF"/>
    <w:rsid w:val="00671E41"/>
    <w:rsid w:val="00686622"/>
    <w:rsid w:val="00695D3A"/>
    <w:rsid w:val="006A4B0E"/>
    <w:rsid w:val="006B2397"/>
    <w:rsid w:val="006C0B69"/>
    <w:rsid w:val="006F6F50"/>
    <w:rsid w:val="00703B80"/>
    <w:rsid w:val="00716577"/>
    <w:rsid w:val="00717D02"/>
    <w:rsid w:val="00730453"/>
    <w:rsid w:val="00730A7E"/>
    <w:rsid w:val="00736DA1"/>
    <w:rsid w:val="007441FF"/>
    <w:rsid w:val="00744874"/>
    <w:rsid w:val="00744B55"/>
    <w:rsid w:val="007557C6"/>
    <w:rsid w:val="00767175"/>
    <w:rsid w:val="00772D20"/>
    <w:rsid w:val="00793FD8"/>
    <w:rsid w:val="007B1A38"/>
    <w:rsid w:val="00816169"/>
    <w:rsid w:val="00824AF2"/>
    <w:rsid w:val="00835031"/>
    <w:rsid w:val="00836A2D"/>
    <w:rsid w:val="00880909"/>
    <w:rsid w:val="00880AAF"/>
    <w:rsid w:val="008A2719"/>
    <w:rsid w:val="008B2A22"/>
    <w:rsid w:val="008C15FE"/>
    <w:rsid w:val="008D6DB7"/>
    <w:rsid w:val="008D77ED"/>
    <w:rsid w:val="008E69B7"/>
    <w:rsid w:val="008E7DC2"/>
    <w:rsid w:val="008F3E0E"/>
    <w:rsid w:val="009033C1"/>
    <w:rsid w:val="009112BB"/>
    <w:rsid w:val="00941F52"/>
    <w:rsid w:val="0094693B"/>
    <w:rsid w:val="00951B16"/>
    <w:rsid w:val="0095632E"/>
    <w:rsid w:val="00966680"/>
    <w:rsid w:val="00973DEE"/>
    <w:rsid w:val="009811C7"/>
    <w:rsid w:val="00992744"/>
    <w:rsid w:val="009A0384"/>
    <w:rsid w:val="009B3814"/>
    <w:rsid w:val="009D6A8A"/>
    <w:rsid w:val="009E1659"/>
    <w:rsid w:val="009E3E8F"/>
    <w:rsid w:val="009F3E59"/>
    <w:rsid w:val="009F5B39"/>
    <w:rsid w:val="009F7CA5"/>
    <w:rsid w:val="009F7FA0"/>
    <w:rsid w:val="00A24EEA"/>
    <w:rsid w:val="00A31629"/>
    <w:rsid w:val="00A322BA"/>
    <w:rsid w:val="00A41920"/>
    <w:rsid w:val="00A76FA3"/>
    <w:rsid w:val="00A80F7B"/>
    <w:rsid w:val="00A961E7"/>
    <w:rsid w:val="00AB2525"/>
    <w:rsid w:val="00AF5419"/>
    <w:rsid w:val="00B02351"/>
    <w:rsid w:val="00B0616B"/>
    <w:rsid w:val="00B1748F"/>
    <w:rsid w:val="00B21EF1"/>
    <w:rsid w:val="00B3405E"/>
    <w:rsid w:val="00B36410"/>
    <w:rsid w:val="00B575F2"/>
    <w:rsid w:val="00B65A19"/>
    <w:rsid w:val="00B6701A"/>
    <w:rsid w:val="00B7013E"/>
    <w:rsid w:val="00B81A74"/>
    <w:rsid w:val="00B91746"/>
    <w:rsid w:val="00B9573E"/>
    <w:rsid w:val="00BA0555"/>
    <w:rsid w:val="00BA119F"/>
    <w:rsid w:val="00BA7FD7"/>
    <w:rsid w:val="00BB2768"/>
    <w:rsid w:val="00BD23D5"/>
    <w:rsid w:val="00BD4111"/>
    <w:rsid w:val="00BF63C4"/>
    <w:rsid w:val="00C038A5"/>
    <w:rsid w:val="00C30E1C"/>
    <w:rsid w:val="00C5360B"/>
    <w:rsid w:val="00C626FE"/>
    <w:rsid w:val="00C62CC5"/>
    <w:rsid w:val="00C72D50"/>
    <w:rsid w:val="00C75F8D"/>
    <w:rsid w:val="00C76CCB"/>
    <w:rsid w:val="00C93C36"/>
    <w:rsid w:val="00CB51D4"/>
    <w:rsid w:val="00CB5ACF"/>
    <w:rsid w:val="00CD0A01"/>
    <w:rsid w:val="00CD5536"/>
    <w:rsid w:val="00CD5A41"/>
    <w:rsid w:val="00CD6E6A"/>
    <w:rsid w:val="00CD7DCD"/>
    <w:rsid w:val="00CF5AE9"/>
    <w:rsid w:val="00D0108B"/>
    <w:rsid w:val="00D43FE8"/>
    <w:rsid w:val="00D56F1C"/>
    <w:rsid w:val="00D6201A"/>
    <w:rsid w:val="00D73D4C"/>
    <w:rsid w:val="00D76656"/>
    <w:rsid w:val="00D77F15"/>
    <w:rsid w:val="00D81A98"/>
    <w:rsid w:val="00D93CED"/>
    <w:rsid w:val="00D958DE"/>
    <w:rsid w:val="00DA2CD0"/>
    <w:rsid w:val="00DA3FF1"/>
    <w:rsid w:val="00DA65EA"/>
    <w:rsid w:val="00DC004C"/>
    <w:rsid w:val="00DC6F7A"/>
    <w:rsid w:val="00DE4547"/>
    <w:rsid w:val="00DE4754"/>
    <w:rsid w:val="00DF4477"/>
    <w:rsid w:val="00DF7ADB"/>
    <w:rsid w:val="00E1560D"/>
    <w:rsid w:val="00E15C82"/>
    <w:rsid w:val="00E23FAD"/>
    <w:rsid w:val="00E30710"/>
    <w:rsid w:val="00E30F23"/>
    <w:rsid w:val="00E329A5"/>
    <w:rsid w:val="00E52188"/>
    <w:rsid w:val="00E528E6"/>
    <w:rsid w:val="00E705B8"/>
    <w:rsid w:val="00EA0119"/>
    <w:rsid w:val="00EA43FF"/>
    <w:rsid w:val="00EB6662"/>
    <w:rsid w:val="00EB7E32"/>
    <w:rsid w:val="00EC487B"/>
    <w:rsid w:val="00EC5685"/>
    <w:rsid w:val="00EE738D"/>
    <w:rsid w:val="00EF1F95"/>
    <w:rsid w:val="00EF7C30"/>
    <w:rsid w:val="00EF7FEC"/>
    <w:rsid w:val="00F02061"/>
    <w:rsid w:val="00F13B6E"/>
    <w:rsid w:val="00F3375E"/>
    <w:rsid w:val="00F63BE9"/>
    <w:rsid w:val="00F72C6E"/>
    <w:rsid w:val="00F73F58"/>
    <w:rsid w:val="00F96B5F"/>
    <w:rsid w:val="00FA4EBD"/>
    <w:rsid w:val="00FC4345"/>
    <w:rsid w:val="00FC43B5"/>
    <w:rsid w:val="00FC650D"/>
    <w:rsid w:val="00FD71F6"/>
    <w:rsid w:val="00FE3F4F"/>
    <w:rsid w:val="00FF0634"/>
    <w:rsid w:val="00FF5A90"/>
    <w:rsid w:val="01915353"/>
    <w:rsid w:val="03AF34A2"/>
    <w:rsid w:val="05205355"/>
    <w:rsid w:val="060374E1"/>
    <w:rsid w:val="093348FD"/>
    <w:rsid w:val="099540F5"/>
    <w:rsid w:val="099C3C23"/>
    <w:rsid w:val="0E92577A"/>
    <w:rsid w:val="0EA762C2"/>
    <w:rsid w:val="15E4163C"/>
    <w:rsid w:val="1FE32AA5"/>
    <w:rsid w:val="21893052"/>
    <w:rsid w:val="223775AC"/>
    <w:rsid w:val="23DB1D7E"/>
    <w:rsid w:val="24CE3EF0"/>
    <w:rsid w:val="260B328E"/>
    <w:rsid w:val="277B0325"/>
    <w:rsid w:val="28C07367"/>
    <w:rsid w:val="29CD3AB3"/>
    <w:rsid w:val="2D684463"/>
    <w:rsid w:val="2E5A64A6"/>
    <w:rsid w:val="2E6D7D54"/>
    <w:rsid w:val="2F6934A9"/>
    <w:rsid w:val="2F91426B"/>
    <w:rsid w:val="31726B84"/>
    <w:rsid w:val="33F341D0"/>
    <w:rsid w:val="34E645EB"/>
    <w:rsid w:val="36193EF0"/>
    <w:rsid w:val="3951224F"/>
    <w:rsid w:val="3DC24691"/>
    <w:rsid w:val="41BC5261"/>
    <w:rsid w:val="44666425"/>
    <w:rsid w:val="45D0214D"/>
    <w:rsid w:val="48D811F5"/>
    <w:rsid w:val="4E5A19FE"/>
    <w:rsid w:val="5016521A"/>
    <w:rsid w:val="52631F37"/>
    <w:rsid w:val="53670EDD"/>
    <w:rsid w:val="5571253B"/>
    <w:rsid w:val="56971A46"/>
    <w:rsid w:val="58F870CD"/>
    <w:rsid w:val="5965519C"/>
    <w:rsid w:val="5B977ED0"/>
    <w:rsid w:val="5F7610AD"/>
    <w:rsid w:val="69331988"/>
    <w:rsid w:val="69D13148"/>
    <w:rsid w:val="6C45775B"/>
    <w:rsid w:val="6D424B8A"/>
    <w:rsid w:val="6E5345EF"/>
    <w:rsid w:val="732F36FA"/>
    <w:rsid w:val="75332B1D"/>
    <w:rsid w:val="78746025"/>
    <w:rsid w:val="7A2A625A"/>
    <w:rsid w:val="7A96222C"/>
    <w:rsid w:val="7D164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uiPriority="99" w:name="Body Text First Indent"/>
    <w:lsdException w:qFormat="1" w:uiPriority="99" w:semiHidden="0" w:name="Body Text First Indent 2"/>
    <w:lsdException w:qFormat="1"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5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9"/>
    <w:qFormat/>
    <w:uiPriority w:val="9"/>
    <w:pPr>
      <w:keepNext/>
      <w:keepLines/>
      <w:spacing w:before="60" w:after="60"/>
      <w:outlineLvl w:val="2"/>
    </w:pPr>
    <w:rPr>
      <w:rFonts w:ascii="Calibri" w:hAnsi="Calibri" w:eastAsia="宋体" w:cs="Times New Roman"/>
      <w:b/>
      <w:bCs/>
      <w:szCs w:val="32"/>
    </w:rPr>
  </w:style>
  <w:style w:type="paragraph" w:styleId="5">
    <w:name w:val="heading 4"/>
    <w:basedOn w:val="1"/>
    <w:next w:val="1"/>
    <w:link w:val="60"/>
    <w:qFormat/>
    <w:uiPriority w:val="9"/>
    <w:pPr>
      <w:keepNext/>
      <w:keepLines/>
      <w:spacing w:before="60" w:after="60"/>
      <w:outlineLvl w:val="3"/>
    </w:pPr>
    <w:rPr>
      <w:rFonts w:ascii="Cambria" w:hAnsi="Cambria" w:eastAsia="宋体" w:cs="Times New Roman"/>
      <w:b/>
      <w:bCs/>
      <w:szCs w:val="28"/>
    </w:rPr>
  </w:style>
  <w:style w:type="paragraph" w:styleId="6">
    <w:name w:val="heading 5"/>
    <w:basedOn w:val="1"/>
    <w:next w:val="1"/>
    <w:link w:val="61"/>
    <w:qFormat/>
    <w:uiPriority w:val="9"/>
    <w:pPr>
      <w:keepNext/>
      <w:keepLines/>
      <w:spacing w:before="60" w:after="60"/>
      <w:outlineLvl w:val="4"/>
    </w:pPr>
    <w:rPr>
      <w:rFonts w:ascii="Calibri" w:hAnsi="Calibri" w:eastAsia="宋体" w:cs="Times New Roman"/>
      <w:b/>
      <w:bCs/>
      <w:szCs w:val="28"/>
    </w:rPr>
  </w:style>
  <w:style w:type="paragraph" w:styleId="7">
    <w:name w:val="heading 6"/>
    <w:basedOn w:val="1"/>
    <w:next w:val="1"/>
    <w:link w:val="62"/>
    <w:autoRedefine/>
    <w:unhideWhenUsed/>
    <w:qFormat/>
    <w:uiPriority w:val="9"/>
    <w:pPr>
      <w:keepNext/>
      <w:keepLines/>
      <w:widowControl/>
      <w:spacing w:before="60" w:after="60"/>
      <w:jc w:val="left"/>
      <w:outlineLvl w:val="5"/>
    </w:pPr>
    <w:rPr>
      <w:rFonts w:eastAsia="宋体" w:asciiTheme="majorHAnsi" w:hAnsiTheme="majorHAnsi" w:cstheme="majorBidi"/>
      <w:b/>
      <w:bCs/>
      <w:kern w:val="0"/>
      <w:szCs w:val="24"/>
    </w:rPr>
  </w:style>
  <w:style w:type="paragraph" w:styleId="8">
    <w:name w:val="heading 7"/>
    <w:basedOn w:val="1"/>
    <w:next w:val="1"/>
    <w:link w:val="63"/>
    <w:unhideWhenUsed/>
    <w:qFormat/>
    <w:uiPriority w:val="9"/>
    <w:pPr>
      <w:keepNext/>
      <w:keepLines/>
      <w:widowControl/>
      <w:spacing w:before="240" w:after="64" w:line="320" w:lineRule="auto"/>
      <w:jc w:val="left"/>
      <w:outlineLvl w:val="6"/>
    </w:pPr>
    <w:rPr>
      <w:rFonts w:ascii="宋体" w:hAnsi="宋体" w:eastAsia="宋体" w:cs="宋体"/>
      <w:b/>
      <w:bCs/>
      <w:kern w:val="0"/>
      <w:sz w:val="24"/>
      <w:szCs w:val="24"/>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2520" w:leftChars="1200"/>
    </w:pPr>
  </w:style>
  <w:style w:type="paragraph" w:styleId="10">
    <w:name w:val="Note Heading"/>
    <w:basedOn w:val="1"/>
    <w:next w:val="1"/>
    <w:link w:val="72"/>
    <w:autoRedefine/>
    <w:qFormat/>
    <w:uiPriority w:val="99"/>
    <w:pPr>
      <w:jc w:val="center"/>
    </w:pPr>
    <w:rPr>
      <w:rFonts w:ascii="Times New Roman" w:hAnsi="Times New Roman" w:eastAsia="宋体" w:cs="Times New Roman"/>
      <w:szCs w:val="21"/>
    </w:rPr>
  </w:style>
  <w:style w:type="paragraph" w:styleId="11">
    <w:name w:val="Normal Indent"/>
    <w:basedOn w:val="1"/>
    <w:qFormat/>
    <w:uiPriority w:val="0"/>
    <w:pPr>
      <w:ind w:firstLine="420" w:firstLineChars="200"/>
    </w:pPr>
    <w:rPr>
      <w:rFonts w:ascii="Times New Roman" w:hAnsi="Times New Roman" w:eastAsia="宋体" w:cs="Times New Roman"/>
      <w:szCs w:val="21"/>
    </w:rPr>
  </w:style>
  <w:style w:type="paragraph" w:styleId="12">
    <w:name w:val="caption"/>
    <w:basedOn w:val="1"/>
    <w:next w:val="1"/>
    <w:unhideWhenUsed/>
    <w:qFormat/>
    <w:uiPriority w:val="35"/>
    <w:rPr>
      <w:rFonts w:eastAsia="黑体" w:asciiTheme="majorHAnsi" w:hAnsiTheme="majorHAnsi" w:cstheme="majorBidi"/>
      <w:sz w:val="20"/>
      <w:szCs w:val="20"/>
    </w:rPr>
  </w:style>
  <w:style w:type="paragraph" w:styleId="13">
    <w:name w:val="Document Map"/>
    <w:basedOn w:val="1"/>
    <w:link w:val="77"/>
    <w:unhideWhenUsed/>
    <w:qFormat/>
    <w:uiPriority w:val="99"/>
    <w:rPr>
      <w:rFonts w:ascii="宋体" w:hAnsi="Calibri" w:eastAsia="宋体" w:cs="Times New Roman"/>
      <w:sz w:val="18"/>
      <w:szCs w:val="18"/>
    </w:rPr>
  </w:style>
  <w:style w:type="paragraph" w:styleId="14">
    <w:name w:val="toa heading"/>
    <w:basedOn w:val="1"/>
    <w:next w:val="1"/>
    <w:semiHidden/>
    <w:qFormat/>
    <w:uiPriority w:val="0"/>
    <w:pPr>
      <w:spacing w:before="120"/>
    </w:pPr>
    <w:rPr>
      <w:rFonts w:ascii="Arial" w:hAnsi="Arial" w:eastAsia="宋体" w:cs="Times New Roman"/>
      <w:b/>
      <w:bCs/>
      <w:szCs w:val="21"/>
    </w:rPr>
  </w:style>
  <w:style w:type="paragraph" w:styleId="15">
    <w:name w:val="annotation text"/>
    <w:basedOn w:val="1"/>
    <w:link w:val="53"/>
    <w:autoRedefine/>
    <w:unhideWhenUsed/>
    <w:qFormat/>
    <w:uiPriority w:val="99"/>
    <w:pPr>
      <w:jc w:val="left"/>
    </w:pPr>
  </w:style>
  <w:style w:type="paragraph" w:styleId="16">
    <w:name w:val="Salutation"/>
    <w:basedOn w:val="1"/>
    <w:next w:val="1"/>
    <w:link w:val="64"/>
    <w:qFormat/>
    <w:uiPriority w:val="99"/>
    <w:rPr>
      <w:rFonts w:ascii="Times New Roman" w:hAnsi="Times New Roman" w:eastAsia="宋体" w:cs="Times New Roman"/>
      <w:szCs w:val="21"/>
    </w:rPr>
  </w:style>
  <w:style w:type="paragraph" w:styleId="17">
    <w:name w:val="List Bullet 3"/>
    <w:basedOn w:val="1"/>
    <w:autoRedefine/>
    <w:qFormat/>
    <w:uiPriority w:val="0"/>
    <w:pPr>
      <w:tabs>
        <w:tab w:val="left" w:pos="1200"/>
      </w:tabs>
    </w:pPr>
    <w:rPr>
      <w:rFonts w:ascii="Times New Roman" w:hAnsi="Times New Roman" w:eastAsia="宋体" w:cs="Times New Roman"/>
      <w:szCs w:val="21"/>
    </w:rPr>
  </w:style>
  <w:style w:type="paragraph" w:styleId="18">
    <w:name w:val="Body Text"/>
    <w:basedOn w:val="1"/>
    <w:link w:val="69"/>
    <w:autoRedefine/>
    <w:qFormat/>
    <w:uiPriority w:val="99"/>
    <w:pPr>
      <w:spacing w:after="120"/>
    </w:pPr>
    <w:rPr>
      <w:rFonts w:ascii="Times New Roman" w:hAnsi="Times New Roman" w:eastAsia="宋体" w:cs="Times New Roman"/>
      <w:szCs w:val="21"/>
    </w:rPr>
  </w:style>
  <w:style w:type="paragraph" w:styleId="19">
    <w:name w:val="Body Text Indent"/>
    <w:basedOn w:val="1"/>
    <w:autoRedefine/>
    <w:qFormat/>
    <w:uiPriority w:val="0"/>
    <w:pPr>
      <w:spacing w:line="480" w:lineRule="exact"/>
      <w:ind w:firstLine="480" w:firstLineChars="200"/>
    </w:pPr>
    <w:rPr>
      <w:sz w:val="24"/>
    </w:rPr>
  </w:style>
  <w:style w:type="paragraph" w:styleId="20">
    <w:name w:val="toc 5"/>
    <w:basedOn w:val="1"/>
    <w:next w:val="1"/>
    <w:autoRedefine/>
    <w:unhideWhenUsed/>
    <w:qFormat/>
    <w:uiPriority w:val="39"/>
    <w:pPr>
      <w:ind w:left="1680" w:leftChars="800"/>
    </w:pPr>
  </w:style>
  <w:style w:type="paragraph" w:styleId="21">
    <w:name w:val="toc 3"/>
    <w:basedOn w:val="1"/>
    <w:next w:val="1"/>
    <w:autoRedefine/>
    <w:unhideWhenUsed/>
    <w:qFormat/>
    <w:uiPriority w:val="39"/>
    <w:pPr>
      <w:widowControl/>
      <w:spacing w:after="100" w:line="276" w:lineRule="auto"/>
      <w:ind w:left="440"/>
      <w:jc w:val="left"/>
    </w:pPr>
    <w:rPr>
      <w:rFonts w:ascii="Calibri" w:hAnsi="Calibri" w:eastAsia="宋体" w:cs="Times New Roman"/>
      <w:kern w:val="0"/>
      <w:sz w:val="22"/>
    </w:rPr>
  </w:style>
  <w:style w:type="paragraph" w:styleId="22">
    <w:name w:val="Plain Text"/>
    <w:basedOn w:val="1"/>
    <w:link w:val="67"/>
    <w:autoRedefine/>
    <w:qFormat/>
    <w:uiPriority w:val="0"/>
    <w:rPr>
      <w:rFonts w:ascii="宋体" w:hAnsi="Courier New" w:eastAsia="宋体" w:cs="Times New Roman"/>
      <w:szCs w:val="20"/>
    </w:rPr>
  </w:style>
  <w:style w:type="paragraph" w:styleId="23">
    <w:name w:val="toc 8"/>
    <w:basedOn w:val="1"/>
    <w:next w:val="1"/>
    <w:autoRedefine/>
    <w:unhideWhenUsed/>
    <w:qFormat/>
    <w:uiPriority w:val="39"/>
    <w:pPr>
      <w:ind w:left="2940" w:leftChars="1400"/>
    </w:pPr>
  </w:style>
  <w:style w:type="paragraph" w:styleId="24">
    <w:name w:val="Date"/>
    <w:basedOn w:val="1"/>
    <w:next w:val="1"/>
    <w:link w:val="71"/>
    <w:autoRedefine/>
    <w:qFormat/>
    <w:uiPriority w:val="99"/>
    <w:pPr>
      <w:ind w:left="100" w:leftChars="2500"/>
    </w:pPr>
    <w:rPr>
      <w:rFonts w:ascii="Times New Roman" w:hAnsi="Times New Roman" w:eastAsia="宋体" w:cs="Times New Roman"/>
      <w:szCs w:val="21"/>
    </w:rPr>
  </w:style>
  <w:style w:type="paragraph" w:styleId="25">
    <w:name w:val="endnote text"/>
    <w:basedOn w:val="1"/>
    <w:link w:val="81"/>
    <w:autoRedefine/>
    <w:unhideWhenUsed/>
    <w:qFormat/>
    <w:uiPriority w:val="99"/>
    <w:pPr>
      <w:widowControl/>
      <w:snapToGrid w:val="0"/>
      <w:jc w:val="left"/>
    </w:pPr>
    <w:rPr>
      <w:rFonts w:ascii="宋体" w:hAnsi="宋体" w:eastAsia="宋体" w:cs="宋体"/>
      <w:kern w:val="0"/>
      <w:szCs w:val="24"/>
    </w:rPr>
  </w:style>
  <w:style w:type="paragraph" w:styleId="26">
    <w:name w:val="Balloon Text"/>
    <w:basedOn w:val="1"/>
    <w:link w:val="55"/>
    <w:autoRedefine/>
    <w:unhideWhenUsed/>
    <w:qFormat/>
    <w:uiPriority w:val="99"/>
    <w:rPr>
      <w:sz w:val="18"/>
      <w:szCs w:val="18"/>
    </w:rPr>
  </w:style>
  <w:style w:type="paragraph" w:styleId="27">
    <w:name w:val="footer"/>
    <w:basedOn w:val="1"/>
    <w:link w:val="47"/>
    <w:autoRedefine/>
    <w:unhideWhenUsed/>
    <w:qFormat/>
    <w:uiPriority w:val="99"/>
    <w:pPr>
      <w:tabs>
        <w:tab w:val="center" w:pos="4153"/>
        <w:tab w:val="right" w:pos="8306"/>
      </w:tabs>
      <w:snapToGrid w:val="0"/>
      <w:jc w:val="left"/>
    </w:pPr>
    <w:rPr>
      <w:sz w:val="18"/>
      <w:szCs w:val="18"/>
    </w:rPr>
  </w:style>
  <w:style w:type="paragraph" w:styleId="28">
    <w:name w:val="header"/>
    <w:basedOn w:val="1"/>
    <w:link w:val="4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ind w:left="1260" w:leftChars="600"/>
    </w:pPr>
  </w:style>
  <w:style w:type="paragraph" w:styleId="31">
    <w:name w:val="toc 6"/>
    <w:basedOn w:val="1"/>
    <w:next w:val="1"/>
    <w:autoRedefine/>
    <w:unhideWhenUsed/>
    <w:qFormat/>
    <w:uiPriority w:val="39"/>
    <w:pPr>
      <w:ind w:left="2100" w:leftChars="1000"/>
    </w:pPr>
  </w:style>
  <w:style w:type="paragraph" w:styleId="32">
    <w:name w:val="toc 2"/>
    <w:basedOn w:val="1"/>
    <w:next w:val="1"/>
    <w:unhideWhenUsed/>
    <w:qFormat/>
    <w:uiPriority w:val="39"/>
    <w:pPr>
      <w:ind w:left="420" w:leftChars="200"/>
    </w:pPr>
  </w:style>
  <w:style w:type="paragraph" w:styleId="33">
    <w:name w:val="toc 9"/>
    <w:basedOn w:val="1"/>
    <w:next w:val="1"/>
    <w:autoRedefine/>
    <w:unhideWhenUsed/>
    <w:qFormat/>
    <w:uiPriority w:val="39"/>
    <w:pPr>
      <w:ind w:left="3360" w:leftChars="1600"/>
    </w:pPr>
  </w:style>
  <w:style w:type="paragraph" w:styleId="3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5">
    <w:name w:val="index 1"/>
    <w:basedOn w:val="1"/>
    <w:next w:val="1"/>
    <w:autoRedefine/>
    <w:semiHidden/>
    <w:qFormat/>
    <w:uiPriority w:val="0"/>
    <w:pPr>
      <w:widowControl/>
      <w:ind w:firstLine="420" w:firstLineChars="200"/>
      <w:jc w:val="left"/>
    </w:pPr>
    <w:rPr>
      <w:rFonts w:ascii="宋体" w:hAnsi="宋体" w:eastAsia="宋体" w:cs="Times New Roman"/>
      <w:color w:val="000000"/>
      <w:kern w:val="0"/>
      <w:szCs w:val="21"/>
    </w:rPr>
  </w:style>
  <w:style w:type="paragraph" w:styleId="36">
    <w:name w:val="Title"/>
    <w:basedOn w:val="1"/>
    <w:next w:val="1"/>
    <w:link w:val="79"/>
    <w:autoRedefine/>
    <w:qFormat/>
    <w:uiPriority w:val="0"/>
    <w:pPr>
      <w:spacing w:before="240" w:after="60"/>
      <w:jc w:val="center"/>
      <w:outlineLvl w:val="0"/>
    </w:pPr>
    <w:rPr>
      <w:rFonts w:eastAsia="宋体" w:asciiTheme="majorHAnsi" w:hAnsiTheme="majorHAnsi" w:cstheme="majorBidi"/>
      <w:b/>
      <w:bCs/>
      <w:sz w:val="32"/>
      <w:szCs w:val="32"/>
    </w:rPr>
  </w:style>
  <w:style w:type="paragraph" w:styleId="37">
    <w:name w:val="annotation subject"/>
    <w:basedOn w:val="15"/>
    <w:next w:val="15"/>
    <w:link w:val="54"/>
    <w:autoRedefine/>
    <w:unhideWhenUsed/>
    <w:qFormat/>
    <w:uiPriority w:val="99"/>
    <w:rPr>
      <w:b/>
      <w:bCs/>
    </w:rPr>
  </w:style>
  <w:style w:type="paragraph" w:styleId="38">
    <w:name w:val="Body Text First Indent 2"/>
    <w:basedOn w:val="19"/>
    <w:autoRedefine/>
    <w:unhideWhenUsed/>
    <w:qFormat/>
    <w:uiPriority w:val="99"/>
    <w:pPr>
      <w:ind w:firstLine="420"/>
    </w:pPr>
  </w:style>
  <w:style w:type="table" w:styleId="40">
    <w:name w:val="Table Grid"/>
    <w:basedOn w:val="3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endnote reference"/>
    <w:basedOn w:val="41"/>
    <w:autoRedefine/>
    <w:unhideWhenUsed/>
    <w:qFormat/>
    <w:uiPriority w:val="99"/>
    <w:rPr>
      <w:vertAlign w:val="superscript"/>
    </w:rPr>
  </w:style>
  <w:style w:type="character" w:styleId="43">
    <w:name w:val="page number"/>
    <w:basedOn w:val="41"/>
    <w:qFormat/>
    <w:uiPriority w:val="0"/>
  </w:style>
  <w:style w:type="character" w:styleId="44">
    <w:name w:val="Hyperlink"/>
    <w:basedOn w:val="41"/>
    <w:unhideWhenUsed/>
    <w:qFormat/>
    <w:uiPriority w:val="99"/>
    <w:rPr>
      <w:color w:val="0563C1" w:themeColor="hyperlink"/>
      <w:u w:val="single"/>
      <w14:textFill>
        <w14:solidFill>
          <w14:schemeClr w14:val="hlink"/>
        </w14:solidFill>
      </w14:textFill>
    </w:rPr>
  </w:style>
  <w:style w:type="character" w:styleId="45">
    <w:name w:val="annotation reference"/>
    <w:basedOn w:val="41"/>
    <w:autoRedefine/>
    <w:unhideWhenUsed/>
    <w:qFormat/>
    <w:uiPriority w:val="0"/>
    <w:rPr>
      <w:sz w:val="21"/>
      <w:szCs w:val="21"/>
    </w:rPr>
  </w:style>
  <w:style w:type="character" w:customStyle="1" w:styleId="46">
    <w:name w:val="页眉 字符"/>
    <w:basedOn w:val="41"/>
    <w:link w:val="28"/>
    <w:qFormat/>
    <w:uiPriority w:val="99"/>
    <w:rPr>
      <w:sz w:val="18"/>
      <w:szCs w:val="18"/>
    </w:rPr>
  </w:style>
  <w:style w:type="character" w:customStyle="1" w:styleId="47">
    <w:name w:val="页脚 字符"/>
    <w:basedOn w:val="41"/>
    <w:link w:val="27"/>
    <w:qFormat/>
    <w:uiPriority w:val="99"/>
    <w:rPr>
      <w:sz w:val="18"/>
      <w:szCs w:val="18"/>
    </w:rPr>
  </w:style>
  <w:style w:type="paragraph" w:customStyle="1" w:styleId="48">
    <w:name w:val="aSTL正文"/>
    <w:basedOn w:val="1"/>
    <w:link w:val="49"/>
    <w:autoRedefine/>
    <w:qFormat/>
    <w:uiPriority w:val="0"/>
    <w:pPr>
      <w:spacing w:line="300" w:lineRule="auto"/>
      <w:ind w:firstLine="200" w:firstLineChars="200"/>
    </w:pPr>
    <w:rPr>
      <w:rFonts w:ascii="Calibri" w:hAnsi="Calibri" w:eastAsia="宋体" w:cs="Times New Roman"/>
      <w:kern w:val="0"/>
      <w:sz w:val="24"/>
      <w:szCs w:val="20"/>
      <w:lang w:val="zh-CN"/>
    </w:rPr>
  </w:style>
  <w:style w:type="character" w:customStyle="1" w:styleId="49">
    <w:name w:val="aSTL正文 Char"/>
    <w:link w:val="48"/>
    <w:autoRedefine/>
    <w:qFormat/>
    <w:uiPriority w:val="0"/>
    <w:rPr>
      <w:rFonts w:ascii="Calibri" w:hAnsi="Calibri" w:eastAsia="宋体" w:cs="Times New Roman"/>
      <w:kern w:val="0"/>
      <w:sz w:val="24"/>
      <w:szCs w:val="20"/>
      <w:lang w:val="zh-CN" w:eastAsia="zh-CN"/>
    </w:rPr>
  </w:style>
  <w:style w:type="paragraph" w:customStyle="1" w:styleId="50">
    <w:name w:val="4.1.1.1.1"/>
    <w:basedOn w:val="1"/>
    <w:link w:val="51"/>
    <w:autoRedefine/>
    <w:qFormat/>
    <w:uiPriority w:val="0"/>
    <w:pPr>
      <w:tabs>
        <w:tab w:val="left" w:pos="142"/>
      </w:tabs>
      <w:spacing w:beforeLines="50" w:afterLines="50"/>
      <w:ind w:left="200" w:leftChars="200"/>
      <w:jc w:val="left"/>
      <w:outlineLvl w:val="3"/>
    </w:pPr>
    <w:rPr>
      <w:rFonts w:ascii="宋体" w:hAnsi="宋体" w:eastAsia="宋体" w:cs="Times New Roman"/>
      <w:b/>
      <w:color w:val="000000"/>
      <w:kern w:val="0"/>
      <w:sz w:val="24"/>
      <w:szCs w:val="24"/>
      <w:lang w:val="zh-CN"/>
    </w:rPr>
  </w:style>
  <w:style w:type="character" w:customStyle="1" w:styleId="51">
    <w:name w:val="4.1.1.1.1 Char"/>
    <w:link w:val="50"/>
    <w:autoRedefine/>
    <w:qFormat/>
    <w:uiPriority w:val="0"/>
    <w:rPr>
      <w:rFonts w:ascii="宋体" w:hAnsi="宋体" w:eastAsia="宋体" w:cs="Times New Roman"/>
      <w:b/>
      <w:color w:val="000000"/>
      <w:kern w:val="0"/>
      <w:sz w:val="24"/>
      <w:szCs w:val="24"/>
      <w:lang w:val="zh-CN" w:eastAsia="zh-CN"/>
    </w:rPr>
  </w:style>
  <w:style w:type="paragraph" w:styleId="52">
    <w:name w:val="List Paragraph"/>
    <w:basedOn w:val="1"/>
    <w:qFormat/>
    <w:uiPriority w:val="34"/>
    <w:pPr>
      <w:ind w:firstLine="420" w:firstLineChars="200"/>
    </w:pPr>
    <w:rPr>
      <w:rFonts w:ascii="Calibri" w:hAnsi="Calibri" w:eastAsia="宋体" w:cs="Times New Roman"/>
    </w:rPr>
  </w:style>
  <w:style w:type="character" w:customStyle="1" w:styleId="53">
    <w:name w:val="批注文字 字符"/>
    <w:basedOn w:val="41"/>
    <w:link w:val="15"/>
    <w:autoRedefine/>
    <w:qFormat/>
    <w:uiPriority w:val="99"/>
  </w:style>
  <w:style w:type="character" w:customStyle="1" w:styleId="54">
    <w:name w:val="批注主题 字符"/>
    <w:basedOn w:val="53"/>
    <w:link w:val="37"/>
    <w:qFormat/>
    <w:uiPriority w:val="99"/>
    <w:rPr>
      <w:b/>
      <w:bCs/>
    </w:rPr>
  </w:style>
  <w:style w:type="character" w:customStyle="1" w:styleId="55">
    <w:name w:val="批注框文本 字符"/>
    <w:basedOn w:val="41"/>
    <w:link w:val="26"/>
    <w:autoRedefine/>
    <w:qFormat/>
    <w:uiPriority w:val="99"/>
    <w:rPr>
      <w:sz w:val="18"/>
      <w:szCs w:val="18"/>
    </w:rPr>
  </w:style>
  <w:style w:type="character" w:customStyle="1" w:styleId="56">
    <w:name w:val="标题 1 字符"/>
    <w:basedOn w:val="41"/>
    <w:link w:val="2"/>
    <w:qFormat/>
    <w:uiPriority w:val="99"/>
    <w:rPr>
      <w:b/>
      <w:bCs/>
      <w:kern w:val="44"/>
      <w:sz w:val="44"/>
      <w:szCs w:val="44"/>
    </w:rPr>
  </w:style>
  <w:style w:type="paragraph" w:customStyle="1" w:styleId="5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8">
    <w:name w:val="标题 2 字符"/>
    <w:basedOn w:val="41"/>
    <w:link w:val="3"/>
    <w:autoRedefine/>
    <w:qFormat/>
    <w:uiPriority w:val="0"/>
    <w:rPr>
      <w:rFonts w:asciiTheme="majorHAnsi" w:hAnsiTheme="majorHAnsi" w:eastAsiaTheme="majorEastAsia" w:cstheme="majorBidi"/>
      <w:b/>
      <w:bCs/>
      <w:sz w:val="32"/>
      <w:szCs w:val="32"/>
    </w:rPr>
  </w:style>
  <w:style w:type="character" w:customStyle="1" w:styleId="59">
    <w:name w:val="标题 3 字符"/>
    <w:basedOn w:val="41"/>
    <w:link w:val="4"/>
    <w:qFormat/>
    <w:uiPriority w:val="9"/>
    <w:rPr>
      <w:rFonts w:ascii="Calibri" w:hAnsi="Calibri" w:eastAsia="宋体" w:cs="Times New Roman"/>
      <w:b/>
      <w:bCs/>
      <w:szCs w:val="32"/>
    </w:rPr>
  </w:style>
  <w:style w:type="character" w:customStyle="1" w:styleId="60">
    <w:name w:val="标题 4 字符"/>
    <w:basedOn w:val="41"/>
    <w:link w:val="5"/>
    <w:qFormat/>
    <w:uiPriority w:val="9"/>
    <w:rPr>
      <w:rFonts w:ascii="Cambria" w:hAnsi="Cambria" w:eastAsia="宋体" w:cs="Times New Roman"/>
      <w:b/>
      <w:bCs/>
      <w:szCs w:val="28"/>
    </w:rPr>
  </w:style>
  <w:style w:type="character" w:customStyle="1" w:styleId="61">
    <w:name w:val="标题 5 字符"/>
    <w:basedOn w:val="41"/>
    <w:link w:val="6"/>
    <w:autoRedefine/>
    <w:qFormat/>
    <w:uiPriority w:val="9"/>
    <w:rPr>
      <w:rFonts w:ascii="Calibri" w:hAnsi="Calibri" w:eastAsia="宋体" w:cs="Times New Roman"/>
      <w:b/>
      <w:bCs/>
      <w:szCs w:val="28"/>
    </w:rPr>
  </w:style>
  <w:style w:type="character" w:customStyle="1" w:styleId="62">
    <w:name w:val="标题 6 字符"/>
    <w:basedOn w:val="41"/>
    <w:link w:val="7"/>
    <w:qFormat/>
    <w:uiPriority w:val="9"/>
    <w:rPr>
      <w:rFonts w:eastAsia="宋体" w:asciiTheme="majorHAnsi" w:hAnsiTheme="majorHAnsi" w:cstheme="majorBidi"/>
      <w:b/>
      <w:bCs/>
      <w:kern w:val="0"/>
      <w:szCs w:val="24"/>
    </w:rPr>
  </w:style>
  <w:style w:type="character" w:customStyle="1" w:styleId="63">
    <w:name w:val="标题 7 字符"/>
    <w:basedOn w:val="41"/>
    <w:link w:val="8"/>
    <w:autoRedefine/>
    <w:qFormat/>
    <w:uiPriority w:val="9"/>
    <w:rPr>
      <w:rFonts w:ascii="宋体" w:hAnsi="宋体" w:eastAsia="宋体" w:cs="宋体"/>
      <w:b/>
      <w:bCs/>
      <w:kern w:val="0"/>
      <w:sz w:val="24"/>
      <w:szCs w:val="24"/>
    </w:rPr>
  </w:style>
  <w:style w:type="character" w:customStyle="1" w:styleId="64">
    <w:name w:val="称呼 字符"/>
    <w:basedOn w:val="41"/>
    <w:link w:val="16"/>
    <w:autoRedefine/>
    <w:qFormat/>
    <w:uiPriority w:val="99"/>
    <w:rPr>
      <w:rFonts w:ascii="Times New Roman" w:hAnsi="Times New Roman" w:eastAsia="宋体" w:cs="Times New Roman"/>
      <w:szCs w:val="21"/>
    </w:rPr>
  </w:style>
  <w:style w:type="character" w:customStyle="1" w:styleId="65">
    <w:name w:val="notnullcss1"/>
    <w:basedOn w:val="41"/>
    <w:qFormat/>
    <w:uiPriority w:val="99"/>
    <w:rPr>
      <w:rFonts w:eastAsia="宋体" w:cs="Times New Roman"/>
      <w:color w:val="FF0000"/>
      <w:kern w:val="2"/>
      <w:sz w:val="24"/>
      <w:szCs w:val="24"/>
      <w:lang w:val="en-US" w:eastAsia="zh-CN" w:bidi="ar-SA"/>
    </w:rPr>
  </w:style>
  <w:style w:type="paragraph" w:customStyle="1" w:styleId="66">
    <w:name w:val="xl61"/>
    <w:basedOn w:val="1"/>
    <w:autoRedefine/>
    <w:qFormat/>
    <w:uiPriority w:val="99"/>
    <w:pPr>
      <w:widowControl/>
      <w:spacing w:before="100" w:after="100"/>
      <w:jc w:val="right"/>
    </w:pPr>
    <w:rPr>
      <w:rFonts w:ascii="Arial Unicode MS" w:hAnsi="Times New Roman" w:eastAsia="Arial Unicode MS" w:cs="Times New Roman"/>
      <w:kern w:val="0"/>
      <w:sz w:val="18"/>
      <w:szCs w:val="18"/>
    </w:rPr>
  </w:style>
  <w:style w:type="character" w:customStyle="1" w:styleId="67">
    <w:name w:val="纯文本 字符"/>
    <w:basedOn w:val="41"/>
    <w:link w:val="22"/>
    <w:autoRedefine/>
    <w:qFormat/>
    <w:uiPriority w:val="0"/>
    <w:rPr>
      <w:rFonts w:ascii="宋体" w:hAnsi="Courier New" w:eastAsia="宋体" w:cs="Times New Roman"/>
      <w:szCs w:val="20"/>
    </w:rPr>
  </w:style>
  <w:style w:type="character" w:customStyle="1" w:styleId="68">
    <w:name w:val="headline-content2"/>
    <w:basedOn w:val="41"/>
    <w:qFormat/>
    <w:uiPriority w:val="0"/>
    <w:rPr>
      <w:rFonts w:eastAsia="宋体" w:cs="Times New Roman"/>
      <w:kern w:val="2"/>
      <w:sz w:val="24"/>
      <w:szCs w:val="24"/>
      <w:lang w:val="en-US" w:eastAsia="zh-CN" w:bidi="ar-SA"/>
    </w:rPr>
  </w:style>
  <w:style w:type="character" w:customStyle="1" w:styleId="69">
    <w:name w:val="正文文本 字符"/>
    <w:basedOn w:val="41"/>
    <w:link w:val="18"/>
    <w:autoRedefine/>
    <w:qFormat/>
    <w:uiPriority w:val="99"/>
    <w:rPr>
      <w:rFonts w:ascii="Times New Roman" w:hAnsi="Times New Roman" w:eastAsia="宋体" w:cs="Times New Roman"/>
      <w:szCs w:val="21"/>
    </w:rPr>
  </w:style>
  <w:style w:type="paragraph" w:customStyle="1" w:styleId="70">
    <w:name w:val="write2"/>
    <w:basedOn w:val="1"/>
    <w:autoRedefine/>
    <w:qFormat/>
    <w:uiPriority w:val="99"/>
    <w:pPr>
      <w:widowControl/>
      <w:tabs>
        <w:tab w:val="left" w:pos="709"/>
      </w:tabs>
      <w:overflowPunct w:val="0"/>
      <w:autoSpaceDE w:val="0"/>
      <w:autoSpaceDN w:val="0"/>
      <w:adjustRightInd w:val="0"/>
      <w:textAlignment w:val="baseline"/>
    </w:pPr>
    <w:rPr>
      <w:rFonts w:ascii="Helvetica-Narrow" w:hAnsi="Helvetica-Narrow" w:eastAsia="宋体" w:cs="Times New Roman"/>
      <w:kern w:val="0"/>
      <w:szCs w:val="24"/>
      <w:lang w:val="en-AU"/>
    </w:rPr>
  </w:style>
  <w:style w:type="character" w:customStyle="1" w:styleId="71">
    <w:name w:val="日期 字符"/>
    <w:basedOn w:val="41"/>
    <w:link w:val="24"/>
    <w:autoRedefine/>
    <w:qFormat/>
    <w:uiPriority w:val="99"/>
    <w:rPr>
      <w:rFonts w:ascii="Times New Roman" w:hAnsi="Times New Roman" w:eastAsia="宋体" w:cs="Times New Roman"/>
      <w:szCs w:val="21"/>
    </w:rPr>
  </w:style>
  <w:style w:type="character" w:customStyle="1" w:styleId="72">
    <w:name w:val="注释标题 字符"/>
    <w:basedOn w:val="41"/>
    <w:link w:val="10"/>
    <w:autoRedefine/>
    <w:qFormat/>
    <w:uiPriority w:val="99"/>
    <w:rPr>
      <w:rFonts w:ascii="Times New Roman" w:hAnsi="Times New Roman" w:eastAsia="宋体" w:cs="Times New Roman"/>
      <w:szCs w:val="21"/>
    </w:rPr>
  </w:style>
  <w:style w:type="paragraph" w:customStyle="1" w:styleId="73">
    <w:name w:val="标题5"/>
    <w:basedOn w:val="1"/>
    <w:qFormat/>
    <w:uiPriority w:val="0"/>
    <w:pPr>
      <w:keepNext/>
      <w:keepLines/>
      <w:spacing w:before="60" w:after="60"/>
      <w:ind w:hanging="420" w:hangingChars="200"/>
      <w:outlineLvl w:val="4"/>
    </w:pPr>
    <w:rPr>
      <w:rFonts w:ascii="宋体" w:hAnsi="宋体" w:eastAsia="宋体" w:cs="Times New Roman"/>
      <w:b/>
      <w:bCs/>
      <w:szCs w:val="21"/>
    </w:rPr>
  </w:style>
  <w:style w:type="paragraph" w:customStyle="1" w:styleId="74">
    <w:name w:val="修订1"/>
    <w:hidden/>
    <w:semiHidden/>
    <w:qFormat/>
    <w:uiPriority w:val="99"/>
    <w:rPr>
      <w:rFonts w:ascii="Calibri" w:hAnsi="Calibri" w:eastAsia="宋体" w:cs="Times New Roman"/>
      <w:kern w:val="2"/>
      <w:sz w:val="21"/>
      <w:szCs w:val="22"/>
      <w:lang w:val="en-US" w:eastAsia="zh-CN" w:bidi="ar-SA"/>
    </w:rPr>
  </w:style>
  <w:style w:type="character" w:customStyle="1" w:styleId="75">
    <w:name w:val="正文的样式 Char"/>
    <w:basedOn w:val="41"/>
    <w:link w:val="76"/>
    <w:autoRedefine/>
    <w:qFormat/>
    <w:uiPriority w:val="0"/>
    <w:rPr>
      <w:szCs w:val="24"/>
    </w:rPr>
  </w:style>
  <w:style w:type="paragraph" w:customStyle="1" w:styleId="76">
    <w:name w:val="正文的样式"/>
    <w:basedOn w:val="1"/>
    <w:link w:val="75"/>
    <w:autoRedefine/>
    <w:qFormat/>
    <w:uiPriority w:val="0"/>
    <w:pPr>
      <w:spacing w:before="100" w:after="100"/>
    </w:pPr>
    <w:rPr>
      <w:szCs w:val="24"/>
    </w:rPr>
  </w:style>
  <w:style w:type="character" w:customStyle="1" w:styleId="77">
    <w:name w:val="文档结构图 字符"/>
    <w:basedOn w:val="41"/>
    <w:link w:val="13"/>
    <w:autoRedefine/>
    <w:semiHidden/>
    <w:qFormat/>
    <w:uiPriority w:val="99"/>
    <w:rPr>
      <w:rFonts w:ascii="宋体" w:hAnsi="Calibri" w:eastAsia="宋体" w:cs="Times New Roman"/>
      <w:sz w:val="18"/>
      <w:szCs w:val="18"/>
    </w:rPr>
  </w:style>
  <w:style w:type="character" w:styleId="78">
    <w:name w:val="Placeholder Text"/>
    <w:basedOn w:val="41"/>
    <w:autoRedefine/>
    <w:semiHidden/>
    <w:qFormat/>
    <w:uiPriority w:val="99"/>
    <w:rPr>
      <w:color w:val="auto"/>
    </w:rPr>
  </w:style>
  <w:style w:type="character" w:customStyle="1" w:styleId="79">
    <w:name w:val="标题 字符"/>
    <w:basedOn w:val="41"/>
    <w:link w:val="36"/>
    <w:qFormat/>
    <w:uiPriority w:val="0"/>
    <w:rPr>
      <w:rFonts w:eastAsia="宋体" w:asciiTheme="majorHAnsi" w:hAnsiTheme="majorHAnsi" w:cstheme="majorBidi"/>
      <w:b/>
      <w:bCs/>
      <w:sz w:val="32"/>
      <w:szCs w:val="32"/>
    </w:rPr>
  </w:style>
  <w:style w:type="paragraph" w:styleId="80">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81">
    <w:name w:val="尾注文本 字符"/>
    <w:basedOn w:val="41"/>
    <w:link w:val="25"/>
    <w:autoRedefine/>
    <w:semiHidden/>
    <w:qFormat/>
    <w:uiPriority w:val="99"/>
    <w:rPr>
      <w:rFonts w:ascii="宋体" w:hAnsi="宋体" w:eastAsia="宋体" w:cs="宋体"/>
      <w:kern w:val="0"/>
      <w:szCs w:val="24"/>
    </w:rPr>
  </w:style>
  <w:style w:type="character" w:customStyle="1" w:styleId="82">
    <w:name w:val="批注主题 Char1"/>
    <w:basedOn w:val="53"/>
    <w:autoRedefine/>
    <w:semiHidden/>
    <w:qFormat/>
    <w:uiPriority w:val="99"/>
    <w:rPr>
      <w:rFonts w:ascii="Times New Roman" w:hAnsi="Times New Roman" w:eastAsia="宋体" w:cs="Times New Roman"/>
      <w:b/>
      <w:bCs/>
      <w:szCs w:val="21"/>
    </w:rPr>
  </w:style>
  <w:style w:type="character" w:customStyle="1" w:styleId="83">
    <w:name w:val="span_"/>
    <w:basedOn w:val="41"/>
    <w:autoRedefine/>
    <w:qFormat/>
    <w:uiPriority w:val="0"/>
  </w:style>
  <w:style w:type="paragraph" w:customStyle="1" w:styleId="84">
    <w:name w:val="标题  3"/>
    <w:basedOn w:val="1"/>
    <w:next w:val="1"/>
    <w:link w:val="85"/>
    <w:autoRedefine/>
    <w:qFormat/>
    <w:uiPriority w:val="0"/>
    <w:pPr>
      <w:keepNext/>
      <w:keepLines/>
      <w:spacing w:before="100" w:beforeAutospacing="1" w:after="100" w:afterAutospacing="1" w:line="415" w:lineRule="auto"/>
    </w:pPr>
    <w:rPr>
      <w:rFonts w:ascii="Times New Roman" w:hAnsi="Times New Roman" w:eastAsia="宋体" w:cs="Times New Roman"/>
      <w:b/>
      <w:szCs w:val="24"/>
    </w:rPr>
  </w:style>
  <w:style w:type="character" w:customStyle="1" w:styleId="85">
    <w:name w:val="标题  3 Char"/>
    <w:basedOn w:val="41"/>
    <w:link w:val="84"/>
    <w:autoRedefine/>
    <w:qFormat/>
    <w:uiPriority w:val="0"/>
    <w:rPr>
      <w:rFonts w:ascii="Times New Roman" w:hAnsi="Times New Roman" w:eastAsia="宋体" w:cs="Times New Roman"/>
      <w:b/>
      <w:szCs w:val="24"/>
    </w:rPr>
  </w:style>
  <w:style w:type="paragraph" w:customStyle="1" w:styleId="86">
    <w:name w:val="列出段落1"/>
    <w:basedOn w:val="1"/>
    <w:autoRedefine/>
    <w:qFormat/>
    <w:uiPriority w:val="0"/>
    <w:pPr>
      <w:ind w:firstLine="420" w:firstLineChars="200"/>
    </w:pPr>
    <w:rPr>
      <w:rFonts w:ascii="Calibri" w:hAnsi="Calibri" w:eastAsia="宋体" w:cs="Calibri"/>
      <w:szCs w:val="21"/>
    </w:rPr>
  </w:style>
  <w:style w:type="paragraph" w:customStyle="1" w:styleId="87">
    <w:name w:val="报告正文格式1"/>
    <w:basedOn w:val="1"/>
    <w:autoRedefine/>
    <w:qFormat/>
    <w:uiPriority w:val="0"/>
    <w:pPr>
      <w:spacing w:line="360" w:lineRule="auto"/>
      <w:ind w:firstLine="200" w:firstLineChars="200"/>
      <w:jc w:val="left"/>
    </w:pPr>
    <w:rPr>
      <w:rFonts w:ascii="Times New Roman" w:hAnsi="Times New Roman" w:eastAsia="仿宋" w:cs="Times New Roman"/>
      <w:bCs/>
      <w:sz w:val="24"/>
      <w:szCs w:val="24"/>
    </w:rPr>
  </w:style>
  <w:style w:type="paragraph" w:customStyle="1" w:styleId="88">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table" w:customStyle="1" w:styleId="89">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90">
    <w:name w:val="Table Paragraph"/>
    <w:basedOn w:val="1"/>
    <w:autoRedefine/>
    <w:qFormat/>
    <w:uiPriority w:val="1"/>
    <w:pPr>
      <w:autoSpaceDE w:val="0"/>
      <w:autoSpaceDN w:val="0"/>
      <w:jc w:val="left"/>
    </w:pPr>
    <w:rPr>
      <w:rFonts w:ascii="Times New Roman" w:hAnsi="Times New Roman" w:eastAsia="Times New Roman" w:cs="Times New Roman"/>
      <w:kern w:val="0"/>
      <w:sz w:val="22"/>
      <w:lang w:eastAsia="en-US"/>
    </w:rPr>
  </w:style>
  <w:style w:type="paragraph" w:customStyle="1" w:styleId="91">
    <w:name w:val="前言标题"/>
    <w:basedOn w:val="3"/>
    <w:link w:val="93"/>
    <w:autoRedefine/>
    <w:qFormat/>
    <w:uiPriority w:val="0"/>
    <w:pPr>
      <w:spacing w:before="0" w:after="0" w:line="566" w:lineRule="auto"/>
      <w:jc w:val="left"/>
      <w:outlineLvl w:val="9"/>
    </w:pPr>
    <w:rPr>
      <w:rFonts w:ascii="Times New Roman" w:hAnsi="Times New Roman" w:eastAsia="黑体" w:cs="Times New Roman"/>
      <w:b w:val="0"/>
      <w:sz w:val="21"/>
    </w:rPr>
  </w:style>
  <w:style w:type="paragraph" w:customStyle="1" w:styleId="92">
    <w:name w:val="前言大标题"/>
    <w:basedOn w:val="2"/>
    <w:link w:val="94"/>
    <w:autoRedefine/>
    <w:qFormat/>
    <w:uiPriority w:val="0"/>
    <w:pPr>
      <w:spacing w:before="0" w:after="680" w:line="283" w:lineRule="auto"/>
      <w:ind w:firstLine="200" w:firstLineChars="200"/>
      <w:jc w:val="center"/>
      <w:outlineLvl w:val="9"/>
    </w:pPr>
    <w:rPr>
      <w:rFonts w:ascii="Times New Roman" w:hAnsi="Times New Roman" w:eastAsia="黑体" w:cs="Times New Roman"/>
      <w:b w:val="0"/>
      <w:sz w:val="32"/>
    </w:rPr>
  </w:style>
  <w:style w:type="character" w:customStyle="1" w:styleId="93">
    <w:name w:val="前言标题 Char"/>
    <w:basedOn w:val="41"/>
    <w:link w:val="91"/>
    <w:autoRedefine/>
    <w:qFormat/>
    <w:uiPriority w:val="0"/>
    <w:rPr>
      <w:rFonts w:eastAsia="黑体"/>
      <w:bCs/>
      <w:kern w:val="2"/>
      <w:sz w:val="21"/>
      <w:szCs w:val="32"/>
    </w:rPr>
  </w:style>
  <w:style w:type="character" w:customStyle="1" w:styleId="94">
    <w:name w:val="前言大标题 Char"/>
    <w:link w:val="92"/>
    <w:autoRedefine/>
    <w:qFormat/>
    <w:uiPriority w:val="0"/>
    <w:rPr>
      <w:rFonts w:eastAsia="黑体"/>
      <w:bCs/>
      <w:kern w:val="44"/>
      <w:sz w:val="32"/>
      <w:szCs w:val="44"/>
    </w:rPr>
  </w:style>
  <w:style w:type="paragraph" w:customStyle="1" w:styleId="95">
    <w:name w:val="表格内"/>
    <w:basedOn w:val="1"/>
    <w:autoRedefine/>
    <w:qFormat/>
    <w:uiPriority w:val="99"/>
    <w:pPr>
      <w:widowControl/>
      <w:adjustRightInd w:val="0"/>
      <w:snapToGrid w:val="0"/>
      <w:jc w:val="center"/>
    </w:pPr>
    <w:rPr>
      <w:rFonts w:ascii="Times New Roman" w:hAnsi="Times New Roman"/>
      <w:kern w:val="0"/>
      <w:szCs w:val="20"/>
    </w:rPr>
  </w:style>
  <w:style w:type="paragraph" w:customStyle="1" w:styleId="96">
    <w:name w:val="WPSOffice手动目录 1"/>
    <w:autoRedefine/>
    <w:qFormat/>
    <w:uiPriority w:val="0"/>
    <w:rPr>
      <w:rFonts w:ascii="Times New Roman" w:hAnsi="Times New Roman" w:eastAsia="宋体" w:cs="Times New Roman"/>
      <w:lang w:val="en-US" w:eastAsia="zh-CN" w:bidi="ar-SA"/>
    </w:rPr>
  </w:style>
  <w:style w:type="paragraph" w:customStyle="1" w:styleId="97">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98">
    <w:name w:val="前言、引言标题"/>
    <w:next w:val="1"/>
    <w:autoRedefine/>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9">
    <w:name w:val="章标题"/>
    <w:next w:val="1"/>
    <w:autoRedefine/>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00">
    <w:name w:val="一级条标题"/>
    <w:next w:val="1"/>
    <w:autoRedefine/>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101">
    <w:name w:val="二级条标题"/>
    <w:basedOn w:val="100"/>
    <w:next w:val="1"/>
    <w:autoRedefine/>
    <w:qFormat/>
    <w:uiPriority w:val="0"/>
    <w:pPr>
      <w:numPr>
        <w:ilvl w:val="3"/>
      </w:numPr>
      <w:outlineLvl w:val="3"/>
    </w:pPr>
  </w:style>
  <w:style w:type="paragraph" w:customStyle="1" w:styleId="102">
    <w:name w:val="实施日期"/>
    <w:basedOn w:val="1"/>
    <w:autoRedefine/>
    <w:qFormat/>
    <w:uiPriority w:val="0"/>
    <w:pPr>
      <w:framePr w:w="4000" w:h="473" w:hRule="exact" w:vSpace="180" w:wrap="around" w:vAnchor="margin" w:hAnchor="margin" w:xAlign="right" w:y="13511" w:anchorLock="1"/>
      <w:widowControl/>
      <w:numPr>
        <w:ilvl w:val="4"/>
        <w:numId w:val="1"/>
      </w:numPr>
      <w:jc w:val="right"/>
    </w:pPr>
    <w:rPr>
      <w:rFonts w:ascii="Times New Roman" w:hAnsi="Times New Roman" w:eastAsia="黑体" w:cs="Times New Roman"/>
      <w:kern w:val="0"/>
      <w:sz w:val="28"/>
      <w:szCs w:val="20"/>
    </w:rPr>
  </w:style>
  <w:style w:type="paragraph" w:customStyle="1" w:styleId="103">
    <w:name w:val="图表脚注"/>
    <w:next w:val="1"/>
    <w:autoRedefine/>
    <w:qFormat/>
    <w:uiPriority w:val="0"/>
    <w:pPr>
      <w:numPr>
        <w:ilvl w:val="5"/>
        <w:numId w:val="1"/>
      </w:numPr>
      <w:ind w:left="300" w:leftChars="200" w:hanging="100" w:hangingChars="100"/>
      <w:jc w:val="both"/>
    </w:pPr>
    <w:rPr>
      <w:rFonts w:ascii="宋体" w:hAnsi="Times New Roman" w:eastAsia="宋体" w:cs="Times New Roman"/>
      <w:sz w:val="18"/>
      <w:lang w:val="en-US" w:eastAsia="zh-CN" w:bidi="ar-SA"/>
    </w:rPr>
  </w:style>
  <w:style w:type="paragraph" w:customStyle="1" w:styleId="104">
    <w:name w:val="正文表标题"/>
    <w:next w:val="1"/>
    <w:autoRedefine/>
    <w:qFormat/>
    <w:uiPriority w:val="0"/>
    <w:pPr>
      <w:numPr>
        <w:ilvl w:val="6"/>
        <w:numId w:val="1"/>
      </w:numPr>
      <w:jc w:val="center"/>
    </w:pPr>
    <w:rPr>
      <w:rFonts w:ascii="黑体" w:hAnsi="Times New Roman" w:eastAsia="黑体" w:cs="Times New Roman"/>
      <w:sz w:val="21"/>
      <w:lang w:val="en-US" w:eastAsia="zh-CN" w:bidi="ar-SA"/>
    </w:rPr>
  </w:style>
  <w:style w:type="paragraph" w:customStyle="1" w:styleId="105">
    <w:name w:val="一级无"/>
    <w:basedOn w:val="100"/>
    <w:autoRedefine/>
    <w:qFormat/>
    <w:uiPriority w:val="0"/>
    <w:pPr>
      <w:numPr>
        <w:ilvl w:val="0"/>
        <w:numId w:val="0"/>
      </w:numPr>
      <w:tabs>
        <w:tab w:val="left" w:pos="360"/>
      </w:tabs>
    </w:pPr>
    <w:rPr>
      <w:rFonts w:ascii="宋体" w:eastAsia="宋体"/>
      <w:szCs w:val="21"/>
    </w:rPr>
  </w:style>
  <w:style w:type="character" w:customStyle="1" w:styleId="106">
    <w:name w:val="未处理的提及1"/>
    <w:basedOn w:val="41"/>
    <w:autoRedefine/>
    <w:semiHidden/>
    <w:unhideWhenUsed/>
    <w:qFormat/>
    <w:uiPriority w:val="99"/>
    <w:rPr>
      <w:color w:val="605E5C"/>
      <w:shd w:val="clear" w:color="auto" w:fill="E1DFDD"/>
    </w:rPr>
  </w:style>
  <w:style w:type="paragraph" w:customStyle="1" w:styleId="107">
    <w:name w:val="正文2"/>
    <w:basedOn w:val="1"/>
    <w:qFormat/>
    <w:uiPriority w:val="0"/>
    <w:pPr>
      <w:adjustRightInd w:val="0"/>
      <w:spacing w:line="360" w:lineRule="auto"/>
      <w:ind w:firstLine="480" w:firstLineChars="200"/>
    </w:pPr>
    <w:rPr>
      <w:rFonts w:ascii="宋体" w:hAnsi="宋体"/>
      <w:color w:val="00000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C0C85B-024C-49A1-89CA-1A1A3B0F4157}">
  <ds:schemaRefs/>
</ds:datastoreItem>
</file>

<file path=customXml/itemProps3.xml><?xml version="1.0" encoding="utf-8"?>
<ds:datastoreItem xmlns:ds="http://schemas.openxmlformats.org/officeDocument/2006/customXml" ds:itemID="{206F2025-9CDD-498C-9826-7710FC0F5460}">
  <ds:schemaRefs/>
</ds:datastoreItem>
</file>

<file path=customXml/itemProps4.xml><?xml version="1.0" encoding="utf-8"?>
<ds:datastoreItem xmlns:ds="http://schemas.openxmlformats.org/officeDocument/2006/customXml" ds:itemID="{C5D7E463-A10F-494B-AAC3-043C8AA8F38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9123</Words>
  <Characters>9350</Characters>
  <Lines>72</Lines>
  <Paragraphs>20</Paragraphs>
  <TotalTime>2</TotalTime>
  <ScaleCrop>false</ScaleCrop>
  <LinksUpToDate>false</LinksUpToDate>
  <CharactersWithSpaces>9426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2022-07-22T05:32:00Z</dcterms:created>
  <dc:creator>Meng Tang</dc:creator>
  <cp:lastModifiedBy>是我</cp:lastModifiedBy>
  <cp:lastPrinted>2022-08-26T10:04:00Z</cp:lastPrinted>
  <dcterms:modified xsi:type="dcterms:W3CDTF">2026-06-18T04:23:54Z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A1A18F0932BA428BA3111AD3325523E2_13</vt:lpwstr>
  </property>
  <property fmtid="{D5CDD505-2E9C-101B-9397-08002B2CF9AE}" pid="4" name="KSOTemplateDocerSaveRecord">
    <vt:lpwstr>eyJoZGlkIjoiYjMxMjdkMzJkZjA3NTcwOTUyN2Y2MGJkMjE3ZDcxMTQiLCJ1c2VySWQiOiIxMTc0MzM0OTQ1In0=</vt:lpwstr>
  </property>
</Properties>
</file>