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3FEE57">
      <w:pPr>
        <w:widowControl w:val="0"/>
        <w:jc w:val="both"/>
        <w:rPr>
          <w:kern w:val="2"/>
          <w:sz w:val="21"/>
        </w:rPr>
      </w:pPr>
    </w:p>
    <w:p w14:paraId="78A76E59">
      <w:pPr>
        <w:widowControl w:val="0"/>
        <w:spacing w:line="360" w:lineRule="auto"/>
        <w:jc w:val="both"/>
        <w:rPr>
          <w:kern w:val="2"/>
          <w:sz w:val="21"/>
        </w:rPr>
      </w:pPr>
    </w:p>
    <w:p w14:paraId="4A413801">
      <w:pPr>
        <w:widowControl w:val="0"/>
        <w:spacing w:line="360" w:lineRule="auto"/>
        <w:jc w:val="both"/>
        <w:rPr>
          <w:kern w:val="2"/>
          <w:sz w:val="21"/>
        </w:rPr>
      </w:pPr>
    </w:p>
    <w:p w14:paraId="430E58F4">
      <w:pPr>
        <w:widowControl w:val="0"/>
        <w:spacing w:line="360" w:lineRule="auto"/>
        <w:jc w:val="both"/>
        <w:rPr>
          <w:kern w:val="2"/>
          <w:sz w:val="21"/>
        </w:rPr>
      </w:pPr>
    </w:p>
    <w:p w14:paraId="18775346">
      <w:pPr>
        <w:widowControl w:val="0"/>
        <w:spacing w:line="480" w:lineRule="auto"/>
        <w:jc w:val="center"/>
        <w:rPr>
          <w:kern w:val="2"/>
          <w:sz w:val="44"/>
          <w:szCs w:val="44"/>
          <w:highlight w:val="yellow"/>
        </w:rPr>
      </w:pPr>
      <w:r>
        <w:drawing>
          <wp:inline distT="0" distB="0" distL="114300" distR="114300">
            <wp:extent cx="3057525" cy="800100"/>
            <wp:effectExtent l="0" t="0" r="9525" b="0"/>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pic:cNvPicPr>
                  </pic:nvPicPr>
                  <pic:blipFill>
                    <a:blip r:embed="rId10"/>
                    <a:stretch>
                      <a:fillRect/>
                    </a:stretch>
                  </pic:blipFill>
                  <pic:spPr>
                    <a:xfrm>
                      <a:off x="0" y="0"/>
                      <a:ext cx="3057525" cy="800100"/>
                    </a:xfrm>
                    <a:prstGeom prst="rect">
                      <a:avLst/>
                    </a:prstGeom>
                    <a:noFill/>
                    <a:ln>
                      <a:noFill/>
                    </a:ln>
                  </pic:spPr>
                </pic:pic>
              </a:graphicData>
            </a:graphic>
          </wp:inline>
        </w:drawing>
      </w:r>
    </w:p>
    <w:p w14:paraId="34C2549C">
      <w:pPr>
        <w:widowControl w:val="0"/>
        <w:spacing w:line="480" w:lineRule="auto"/>
        <w:jc w:val="both"/>
        <w:rPr>
          <w:kern w:val="2"/>
          <w:sz w:val="44"/>
          <w:szCs w:val="44"/>
        </w:rPr>
      </w:pPr>
      <w:r>
        <w:rPr>
          <w:rFonts w:hint="eastAsia" w:ascii="宋体" w:hAnsi="宋体"/>
          <w:b/>
          <w:kern w:val="2"/>
          <w:sz w:val="72"/>
          <w:szCs w:val="72"/>
        </w:rPr>
        <w:t xml:space="preserve"> </w:t>
      </w:r>
    </w:p>
    <w:p w14:paraId="1E34B6A5">
      <w:pPr>
        <w:widowControl w:val="0"/>
        <w:spacing w:line="360" w:lineRule="auto"/>
        <w:jc w:val="center"/>
        <w:rPr>
          <w:kern w:val="2"/>
          <w:sz w:val="44"/>
          <w:szCs w:val="44"/>
        </w:rPr>
      </w:pPr>
      <w:r>
        <w:rPr>
          <w:rFonts w:hint="eastAsia" w:ascii="宋体" w:hAnsi="宋体"/>
          <w:b/>
          <w:kern w:val="2"/>
          <w:sz w:val="72"/>
          <w:szCs w:val="72"/>
        </w:rPr>
        <w:t>“卓越绩效”自评报告</w:t>
      </w:r>
    </w:p>
    <w:p w14:paraId="674FA6D7">
      <w:pPr>
        <w:widowControl w:val="0"/>
        <w:spacing w:line="360" w:lineRule="auto"/>
        <w:jc w:val="center"/>
        <w:rPr>
          <w:rFonts w:ascii="黑体" w:hAnsi="黑体" w:eastAsia="黑体"/>
          <w:b/>
          <w:kern w:val="2"/>
          <w:sz w:val="28"/>
          <w:szCs w:val="28"/>
        </w:rPr>
      </w:pPr>
    </w:p>
    <w:p w14:paraId="75C06A35">
      <w:pPr>
        <w:widowControl w:val="0"/>
        <w:spacing w:line="360" w:lineRule="auto"/>
        <w:jc w:val="center"/>
        <w:rPr>
          <w:rFonts w:ascii="黑体" w:hAnsi="黑体" w:eastAsia="黑体"/>
          <w:b/>
          <w:kern w:val="2"/>
          <w:sz w:val="28"/>
          <w:szCs w:val="28"/>
        </w:rPr>
      </w:pPr>
    </w:p>
    <w:p w14:paraId="71B766DE">
      <w:pPr>
        <w:widowControl w:val="0"/>
        <w:spacing w:line="360" w:lineRule="auto"/>
        <w:jc w:val="center"/>
        <w:rPr>
          <w:rFonts w:ascii="宋体" w:hAnsi="宋体"/>
          <w:kern w:val="2"/>
          <w:sz w:val="21"/>
        </w:rPr>
      </w:pPr>
    </w:p>
    <w:p w14:paraId="23F236FB">
      <w:pPr>
        <w:widowControl w:val="0"/>
        <w:spacing w:line="360" w:lineRule="auto"/>
        <w:jc w:val="center"/>
        <w:rPr>
          <w:rFonts w:ascii="宋体" w:hAnsi="宋体"/>
          <w:kern w:val="2"/>
          <w:sz w:val="21"/>
        </w:rPr>
      </w:pPr>
    </w:p>
    <w:p w14:paraId="1E33F70E">
      <w:pPr>
        <w:widowControl w:val="0"/>
        <w:spacing w:line="360" w:lineRule="auto"/>
        <w:jc w:val="center"/>
        <w:rPr>
          <w:rFonts w:ascii="宋体" w:hAnsi="宋体"/>
          <w:kern w:val="2"/>
          <w:sz w:val="21"/>
        </w:rPr>
      </w:pPr>
    </w:p>
    <w:p w14:paraId="4A998C95">
      <w:pPr>
        <w:widowControl w:val="0"/>
        <w:spacing w:line="360" w:lineRule="auto"/>
        <w:jc w:val="center"/>
        <w:rPr>
          <w:rFonts w:ascii="宋体" w:hAnsi="宋体"/>
          <w:kern w:val="2"/>
          <w:sz w:val="21"/>
        </w:rPr>
      </w:pPr>
    </w:p>
    <w:p w14:paraId="7FB30851">
      <w:pPr>
        <w:widowControl w:val="0"/>
        <w:spacing w:line="360" w:lineRule="auto"/>
        <w:jc w:val="center"/>
        <w:rPr>
          <w:rFonts w:ascii="黑体" w:hAnsi="黑体" w:eastAsia="黑体"/>
          <w:b/>
          <w:kern w:val="2"/>
          <w:sz w:val="28"/>
          <w:szCs w:val="28"/>
        </w:rPr>
      </w:pPr>
    </w:p>
    <w:p w14:paraId="1253039D">
      <w:pPr>
        <w:widowControl w:val="0"/>
        <w:spacing w:line="360" w:lineRule="auto"/>
        <w:jc w:val="center"/>
        <w:rPr>
          <w:rFonts w:ascii="黑体" w:hAnsi="黑体" w:eastAsia="黑体"/>
          <w:b/>
          <w:kern w:val="2"/>
          <w:sz w:val="28"/>
          <w:szCs w:val="28"/>
        </w:rPr>
      </w:pPr>
    </w:p>
    <w:p w14:paraId="15BE5F00">
      <w:pPr>
        <w:widowControl w:val="0"/>
        <w:spacing w:line="480" w:lineRule="auto"/>
        <w:jc w:val="center"/>
        <w:rPr>
          <w:rFonts w:ascii="宋体" w:hAnsi="宋体"/>
          <w:b/>
          <w:kern w:val="2"/>
          <w:sz w:val="52"/>
          <w:szCs w:val="52"/>
        </w:rPr>
      </w:pPr>
      <w:r>
        <w:rPr>
          <w:rFonts w:hint="eastAsia" w:ascii="宋体" w:hAnsi="宋体"/>
          <w:b/>
          <w:kern w:val="2"/>
          <w:sz w:val="52"/>
          <w:szCs w:val="52"/>
        </w:rPr>
        <w:t>浙江中凯实业有限公司</w:t>
      </w:r>
    </w:p>
    <w:p w14:paraId="434F48FC">
      <w:pPr>
        <w:widowControl w:val="0"/>
        <w:spacing w:line="480" w:lineRule="auto"/>
        <w:jc w:val="center"/>
        <w:rPr>
          <w:b/>
          <w:kern w:val="2"/>
          <w:sz w:val="21"/>
        </w:rPr>
      </w:pPr>
      <w:r>
        <w:rPr>
          <w:rFonts w:hint="eastAsia" w:ascii="宋体" w:hAnsi="宋体"/>
          <w:b/>
          <w:kern w:val="2"/>
          <w:sz w:val="48"/>
          <w:szCs w:val="44"/>
        </w:rPr>
        <w:t>20</w:t>
      </w:r>
      <w:r>
        <w:rPr>
          <w:rFonts w:ascii="宋体" w:hAnsi="宋体"/>
          <w:b/>
          <w:kern w:val="2"/>
          <w:sz w:val="48"/>
          <w:szCs w:val="44"/>
        </w:rPr>
        <w:t>2</w:t>
      </w:r>
      <w:r>
        <w:rPr>
          <w:rFonts w:hint="eastAsia" w:ascii="宋体" w:hAnsi="宋体"/>
          <w:b/>
          <w:kern w:val="2"/>
          <w:sz w:val="48"/>
          <w:szCs w:val="44"/>
          <w:lang w:val="en-US" w:eastAsia="zh-CN"/>
        </w:rPr>
        <w:t>6</w:t>
      </w:r>
      <w:r>
        <w:rPr>
          <w:rFonts w:hint="eastAsia" w:ascii="宋体" w:hAnsi="宋体"/>
          <w:b/>
          <w:kern w:val="2"/>
          <w:sz w:val="48"/>
          <w:szCs w:val="44"/>
        </w:rPr>
        <w:t>年1月</w:t>
      </w:r>
    </w:p>
    <w:p w14:paraId="53AFB80C">
      <w:pPr>
        <w:jc w:val="center"/>
        <w:rPr>
          <w:sz w:val="32"/>
        </w:rPr>
        <w:sectPr>
          <w:headerReference r:id="rId3" w:type="default"/>
          <w:footerReference r:id="rId4" w:type="default"/>
          <w:footerReference r:id="rId5" w:type="even"/>
          <w:pgSz w:w="11907" w:h="16840"/>
          <w:pgMar w:top="1814" w:right="1531" w:bottom="1644" w:left="1644" w:header="851" w:footer="1134" w:gutter="0"/>
          <w:pgNumType w:fmt="numberInDash"/>
          <w:cols w:space="720" w:num="1"/>
          <w:docGrid w:linePitch="312" w:charSpace="0"/>
        </w:sectPr>
      </w:pPr>
    </w:p>
    <w:p w14:paraId="17348FA9">
      <w:pPr>
        <w:jc w:val="center"/>
      </w:pPr>
      <w:r>
        <w:rPr>
          <w:rFonts w:hint="eastAsia"/>
          <w:sz w:val="32"/>
        </w:rPr>
        <w:t>目  录</w:t>
      </w:r>
      <w:r>
        <w:rPr>
          <w:sz w:val="32"/>
        </w:rPr>
        <w:fldChar w:fldCharType="begin"/>
      </w:r>
      <w:r>
        <w:rPr>
          <w:sz w:val="32"/>
        </w:rPr>
        <w:instrText xml:space="preserve">TOC \o "1-3" \h \u </w:instrText>
      </w:r>
      <w:r>
        <w:rPr>
          <w:sz w:val="32"/>
        </w:rPr>
        <w:fldChar w:fldCharType="separate"/>
      </w:r>
    </w:p>
    <w:p w14:paraId="5677FE11">
      <w:pPr>
        <w:pStyle w:val="12"/>
        <w:tabs>
          <w:tab w:val="right" w:leader="dot" w:pos="8630"/>
        </w:tabs>
        <w:ind w:left="960"/>
        <w:rPr>
          <w:rFonts w:ascii="等线" w:hAnsi="等线" w:eastAsia="等线"/>
          <w:kern w:val="2"/>
          <w:sz w:val="21"/>
          <w:szCs w:val="22"/>
        </w:rPr>
      </w:pPr>
      <w:r>
        <w:fldChar w:fldCharType="begin"/>
      </w:r>
      <w:r>
        <w:instrText xml:space="preserve"> HYPERLINK \l "_Toc99720414" </w:instrText>
      </w:r>
      <w:r>
        <w:fldChar w:fldCharType="separate"/>
      </w:r>
      <w:r>
        <w:rPr>
          <w:rStyle w:val="25"/>
        </w:rPr>
        <w:t>4.1.1 总则</w:t>
      </w:r>
      <w:r>
        <w:tab/>
      </w:r>
      <w:r>
        <w:fldChar w:fldCharType="begin"/>
      </w:r>
      <w:r>
        <w:instrText xml:space="preserve"> PAGEREF _Toc99720414 \h </w:instrText>
      </w:r>
      <w:r>
        <w:fldChar w:fldCharType="separate"/>
      </w:r>
      <w:r>
        <w:t>5</w:t>
      </w:r>
      <w:r>
        <w:fldChar w:fldCharType="end"/>
      </w:r>
      <w:r>
        <w:fldChar w:fldCharType="end"/>
      </w:r>
    </w:p>
    <w:p w14:paraId="545AAA71">
      <w:pPr>
        <w:pStyle w:val="12"/>
        <w:tabs>
          <w:tab w:val="right" w:leader="dot" w:pos="8630"/>
        </w:tabs>
        <w:ind w:left="960"/>
        <w:rPr>
          <w:rFonts w:ascii="等线" w:hAnsi="等线" w:eastAsia="等线"/>
          <w:kern w:val="2"/>
          <w:sz w:val="21"/>
          <w:szCs w:val="22"/>
        </w:rPr>
      </w:pPr>
      <w:r>
        <w:fldChar w:fldCharType="begin"/>
      </w:r>
      <w:r>
        <w:instrText xml:space="preserve"> HYPERLINK \l "_Toc99720415" </w:instrText>
      </w:r>
      <w:r>
        <w:fldChar w:fldCharType="separate"/>
      </w:r>
      <w:r>
        <w:rPr>
          <w:rStyle w:val="25"/>
        </w:rPr>
        <w:t>4.1.2 高层领导的作用</w:t>
      </w:r>
      <w:r>
        <w:tab/>
      </w:r>
      <w:r>
        <w:fldChar w:fldCharType="begin"/>
      </w:r>
      <w:r>
        <w:instrText xml:space="preserve"> PAGEREF _Toc99720415 \h </w:instrText>
      </w:r>
      <w:r>
        <w:fldChar w:fldCharType="separate"/>
      </w:r>
      <w:r>
        <w:t>5</w:t>
      </w:r>
      <w:r>
        <w:fldChar w:fldCharType="end"/>
      </w:r>
      <w:r>
        <w:fldChar w:fldCharType="end"/>
      </w:r>
    </w:p>
    <w:p w14:paraId="354989D7">
      <w:pPr>
        <w:pStyle w:val="12"/>
        <w:tabs>
          <w:tab w:val="right" w:leader="dot" w:pos="8630"/>
        </w:tabs>
        <w:ind w:left="960"/>
        <w:rPr>
          <w:rFonts w:ascii="等线" w:hAnsi="等线" w:eastAsia="等线"/>
          <w:kern w:val="2"/>
          <w:sz w:val="21"/>
          <w:szCs w:val="22"/>
        </w:rPr>
      </w:pPr>
      <w:r>
        <w:fldChar w:fldCharType="begin"/>
      </w:r>
      <w:r>
        <w:instrText xml:space="preserve"> HYPERLINK \l "_Toc99720416" </w:instrText>
      </w:r>
      <w:r>
        <w:fldChar w:fldCharType="separate"/>
      </w:r>
      <w:r>
        <w:rPr>
          <w:rStyle w:val="25"/>
        </w:rPr>
        <w:t>4.1.3组织治理</w:t>
      </w:r>
      <w:r>
        <w:tab/>
      </w:r>
      <w:r>
        <w:fldChar w:fldCharType="begin"/>
      </w:r>
      <w:r>
        <w:instrText xml:space="preserve"> PAGEREF _Toc99720416 \h </w:instrText>
      </w:r>
      <w:r>
        <w:fldChar w:fldCharType="separate"/>
      </w:r>
      <w:r>
        <w:t>11</w:t>
      </w:r>
      <w:r>
        <w:fldChar w:fldCharType="end"/>
      </w:r>
      <w:r>
        <w:fldChar w:fldCharType="end"/>
      </w:r>
    </w:p>
    <w:p w14:paraId="6139E04F">
      <w:pPr>
        <w:pStyle w:val="12"/>
        <w:tabs>
          <w:tab w:val="right" w:leader="dot" w:pos="8630"/>
        </w:tabs>
        <w:ind w:left="960"/>
        <w:rPr>
          <w:rFonts w:ascii="等线" w:hAnsi="等线" w:eastAsia="等线"/>
          <w:kern w:val="2"/>
          <w:sz w:val="21"/>
          <w:szCs w:val="22"/>
        </w:rPr>
      </w:pPr>
      <w:r>
        <w:fldChar w:fldCharType="begin"/>
      </w:r>
      <w:r>
        <w:instrText xml:space="preserve"> HYPERLINK \l "_Toc99720417" </w:instrText>
      </w:r>
      <w:r>
        <w:fldChar w:fldCharType="separate"/>
      </w:r>
      <w:r>
        <w:rPr>
          <w:rStyle w:val="25"/>
        </w:rPr>
        <w:t>4.1.4社会责任</w:t>
      </w:r>
      <w:r>
        <w:tab/>
      </w:r>
      <w:r>
        <w:fldChar w:fldCharType="begin"/>
      </w:r>
      <w:r>
        <w:instrText xml:space="preserve"> PAGEREF _Toc99720417 \h </w:instrText>
      </w:r>
      <w:r>
        <w:fldChar w:fldCharType="separate"/>
      </w:r>
      <w:r>
        <w:t>14</w:t>
      </w:r>
      <w:r>
        <w:fldChar w:fldCharType="end"/>
      </w:r>
      <w:r>
        <w:fldChar w:fldCharType="end"/>
      </w:r>
    </w:p>
    <w:p w14:paraId="045F236D">
      <w:pPr>
        <w:pStyle w:val="19"/>
        <w:tabs>
          <w:tab w:val="right" w:leader="dot" w:pos="8630"/>
        </w:tabs>
        <w:ind w:left="480"/>
        <w:rPr>
          <w:rFonts w:ascii="等线" w:hAnsi="等线" w:eastAsia="等线"/>
          <w:kern w:val="2"/>
          <w:sz w:val="21"/>
          <w:szCs w:val="22"/>
        </w:rPr>
      </w:pPr>
      <w:r>
        <w:fldChar w:fldCharType="begin"/>
      </w:r>
      <w:r>
        <w:instrText xml:space="preserve"> HYPERLINK \l "_Toc99720418" </w:instrText>
      </w:r>
      <w:r>
        <w:fldChar w:fldCharType="separate"/>
      </w:r>
      <w:r>
        <w:rPr>
          <w:rStyle w:val="25"/>
        </w:rPr>
        <w:t>4.2战略</w:t>
      </w:r>
      <w:r>
        <w:tab/>
      </w:r>
      <w:r>
        <w:fldChar w:fldCharType="begin"/>
      </w:r>
      <w:r>
        <w:instrText xml:space="preserve"> PAGEREF _Toc99720418 \h </w:instrText>
      </w:r>
      <w:r>
        <w:fldChar w:fldCharType="separate"/>
      </w:r>
      <w:r>
        <w:t>17</w:t>
      </w:r>
      <w:r>
        <w:fldChar w:fldCharType="end"/>
      </w:r>
      <w:r>
        <w:fldChar w:fldCharType="end"/>
      </w:r>
    </w:p>
    <w:p w14:paraId="50DEAF37">
      <w:pPr>
        <w:pStyle w:val="12"/>
        <w:tabs>
          <w:tab w:val="right" w:leader="dot" w:pos="8630"/>
        </w:tabs>
        <w:ind w:left="960"/>
        <w:rPr>
          <w:rFonts w:ascii="等线" w:hAnsi="等线" w:eastAsia="等线"/>
          <w:kern w:val="2"/>
          <w:sz w:val="21"/>
          <w:szCs w:val="22"/>
        </w:rPr>
      </w:pPr>
      <w:r>
        <w:fldChar w:fldCharType="begin"/>
      </w:r>
      <w:r>
        <w:instrText xml:space="preserve"> HYPERLINK \l "_Toc99720419" </w:instrText>
      </w:r>
      <w:r>
        <w:fldChar w:fldCharType="separate"/>
      </w:r>
      <w:r>
        <w:rPr>
          <w:rStyle w:val="25"/>
          <w:rFonts w:ascii="Cambria" w:hAnsi="Cambria"/>
        </w:rPr>
        <w:t>4.2.1总则</w:t>
      </w:r>
      <w:r>
        <w:tab/>
      </w:r>
      <w:r>
        <w:fldChar w:fldCharType="begin"/>
      </w:r>
      <w:r>
        <w:instrText xml:space="preserve"> PAGEREF _Toc99720419 \h </w:instrText>
      </w:r>
      <w:r>
        <w:fldChar w:fldCharType="separate"/>
      </w:r>
      <w:r>
        <w:t>17</w:t>
      </w:r>
      <w:r>
        <w:fldChar w:fldCharType="end"/>
      </w:r>
      <w:r>
        <w:fldChar w:fldCharType="end"/>
      </w:r>
    </w:p>
    <w:p w14:paraId="09F4A7AD">
      <w:pPr>
        <w:pStyle w:val="12"/>
        <w:tabs>
          <w:tab w:val="right" w:leader="dot" w:pos="8630"/>
        </w:tabs>
        <w:ind w:left="960"/>
        <w:rPr>
          <w:rFonts w:ascii="等线" w:hAnsi="等线" w:eastAsia="等线"/>
          <w:kern w:val="2"/>
          <w:sz w:val="21"/>
          <w:szCs w:val="22"/>
        </w:rPr>
      </w:pPr>
      <w:r>
        <w:fldChar w:fldCharType="begin"/>
      </w:r>
      <w:r>
        <w:instrText xml:space="preserve"> HYPERLINK \l "_Toc99720420" </w:instrText>
      </w:r>
      <w:r>
        <w:fldChar w:fldCharType="separate"/>
      </w:r>
      <w:r>
        <w:rPr>
          <w:rStyle w:val="25"/>
        </w:rPr>
        <w:t>4.2.3战略部署</w:t>
      </w:r>
      <w:r>
        <w:tab/>
      </w:r>
      <w:r>
        <w:fldChar w:fldCharType="begin"/>
      </w:r>
      <w:r>
        <w:instrText xml:space="preserve"> PAGEREF _Toc99720420 \h </w:instrText>
      </w:r>
      <w:r>
        <w:fldChar w:fldCharType="separate"/>
      </w:r>
      <w:r>
        <w:t>30</w:t>
      </w:r>
      <w:r>
        <w:fldChar w:fldCharType="end"/>
      </w:r>
      <w:r>
        <w:fldChar w:fldCharType="end"/>
      </w:r>
    </w:p>
    <w:p w14:paraId="09D15165">
      <w:pPr>
        <w:pStyle w:val="19"/>
        <w:tabs>
          <w:tab w:val="right" w:leader="dot" w:pos="8630"/>
        </w:tabs>
        <w:ind w:left="480"/>
        <w:rPr>
          <w:rFonts w:ascii="等线" w:hAnsi="等线" w:eastAsia="等线"/>
          <w:kern w:val="2"/>
          <w:sz w:val="21"/>
          <w:szCs w:val="22"/>
        </w:rPr>
      </w:pPr>
      <w:r>
        <w:fldChar w:fldCharType="begin"/>
      </w:r>
      <w:r>
        <w:instrText xml:space="preserve"> HYPERLINK \l "_Toc99720421" </w:instrText>
      </w:r>
      <w:r>
        <w:fldChar w:fldCharType="separate"/>
      </w:r>
      <w:r>
        <w:rPr>
          <w:rStyle w:val="25"/>
        </w:rPr>
        <w:t>4.3顾客与市场</w:t>
      </w:r>
      <w:r>
        <w:tab/>
      </w:r>
      <w:r>
        <w:fldChar w:fldCharType="begin"/>
      </w:r>
      <w:r>
        <w:instrText xml:space="preserve"> PAGEREF _Toc99720421 \h </w:instrText>
      </w:r>
      <w:r>
        <w:fldChar w:fldCharType="separate"/>
      </w:r>
      <w:r>
        <w:t>34</w:t>
      </w:r>
      <w:r>
        <w:fldChar w:fldCharType="end"/>
      </w:r>
      <w:r>
        <w:fldChar w:fldCharType="end"/>
      </w:r>
    </w:p>
    <w:p w14:paraId="3E2C5659">
      <w:pPr>
        <w:pStyle w:val="12"/>
        <w:tabs>
          <w:tab w:val="right" w:leader="dot" w:pos="8630"/>
        </w:tabs>
        <w:ind w:left="960"/>
        <w:rPr>
          <w:rFonts w:ascii="等线" w:hAnsi="等线" w:eastAsia="等线"/>
          <w:kern w:val="2"/>
          <w:sz w:val="21"/>
          <w:szCs w:val="22"/>
        </w:rPr>
      </w:pPr>
      <w:r>
        <w:fldChar w:fldCharType="begin"/>
      </w:r>
      <w:r>
        <w:instrText xml:space="preserve"> HYPERLINK \l "_Toc99720422" </w:instrText>
      </w:r>
      <w:r>
        <w:fldChar w:fldCharType="separate"/>
      </w:r>
      <w:r>
        <w:rPr>
          <w:rStyle w:val="25"/>
        </w:rPr>
        <w:t>4.3.1总则</w:t>
      </w:r>
      <w:r>
        <w:tab/>
      </w:r>
      <w:r>
        <w:fldChar w:fldCharType="begin"/>
      </w:r>
      <w:r>
        <w:instrText xml:space="preserve"> PAGEREF _Toc99720422 \h </w:instrText>
      </w:r>
      <w:r>
        <w:fldChar w:fldCharType="separate"/>
      </w:r>
      <w:r>
        <w:t>34</w:t>
      </w:r>
      <w:r>
        <w:fldChar w:fldCharType="end"/>
      </w:r>
      <w:r>
        <w:fldChar w:fldCharType="end"/>
      </w:r>
    </w:p>
    <w:p w14:paraId="45F9792F">
      <w:pPr>
        <w:pStyle w:val="12"/>
        <w:tabs>
          <w:tab w:val="right" w:leader="dot" w:pos="8630"/>
        </w:tabs>
        <w:ind w:left="960"/>
        <w:rPr>
          <w:rFonts w:ascii="等线" w:hAnsi="等线" w:eastAsia="等线"/>
          <w:kern w:val="2"/>
          <w:sz w:val="21"/>
          <w:szCs w:val="22"/>
        </w:rPr>
      </w:pPr>
      <w:r>
        <w:fldChar w:fldCharType="begin"/>
      </w:r>
      <w:r>
        <w:instrText xml:space="preserve"> HYPERLINK \l "_Toc99720423" </w:instrText>
      </w:r>
      <w:r>
        <w:fldChar w:fldCharType="separate"/>
      </w:r>
      <w:r>
        <w:rPr>
          <w:rStyle w:val="25"/>
        </w:rPr>
        <w:t>4.3.2顾客和市场的了解</w:t>
      </w:r>
      <w:r>
        <w:tab/>
      </w:r>
      <w:r>
        <w:fldChar w:fldCharType="begin"/>
      </w:r>
      <w:r>
        <w:instrText xml:space="preserve"> PAGEREF _Toc99720423 \h </w:instrText>
      </w:r>
      <w:r>
        <w:fldChar w:fldCharType="separate"/>
      </w:r>
      <w:r>
        <w:t>34</w:t>
      </w:r>
      <w:r>
        <w:fldChar w:fldCharType="end"/>
      </w:r>
      <w:r>
        <w:fldChar w:fldCharType="end"/>
      </w:r>
    </w:p>
    <w:p w14:paraId="0EAAECA6">
      <w:pPr>
        <w:pStyle w:val="19"/>
        <w:tabs>
          <w:tab w:val="right" w:leader="dot" w:pos="8630"/>
        </w:tabs>
        <w:ind w:left="480"/>
        <w:rPr>
          <w:rFonts w:ascii="等线" w:hAnsi="等线" w:eastAsia="等线"/>
          <w:kern w:val="2"/>
          <w:sz w:val="21"/>
          <w:szCs w:val="22"/>
        </w:rPr>
      </w:pPr>
      <w:r>
        <w:fldChar w:fldCharType="begin"/>
      </w:r>
      <w:r>
        <w:instrText xml:space="preserve"> HYPERLINK \l "_Toc99720424" </w:instrText>
      </w:r>
      <w:r>
        <w:fldChar w:fldCharType="separate"/>
      </w:r>
      <w:r>
        <w:rPr>
          <w:rStyle w:val="25"/>
        </w:rPr>
        <w:t>4.4资源</w:t>
      </w:r>
      <w:r>
        <w:tab/>
      </w:r>
      <w:r>
        <w:fldChar w:fldCharType="begin"/>
      </w:r>
      <w:r>
        <w:instrText xml:space="preserve"> PAGEREF _Toc99720424 \h </w:instrText>
      </w:r>
      <w:r>
        <w:fldChar w:fldCharType="separate"/>
      </w:r>
      <w:r>
        <w:t>45</w:t>
      </w:r>
      <w:r>
        <w:fldChar w:fldCharType="end"/>
      </w:r>
      <w:r>
        <w:fldChar w:fldCharType="end"/>
      </w:r>
    </w:p>
    <w:p w14:paraId="4E455759">
      <w:pPr>
        <w:pStyle w:val="12"/>
        <w:tabs>
          <w:tab w:val="right" w:leader="dot" w:pos="8630"/>
        </w:tabs>
        <w:ind w:left="960"/>
        <w:rPr>
          <w:rFonts w:ascii="等线" w:hAnsi="等线" w:eastAsia="等线"/>
          <w:kern w:val="2"/>
          <w:sz w:val="21"/>
          <w:szCs w:val="22"/>
        </w:rPr>
      </w:pPr>
      <w:r>
        <w:fldChar w:fldCharType="begin"/>
      </w:r>
      <w:r>
        <w:instrText xml:space="preserve"> HYPERLINK \l "_Toc99720425" </w:instrText>
      </w:r>
      <w:r>
        <w:fldChar w:fldCharType="separate"/>
      </w:r>
      <w:r>
        <w:rPr>
          <w:rStyle w:val="25"/>
        </w:rPr>
        <w:t>4.4.1总则</w:t>
      </w:r>
      <w:r>
        <w:tab/>
      </w:r>
      <w:r>
        <w:fldChar w:fldCharType="begin"/>
      </w:r>
      <w:r>
        <w:instrText xml:space="preserve"> PAGEREF _Toc99720425 \h </w:instrText>
      </w:r>
      <w:r>
        <w:fldChar w:fldCharType="separate"/>
      </w:r>
      <w:r>
        <w:t>45</w:t>
      </w:r>
      <w:r>
        <w:fldChar w:fldCharType="end"/>
      </w:r>
      <w:r>
        <w:fldChar w:fldCharType="end"/>
      </w:r>
    </w:p>
    <w:p w14:paraId="5534D044">
      <w:pPr>
        <w:pStyle w:val="12"/>
        <w:tabs>
          <w:tab w:val="right" w:leader="dot" w:pos="8630"/>
        </w:tabs>
        <w:ind w:left="960"/>
        <w:rPr>
          <w:rFonts w:ascii="等线" w:hAnsi="等线" w:eastAsia="等线"/>
          <w:kern w:val="2"/>
          <w:sz w:val="21"/>
          <w:szCs w:val="22"/>
        </w:rPr>
      </w:pPr>
      <w:r>
        <w:fldChar w:fldCharType="begin"/>
      </w:r>
      <w:r>
        <w:instrText xml:space="preserve"> HYPERLINK \l "_Toc99720426" </w:instrText>
      </w:r>
      <w:r>
        <w:fldChar w:fldCharType="separate"/>
      </w:r>
      <w:r>
        <w:rPr>
          <w:rStyle w:val="25"/>
        </w:rPr>
        <w:t>4.4.2人力资源</w:t>
      </w:r>
      <w:r>
        <w:tab/>
      </w:r>
      <w:r>
        <w:fldChar w:fldCharType="begin"/>
      </w:r>
      <w:r>
        <w:instrText xml:space="preserve"> PAGEREF _Toc99720426 \h </w:instrText>
      </w:r>
      <w:r>
        <w:fldChar w:fldCharType="separate"/>
      </w:r>
      <w:r>
        <w:t>45</w:t>
      </w:r>
      <w:r>
        <w:fldChar w:fldCharType="end"/>
      </w:r>
      <w:r>
        <w:fldChar w:fldCharType="end"/>
      </w:r>
    </w:p>
    <w:p w14:paraId="66269FDC">
      <w:pPr>
        <w:pStyle w:val="12"/>
        <w:tabs>
          <w:tab w:val="right" w:leader="dot" w:pos="8630"/>
        </w:tabs>
        <w:ind w:left="960"/>
        <w:rPr>
          <w:rFonts w:ascii="等线" w:hAnsi="等线" w:eastAsia="等线"/>
          <w:kern w:val="2"/>
          <w:sz w:val="21"/>
          <w:szCs w:val="22"/>
        </w:rPr>
      </w:pPr>
      <w:r>
        <w:fldChar w:fldCharType="begin"/>
      </w:r>
      <w:r>
        <w:instrText xml:space="preserve"> HYPERLINK \l "_Toc99720427" </w:instrText>
      </w:r>
      <w:r>
        <w:fldChar w:fldCharType="separate"/>
      </w:r>
      <w:r>
        <w:rPr>
          <w:rStyle w:val="25"/>
        </w:rPr>
        <w:t>4.4.3财务资源</w:t>
      </w:r>
      <w:r>
        <w:tab/>
      </w:r>
      <w:r>
        <w:fldChar w:fldCharType="begin"/>
      </w:r>
      <w:r>
        <w:instrText xml:space="preserve"> PAGEREF _Toc99720427 \h </w:instrText>
      </w:r>
      <w:r>
        <w:fldChar w:fldCharType="separate"/>
      </w:r>
      <w:r>
        <w:t>56</w:t>
      </w:r>
      <w:r>
        <w:fldChar w:fldCharType="end"/>
      </w:r>
      <w:r>
        <w:fldChar w:fldCharType="end"/>
      </w:r>
    </w:p>
    <w:p w14:paraId="72CFAEFC">
      <w:pPr>
        <w:pStyle w:val="12"/>
        <w:tabs>
          <w:tab w:val="right" w:leader="dot" w:pos="8630"/>
        </w:tabs>
        <w:ind w:left="960"/>
        <w:rPr>
          <w:rFonts w:ascii="等线" w:hAnsi="等线" w:eastAsia="等线"/>
          <w:kern w:val="2"/>
          <w:sz w:val="21"/>
          <w:szCs w:val="22"/>
        </w:rPr>
      </w:pPr>
      <w:r>
        <w:fldChar w:fldCharType="begin"/>
      </w:r>
      <w:r>
        <w:instrText xml:space="preserve"> HYPERLINK \l "_Toc99720428" </w:instrText>
      </w:r>
      <w:r>
        <w:fldChar w:fldCharType="separate"/>
      </w:r>
      <w:r>
        <w:rPr>
          <w:rStyle w:val="25"/>
        </w:rPr>
        <w:t>4.4.4基础设施</w:t>
      </w:r>
      <w:r>
        <w:tab/>
      </w:r>
      <w:r>
        <w:fldChar w:fldCharType="begin"/>
      </w:r>
      <w:r>
        <w:instrText xml:space="preserve"> PAGEREF _Toc99720428 \h </w:instrText>
      </w:r>
      <w:r>
        <w:fldChar w:fldCharType="separate"/>
      </w:r>
      <w:r>
        <w:t>57</w:t>
      </w:r>
      <w:r>
        <w:fldChar w:fldCharType="end"/>
      </w:r>
      <w:r>
        <w:fldChar w:fldCharType="end"/>
      </w:r>
    </w:p>
    <w:p w14:paraId="2478E140">
      <w:pPr>
        <w:pStyle w:val="12"/>
        <w:tabs>
          <w:tab w:val="right" w:leader="dot" w:pos="8630"/>
        </w:tabs>
        <w:ind w:left="960"/>
        <w:rPr>
          <w:rFonts w:ascii="等线" w:hAnsi="等线" w:eastAsia="等线"/>
          <w:kern w:val="2"/>
          <w:sz w:val="21"/>
          <w:szCs w:val="22"/>
        </w:rPr>
      </w:pPr>
      <w:r>
        <w:fldChar w:fldCharType="begin"/>
      </w:r>
      <w:r>
        <w:instrText xml:space="preserve"> HYPERLINK \l "_Toc99720429" </w:instrText>
      </w:r>
      <w:r>
        <w:fldChar w:fldCharType="separate"/>
      </w:r>
      <w:r>
        <w:rPr>
          <w:rStyle w:val="25"/>
        </w:rPr>
        <w:t>4.4.5信息资源</w:t>
      </w:r>
      <w:r>
        <w:tab/>
      </w:r>
      <w:r>
        <w:fldChar w:fldCharType="begin"/>
      </w:r>
      <w:r>
        <w:instrText xml:space="preserve"> PAGEREF _Toc99720429 \h </w:instrText>
      </w:r>
      <w:r>
        <w:fldChar w:fldCharType="separate"/>
      </w:r>
      <w:r>
        <w:t>58</w:t>
      </w:r>
      <w:r>
        <w:fldChar w:fldCharType="end"/>
      </w:r>
      <w:r>
        <w:fldChar w:fldCharType="end"/>
      </w:r>
    </w:p>
    <w:p w14:paraId="4C6616B6">
      <w:pPr>
        <w:pStyle w:val="12"/>
        <w:tabs>
          <w:tab w:val="right" w:leader="dot" w:pos="8630"/>
        </w:tabs>
        <w:ind w:left="960"/>
        <w:rPr>
          <w:rFonts w:ascii="等线" w:hAnsi="等线" w:eastAsia="等线"/>
          <w:kern w:val="2"/>
          <w:sz w:val="21"/>
          <w:szCs w:val="22"/>
        </w:rPr>
      </w:pPr>
      <w:r>
        <w:fldChar w:fldCharType="begin"/>
      </w:r>
      <w:r>
        <w:instrText xml:space="preserve"> HYPERLINK \l "_Toc99720430" </w:instrText>
      </w:r>
      <w:r>
        <w:fldChar w:fldCharType="separate"/>
      </w:r>
      <w:r>
        <w:rPr>
          <w:rStyle w:val="25"/>
        </w:rPr>
        <w:t>4.4.6 技术资源</w:t>
      </w:r>
      <w:r>
        <w:tab/>
      </w:r>
      <w:r>
        <w:fldChar w:fldCharType="begin"/>
      </w:r>
      <w:r>
        <w:instrText xml:space="preserve"> PAGEREF _Toc99720430 \h </w:instrText>
      </w:r>
      <w:r>
        <w:fldChar w:fldCharType="separate"/>
      </w:r>
      <w:r>
        <w:t>60</w:t>
      </w:r>
      <w:r>
        <w:fldChar w:fldCharType="end"/>
      </w:r>
      <w:r>
        <w:fldChar w:fldCharType="end"/>
      </w:r>
    </w:p>
    <w:p w14:paraId="03822262">
      <w:pPr>
        <w:pStyle w:val="12"/>
        <w:tabs>
          <w:tab w:val="right" w:leader="dot" w:pos="8630"/>
        </w:tabs>
        <w:ind w:left="960"/>
        <w:rPr>
          <w:rFonts w:ascii="等线" w:hAnsi="等线" w:eastAsia="等线"/>
          <w:kern w:val="2"/>
          <w:sz w:val="21"/>
          <w:szCs w:val="22"/>
        </w:rPr>
      </w:pPr>
      <w:r>
        <w:fldChar w:fldCharType="begin"/>
      </w:r>
      <w:r>
        <w:instrText xml:space="preserve"> HYPERLINK \l "_Toc99720431" </w:instrText>
      </w:r>
      <w:r>
        <w:fldChar w:fldCharType="separate"/>
      </w:r>
      <w:r>
        <w:rPr>
          <w:rStyle w:val="25"/>
        </w:rPr>
        <w:t>4.4.7 相关方关系</w:t>
      </w:r>
      <w:r>
        <w:tab/>
      </w:r>
      <w:r>
        <w:fldChar w:fldCharType="begin"/>
      </w:r>
      <w:r>
        <w:instrText xml:space="preserve"> PAGEREF _Toc99720431 \h </w:instrText>
      </w:r>
      <w:r>
        <w:fldChar w:fldCharType="separate"/>
      </w:r>
      <w:r>
        <w:t>61</w:t>
      </w:r>
      <w:r>
        <w:fldChar w:fldCharType="end"/>
      </w:r>
      <w:r>
        <w:fldChar w:fldCharType="end"/>
      </w:r>
    </w:p>
    <w:p w14:paraId="326DAA0C">
      <w:pPr>
        <w:pStyle w:val="19"/>
        <w:tabs>
          <w:tab w:val="right" w:leader="dot" w:pos="8630"/>
        </w:tabs>
        <w:ind w:left="480"/>
        <w:rPr>
          <w:rFonts w:ascii="等线" w:hAnsi="等线" w:eastAsia="等线"/>
          <w:kern w:val="2"/>
          <w:sz w:val="21"/>
          <w:szCs w:val="22"/>
        </w:rPr>
      </w:pPr>
      <w:r>
        <w:fldChar w:fldCharType="begin"/>
      </w:r>
      <w:r>
        <w:instrText xml:space="preserve"> HYPERLINK \l "_Toc99720432" </w:instrText>
      </w:r>
      <w:r>
        <w:fldChar w:fldCharType="separate"/>
      </w:r>
      <w:r>
        <w:rPr>
          <w:rStyle w:val="25"/>
        </w:rPr>
        <w:t>4.5过程管理</w:t>
      </w:r>
      <w:r>
        <w:tab/>
      </w:r>
      <w:r>
        <w:fldChar w:fldCharType="begin"/>
      </w:r>
      <w:r>
        <w:instrText xml:space="preserve"> PAGEREF _Toc99720432 \h </w:instrText>
      </w:r>
      <w:r>
        <w:fldChar w:fldCharType="separate"/>
      </w:r>
      <w:r>
        <w:t>62</w:t>
      </w:r>
      <w:r>
        <w:fldChar w:fldCharType="end"/>
      </w:r>
      <w:r>
        <w:fldChar w:fldCharType="end"/>
      </w:r>
    </w:p>
    <w:p w14:paraId="34215ACA">
      <w:pPr>
        <w:pStyle w:val="12"/>
        <w:tabs>
          <w:tab w:val="right" w:leader="dot" w:pos="8630"/>
        </w:tabs>
        <w:ind w:left="960"/>
        <w:rPr>
          <w:rFonts w:ascii="等线" w:hAnsi="等线" w:eastAsia="等线"/>
          <w:kern w:val="2"/>
          <w:sz w:val="21"/>
          <w:szCs w:val="22"/>
        </w:rPr>
      </w:pPr>
      <w:r>
        <w:fldChar w:fldCharType="begin"/>
      </w:r>
      <w:r>
        <w:instrText xml:space="preserve"> HYPERLINK \l "_Toc99720434" </w:instrText>
      </w:r>
      <w:r>
        <w:fldChar w:fldCharType="separate"/>
      </w:r>
      <w:r>
        <w:rPr>
          <w:rStyle w:val="25"/>
        </w:rPr>
        <w:t>4.5.1总则</w:t>
      </w:r>
      <w:r>
        <w:tab/>
      </w:r>
      <w:r>
        <w:fldChar w:fldCharType="begin"/>
      </w:r>
      <w:r>
        <w:instrText xml:space="preserve"> PAGEREF _Toc99720434 \h </w:instrText>
      </w:r>
      <w:r>
        <w:fldChar w:fldCharType="separate"/>
      </w:r>
      <w:r>
        <w:t>62</w:t>
      </w:r>
      <w:r>
        <w:fldChar w:fldCharType="end"/>
      </w:r>
      <w:r>
        <w:fldChar w:fldCharType="end"/>
      </w:r>
    </w:p>
    <w:p w14:paraId="7EA4B558">
      <w:pPr>
        <w:pStyle w:val="12"/>
        <w:tabs>
          <w:tab w:val="right" w:leader="dot" w:pos="8630"/>
        </w:tabs>
        <w:ind w:left="960"/>
        <w:rPr>
          <w:rFonts w:ascii="等线" w:hAnsi="等线" w:eastAsia="等线"/>
          <w:kern w:val="2"/>
          <w:sz w:val="21"/>
          <w:szCs w:val="22"/>
        </w:rPr>
      </w:pPr>
      <w:r>
        <w:fldChar w:fldCharType="begin"/>
      </w:r>
      <w:r>
        <w:instrText xml:space="preserve"> HYPERLINK \l "_Toc99720436" </w:instrText>
      </w:r>
      <w:r>
        <w:fldChar w:fldCharType="separate"/>
      </w:r>
      <w:r>
        <w:rPr>
          <w:rStyle w:val="25"/>
        </w:rPr>
        <w:t>4.5.2过程的识别和设计</w:t>
      </w:r>
      <w:r>
        <w:tab/>
      </w:r>
      <w:r>
        <w:fldChar w:fldCharType="begin"/>
      </w:r>
      <w:r>
        <w:instrText xml:space="preserve"> PAGEREF _Toc99720436 \h </w:instrText>
      </w:r>
      <w:r>
        <w:fldChar w:fldCharType="separate"/>
      </w:r>
      <w:r>
        <w:t>63</w:t>
      </w:r>
      <w:r>
        <w:fldChar w:fldCharType="end"/>
      </w:r>
      <w:r>
        <w:fldChar w:fldCharType="end"/>
      </w:r>
    </w:p>
    <w:p w14:paraId="0FCDF97E">
      <w:pPr>
        <w:pStyle w:val="12"/>
        <w:tabs>
          <w:tab w:val="right" w:leader="dot" w:pos="8630"/>
        </w:tabs>
        <w:ind w:left="960"/>
        <w:rPr>
          <w:rFonts w:ascii="等线" w:hAnsi="等线" w:eastAsia="等线"/>
          <w:kern w:val="2"/>
          <w:sz w:val="21"/>
          <w:szCs w:val="22"/>
        </w:rPr>
      </w:pPr>
      <w:r>
        <w:fldChar w:fldCharType="begin"/>
      </w:r>
      <w:r>
        <w:instrText xml:space="preserve"> HYPERLINK \l "_Toc99720437" </w:instrText>
      </w:r>
      <w:r>
        <w:fldChar w:fldCharType="separate"/>
      </w:r>
      <w:r>
        <w:rPr>
          <w:rStyle w:val="25"/>
        </w:rPr>
        <w:t>4.5.3支持过程</w:t>
      </w:r>
      <w:r>
        <w:tab/>
      </w:r>
      <w:r>
        <w:fldChar w:fldCharType="begin"/>
      </w:r>
      <w:r>
        <w:instrText xml:space="preserve"> PAGEREF _Toc99720437 \h </w:instrText>
      </w:r>
      <w:r>
        <w:fldChar w:fldCharType="separate"/>
      </w:r>
      <w:r>
        <w:t>69</w:t>
      </w:r>
      <w:r>
        <w:fldChar w:fldCharType="end"/>
      </w:r>
      <w:r>
        <w:fldChar w:fldCharType="end"/>
      </w:r>
    </w:p>
    <w:p w14:paraId="6BE90873">
      <w:pPr>
        <w:pStyle w:val="19"/>
        <w:tabs>
          <w:tab w:val="right" w:leader="dot" w:pos="8630"/>
        </w:tabs>
        <w:ind w:left="480"/>
        <w:rPr>
          <w:rFonts w:ascii="等线" w:hAnsi="等线" w:eastAsia="等线"/>
          <w:kern w:val="2"/>
          <w:sz w:val="21"/>
          <w:szCs w:val="22"/>
        </w:rPr>
      </w:pPr>
      <w:r>
        <w:fldChar w:fldCharType="begin"/>
      </w:r>
      <w:r>
        <w:instrText xml:space="preserve"> HYPERLINK \l "_Toc99720438" </w:instrText>
      </w:r>
      <w:r>
        <w:fldChar w:fldCharType="separate"/>
      </w:r>
      <w:r>
        <w:rPr>
          <w:rStyle w:val="25"/>
        </w:rPr>
        <w:t>4.6测量、分析与改进</w:t>
      </w:r>
      <w:r>
        <w:tab/>
      </w:r>
      <w:r>
        <w:fldChar w:fldCharType="begin"/>
      </w:r>
      <w:r>
        <w:instrText xml:space="preserve"> PAGEREF _Toc99720438 \h </w:instrText>
      </w:r>
      <w:r>
        <w:fldChar w:fldCharType="separate"/>
      </w:r>
      <w:r>
        <w:t>78</w:t>
      </w:r>
      <w:r>
        <w:fldChar w:fldCharType="end"/>
      </w:r>
      <w:r>
        <w:fldChar w:fldCharType="end"/>
      </w:r>
    </w:p>
    <w:p w14:paraId="65F60E06">
      <w:pPr>
        <w:pStyle w:val="12"/>
        <w:tabs>
          <w:tab w:val="right" w:leader="dot" w:pos="8630"/>
        </w:tabs>
        <w:ind w:left="960"/>
        <w:rPr>
          <w:rFonts w:ascii="等线" w:hAnsi="等线" w:eastAsia="等线"/>
          <w:kern w:val="2"/>
          <w:sz w:val="21"/>
          <w:szCs w:val="22"/>
        </w:rPr>
      </w:pPr>
      <w:r>
        <w:fldChar w:fldCharType="begin"/>
      </w:r>
      <w:r>
        <w:instrText xml:space="preserve"> HYPERLINK \l "_Toc99720439" </w:instrText>
      </w:r>
      <w:r>
        <w:fldChar w:fldCharType="separate"/>
      </w:r>
      <w:r>
        <w:rPr>
          <w:rStyle w:val="25"/>
        </w:rPr>
        <w:t>4.6.1总则</w:t>
      </w:r>
      <w:r>
        <w:tab/>
      </w:r>
      <w:r>
        <w:fldChar w:fldCharType="begin"/>
      </w:r>
      <w:r>
        <w:instrText xml:space="preserve"> PAGEREF _Toc99720439 \h </w:instrText>
      </w:r>
      <w:r>
        <w:fldChar w:fldCharType="separate"/>
      </w:r>
      <w:r>
        <w:t>78</w:t>
      </w:r>
      <w:r>
        <w:fldChar w:fldCharType="end"/>
      </w:r>
      <w:r>
        <w:fldChar w:fldCharType="end"/>
      </w:r>
    </w:p>
    <w:p w14:paraId="2B84EBE6">
      <w:pPr>
        <w:pStyle w:val="12"/>
        <w:tabs>
          <w:tab w:val="right" w:leader="dot" w:pos="8630"/>
        </w:tabs>
        <w:ind w:left="960"/>
        <w:rPr>
          <w:rFonts w:ascii="等线" w:hAnsi="等线" w:eastAsia="等线"/>
          <w:kern w:val="2"/>
          <w:sz w:val="21"/>
          <w:szCs w:val="22"/>
        </w:rPr>
      </w:pPr>
      <w:r>
        <w:fldChar w:fldCharType="begin"/>
      </w:r>
      <w:r>
        <w:instrText xml:space="preserve"> HYPERLINK \l "_Toc99720440" </w:instrText>
      </w:r>
      <w:r>
        <w:fldChar w:fldCharType="separate"/>
      </w:r>
      <w:r>
        <w:rPr>
          <w:rStyle w:val="25"/>
        </w:rPr>
        <w:t>4.6.2测量、分析和评价</w:t>
      </w:r>
      <w:r>
        <w:tab/>
      </w:r>
      <w:r>
        <w:fldChar w:fldCharType="begin"/>
      </w:r>
      <w:r>
        <w:instrText xml:space="preserve"> PAGEREF _Toc99720440 \h </w:instrText>
      </w:r>
      <w:r>
        <w:fldChar w:fldCharType="separate"/>
      </w:r>
      <w:r>
        <w:t>78</w:t>
      </w:r>
      <w:r>
        <w:fldChar w:fldCharType="end"/>
      </w:r>
      <w:r>
        <w:fldChar w:fldCharType="end"/>
      </w:r>
    </w:p>
    <w:p w14:paraId="255AA9BA">
      <w:pPr>
        <w:pStyle w:val="12"/>
        <w:tabs>
          <w:tab w:val="right" w:leader="dot" w:pos="8630"/>
        </w:tabs>
        <w:ind w:left="960"/>
        <w:rPr>
          <w:rFonts w:ascii="等线" w:hAnsi="等线" w:eastAsia="等线"/>
          <w:kern w:val="2"/>
          <w:sz w:val="21"/>
          <w:szCs w:val="22"/>
        </w:rPr>
      </w:pPr>
      <w:r>
        <w:fldChar w:fldCharType="begin"/>
      </w:r>
      <w:r>
        <w:instrText xml:space="preserve"> HYPERLINK \l "_Toc99720441" </w:instrText>
      </w:r>
      <w:r>
        <w:fldChar w:fldCharType="separate"/>
      </w:r>
      <w:r>
        <w:rPr>
          <w:rStyle w:val="25"/>
        </w:rPr>
        <w:t>4.6.3改进与创新</w:t>
      </w:r>
      <w:r>
        <w:tab/>
      </w:r>
      <w:r>
        <w:fldChar w:fldCharType="begin"/>
      </w:r>
      <w:r>
        <w:instrText xml:space="preserve"> PAGEREF _Toc99720441 \h </w:instrText>
      </w:r>
      <w:r>
        <w:fldChar w:fldCharType="separate"/>
      </w:r>
      <w:r>
        <w:t>85</w:t>
      </w:r>
      <w:r>
        <w:fldChar w:fldCharType="end"/>
      </w:r>
      <w:r>
        <w:fldChar w:fldCharType="end"/>
      </w:r>
    </w:p>
    <w:p w14:paraId="222E0FE0">
      <w:pPr>
        <w:pStyle w:val="19"/>
        <w:tabs>
          <w:tab w:val="right" w:leader="dot" w:pos="8630"/>
        </w:tabs>
        <w:ind w:left="480"/>
        <w:rPr>
          <w:rFonts w:ascii="等线" w:hAnsi="等线" w:eastAsia="等线"/>
          <w:kern w:val="2"/>
          <w:sz w:val="21"/>
          <w:szCs w:val="22"/>
        </w:rPr>
      </w:pPr>
      <w:r>
        <w:fldChar w:fldCharType="begin"/>
      </w:r>
      <w:r>
        <w:instrText xml:space="preserve"> HYPERLINK \l "_Toc99720443" </w:instrText>
      </w:r>
      <w:r>
        <w:fldChar w:fldCharType="separate"/>
      </w:r>
      <w:r>
        <w:rPr>
          <w:rStyle w:val="25"/>
        </w:rPr>
        <w:t>4.7结果</w:t>
      </w:r>
      <w:r>
        <w:tab/>
      </w:r>
      <w:r>
        <w:fldChar w:fldCharType="begin"/>
      </w:r>
      <w:r>
        <w:instrText xml:space="preserve"> PAGEREF _Toc99720443 \h </w:instrText>
      </w:r>
      <w:r>
        <w:fldChar w:fldCharType="separate"/>
      </w:r>
      <w:r>
        <w:t>90</w:t>
      </w:r>
      <w:r>
        <w:fldChar w:fldCharType="end"/>
      </w:r>
      <w:r>
        <w:fldChar w:fldCharType="end"/>
      </w:r>
    </w:p>
    <w:p w14:paraId="5C23CCE7">
      <w:pPr>
        <w:pStyle w:val="12"/>
        <w:tabs>
          <w:tab w:val="right" w:leader="dot" w:pos="8630"/>
        </w:tabs>
        <w:ind w:left="960"/>
        <w:rPr>
          <w:rFonts w:ascii="等线" w:hAnsi="等线" w:eastAsia="等线"/>
          <w:kern w:val="2"/>
          <w:sz w:val="21"/>
          <w:szCs w:val="22"/>
        </w:rPr>
      </w:pPr>
      <w:r>
        <w:fldChar w:fldCharType="begin"/>
      </w:r>
      <w:r>
        <w:instrText xml:space="preserve"> HYPERLINK \l "_Toc99720444" </w:instrText>
      </w:r>
      <w:r>
        <w:fldChar w:fldCharType="separate"/>
      </w:r>
      <w:r>
        <w:rPr>
          <w:rStyle w:val="25"/>
        </w:rPr>
        <w:t>4.7.1总则</w:t>
      </w:r>
      <w:r>
        <w:tab/>
      </w:r>
      <w:r>
        <w:fldChar w:fldCharType="begin"/>
      </w:r>
      <w:r>
        <w:instrText xml:space="preserve"> PAGEREF _Toc99720444 \h </w:instrText>
      </w:r>
      <w:r>
        <w:fldChar w:fldCharType="separate"/>
      </w:r>
      <w:r>
        <w:t>90</w:t>
      </w:r>
      <w:r>
        <w:fldChar w:fldCharType="end"/>
      </w:r>
      <w:r>
        <w:fldChar w:fldCharType="end"/>
      </w:r>
    </w:p>
    <w:p w14:paraId="6478B386">
      <w:pPr>
        <w:pStyle w:val="12"/>
        <w:tabs>
          <w:tab w:val="right" w:leader="dot" w:pos="8630"/>
        </w:tabs>
        <w:ind w:left="960"/>
        <w:rPr>
          <w:rFonts w:ascii="等线" w:hAnsi="等线" w:eastAsia="等线"/>
          <w:kern w:val="2"/>
          <w:sz w:val="21"/>
          <w:szCs w:val="22"/>
        </w:rPr>
      </w:pPr>
      <w:r>
        <w:fldChar w:fldCharType="begin"/>
      </w:r>
      <w:r>
        <w:instrText xml:space="preserve"> HYPERLINK \l "_Toc99720445" </w:instrText>
      </w:r>
      <w:r>
        <w:fldChar w:fldCharType="separate"/>
      </w:r>
      <w:r>
        <w:rPr>
          <w:rStyle w:val="25"/>
        </w:rPr>
        <w:t>4.7.2 产品和服务结果</w:t>
      </w:r>
      <w:r>
        <w:tab/>
      </w:r>
      <w:r>
        <w:fldChar w:fldCharType="begin"/>
      </w:r>
      <w:r>
        <w:instrText xml:space="preserve"> PAGEREF _Toc99720445 \h </w:instrText>
      </w:r>
      <w:r>
        <w:fldChar w:fldCharType="separate"/>
      </w:r>
      <w:r>
        <w:t>90</w:t>
      </w:r>
      <w:r>
        <w:fldChar w:fldCharType="end"/>
      </w:r>
      <w:r>
        <w:fldChar w:fldCharType="end"/>
      </w:r>
    </w:p>
    <w:p w14:paraId="058C1451">
      <w:pPr>
        <w:pStyle w:val="12"/>
        <w:tabs>
          <w:tab w:val="right" w:leader="dot" w:pos="8630"/>
        </w:tabs>
        <w:ind w:left="960"/>
        <w:rPr>
          <w:rFonts w:ascii="等线" w:hAnsi="等线" w:eastAsia="等线"/>
          <w:kern w:val="2"/>
          <w:sz w:val="21"/>
          <w:szCs w:val="22"/>
        </w:rPr>
      </w:pPr>
      <w:r>
        <w:fldChar w:fldCharType="begin"/>
      </w:r>
      <w:r>
        <w:instrText xml:space="preserve"> HYPERLINK \l "_Toc99720446" </w:instrText>
      </w:r>
      <w:r>
        <w:fldChar w:fldCharType="separate"/>
      </w:r>
      <w:r>
        <w:rPr>
          <w:rStyle w:val="25"/>
        </w:rPr>
        <w:t>4.7.3 顾客与市场结果</w:t>
      </w:r>
      <w:r>
        <w:tab/>
      </w:r>
      <w:r>
        <w:fldChar w:fldCharType="begin"/>
      </w:r>
      <w:r>
        <w:instrText xml:space="preserve"> PAGEREF _Toc99720446 \h </w:instrText>
      </w:r>
      <w:r>
        <w:fldChar w:fldCharType="separate"/>
      </w:r>
      <w:r>
        <w:t>92</w:t>
      </w:r>
      <w:r>
        <w:fldChar w:fldCharType="end"/>
      </w:r>
      <w:r>
        <w:fldChar w:fldCharType="end"/>
      </w:r>
    </w:p>
    <w:p w14:paraId="69F42BD5">
      <w:pPr>
        <w:pStyle w:val="12"/>
        <w:tabs>
          <w:tab w:val="right" w:leader="dot" w:pos="8630"/>
        </w:tabs>
        <w:ind w:left="960"/>
        <w:rPr>
          <w:rFonts w:ascii="等线" w:hAnsi="等线" w:eastAsia="等线"/>
          <w:kern w:val="2"/>
          <w:sz w:val="21"/>
          <w:szCs w:val="22"/>
        </w:rPr>
      </w:pPr>
      <w:r>
        <w:fldChar w:fldCharType="begin"/>
      </w:r>
      <w:r>
        <w:instrText xml:space="preserve"> HYPERLINK \l "_Toc99720447" </w:instrText>
      </w:r>
      <w:r>
        <w:fldChar w:fldCharType="separate"/>
      </w:r>
      <w:r>
        <w:rPr>
          <w:rStyle w:val="25"/>
        </w:rPr>
        <w:t>4.7.4 财务结果</w:t>
      </w:r>
      <w:r>
        <w:tab/>
      </w:r>
      <w:r>
        <w:fldChar w:fldCharType="begin"/>
      </w:r>
      <w:r>
        <w:instrText xml:space="preserve"> PAGEREF _Toc99720447 \h </w:instrText>
      </w:r>
      <w:r>
        <w:fldChar w:fldCharType="separate"/>
      </w:r>
      <w:r>
        <w:t>93</w:t>
      </w:r>
      <w:r>
        <w:fldChar w:fldCharType="end"/>
      </w:r>
      <w:r>
        <w:fldChar w:fldCharType="end"/>
      </w:r>
    </w:p>
    <w:p w14:paraId="5742845C">
      <w:pPr>
        <w:pStyle w:val="12"/>
        <w:tabs>
          <w:tab w:val="right" w:leader="dot" w:pos="8630"/>
        </w:tabs>
        <w:ind w:left="960"/>
        <w:rPr>
          <w:rFonts w:ascii="等线" w:hAnsi="等线" w:eastAsia="等线"/>
          <w:kern w:val="2"/>
          <w:sz w:val="21"/>
          <w:szCs w:val="22"/>
        </w:rPr>
      </w:pPr>
      <w:r>
        <w:fldChar w:fldCharType="begin"/>
      </w:r>
      <w:r>
        <w:instrText xml:space="preserve"> HYPERLINK \l "_Toc99720448" </w:instrText>
      </w:r>
      <w:r>
        <w:fldChar w:fldCharType="separate"/>
      </w:r>
      <w:r>
        <w:rPr>
          <w:rStyle w:val="25"/>
        </w:rPr>
        <w:t>4.7.5 资源结果</w:t>
      </w:r>
      <w:r>
        <w:tab/>
      </w:r>
      <w:r>
        <w:fldChar w:fldCharType="begin"/>
      </w:r>
      <w:r>
        <w:instrText xml:space="preserve"> PAGEREF _Toc99720448 \h </w:instrText>
      </w:r>
      <w:r>
        <w:fldChar w:fldCharType="separate"/>
      </w:r>
      <w:r>
        <w:t>93</w:t>
      </w:r>
      <w:r>
        <w:fldChar w:fldCharType="end"/>
      </w:r>
      <w:r>
        <w:fldChar w:fldCharType="end"/>
      </w:r>
    </w:p>
    <w:p w14:paraId="2DDCB289">
      <w:pPr>
        <w:pStyle w:val="12"/>
        <w:tabs>
          <w:tab w:val="right" w:leader="dot" w:pos="8630"/>
        </w:tabs>
        <w:ind w:left="960"/>
        <w:rPr>
          <w:rFonts w:ascii="等线" w:hAnsi="等线" w:eastAsia="等线"/>
          <w:kern w:val="2"/>
          <w:sz w:val="21"/>
          <w:szCs w:val="22"/>
        </w:rPr>
      </w:pPr>
      <w:r>
        <w:fldChar w:fldCharType="begin"/>
      </w:r>
      <w:r>
        <w:instrText xml:space="preserve"> HYPERLINK \l "_Toc99720449" </w:instrText>
      </w:r>
      <w:r>
        <w:fldChar w:fldCharType="separate"/>
      </w:r>
      <w:r>
        <w:rPr>
          <w:rStyle w:val="25"/>
        </w:rPr>
        <w:t>4.7.6 过程有效性结果</w:t>
      </w:r>
      <w:r>
        <w:tab/>
      </w:r>
      <w:r>
        <w:fldChar w:fldCharType="begin"/>
      </w:r>
      <w:r>
        <w:instrText xml:space="preserve"> PAGEREF _Toc99720449 \h </w:instrText>
      </w:r>
      <w:r>
        <w:fldChar w:fldCharType="separate"/>
      </w:r>
      <w:r>
        <w:t>96</w:t>
      </w:r>
      <w:r>
        <w:fldChar w:fldCharType="end"/>
      </w:r>
      <w:r>
        <w:fldChar w:fldCharType="end"/>
      </w:r>
    </w:p>
    <w:p w14:paraId="06BA07F1">
      <w:pPr>
        <w:pStyle w:val="12"/>
        <w:tabs>
          <w:tab w:val="right" w:leader="dot" w:pos="8630"/>
        </w:tabs>
        <w:ind w:left="960"/>
        <w:rPr>
          <w:rFonts w:ascii="等线" w:hAnsi="等线" w:eastAsia="等线"/>
          <w:kern w:val="2"/>
          <w:sz w:val="21"/>
          <w:szCs w:val="22"/>
        </w:rPr>
      </w:pPr>
      <w:r>
        <w:fldChar w:fldCharType="begin"/>
      </w:r>
      <w:r>
        <w:instrText xml:space="preserve"> HYPERLINK \l "_Toc99720450" </w:instrText>
      </w:r>
      <w:r>
        <w:fldChar w:fldCharType="separate"/>
      </w:r>
      <w:r>
        <w:rPr>
          <w:rStyle w:val="25"/>
        </w:rPr>
        <w:t>4.7.7领导方面的结果</w:t>
      </w:r>
      <w:r>
        <w:tab/>
      </w:r>
      <w:r>
        <w:fldChar w:fldCharType="begin"/>
      </w:r>
      <w:r>
        <w:instrText xml:space="preserve"> PAGEREF _Toc99720450 \h </w:instrText>
      </w:r>
      <w:r>
        <w:fldChar w:fldCharType="separate"/>
      </w:r>
      <w:r>
        <w:t>97</w:t>
      </w:r>
      <w:r>
        <w:fldChar w:fldCharType="end"/>
      </w:r>
      <w:r>
        <w:fldChar w:fldCharType="end"/>
      </w:r>
    </w:p>
    <w:p w14:paraId="29CF57AF">
      <w:r>
        <w:fldChar w:fldCharType="end"/>
      </w:r>
    </w:p>
    <w:p w14:paraId="126391B8">
      <w:pPr>
        <w:tabs>
          <w:tab w:val="left" w:pos="3180"/>
        </w:tabs>
      </w:pPr>
      <w:r>
        <w:tab/>
      </w:r>
    </w:p>
    <w:p w14:paraId="10D9FBB7">
      <w:pPr>
        <w:pStyle w:val="3"/>
        <w:tabs>
          <w:tab w:val="left" w:pos="3893"/>
          <w:tab w:val="center" w:pos="4320"/>
        </w:tabs>
        <w:jc w:val="center"/>
      </w:pPr>
      <w:r>
        <w:br w:type="page"/>
      </w:r>
      <w:bookmarkStart w:id="0" w:name="_Toc401871366"/>
      <w:r>
        <w:rPr>
          <w:rFonts w:hint="eastAsia"/>
        </w:rPr>
        <w:t>组织概述</w:t>
      </w:r>
    </w:p>
    <w:p w14:paraId="61B11461">
      <w:pPr>
        <w:widowControl w:val="0"/>
        <w:spacing w:line="360" w:lineRule="auto"/>
        <w:ind w:firstLine="480" w:firstLineChars="200"/>
        <w:jc w:val="both"/>
        <w:rPr>
          <w:rFonts w:hint="eastAsia" w:cs="仿宋_GB2312"/>
          <w:color w:val="000000"/>
          <w:kern w:val="2"/>
          <w:shd w:val="clear" w:color="auto" w:fill="FFFFFF"/>
        </w:rPr>
      </w:pPr>
      <w:r>
        <w:rPr>
          <w:rFonts w:hint="eastAsia" w:cs="仿宋_GB2312"/>
          <w:color w:val="000000"/>
          <w:kern w:val="2"/>
          <w:shd w:val="clear" w:color="auto" w:fill="FFFFFF"/>
        </w:rPr>
        <w:t xml:space="preserve">浙江中凯实业有限公司（以下简称 “中凯实业”）成立于 1995 年 6 月 12 日，前身为台州市中凯实业有限公司，位于浙江省台州市椒江区东太和路 98-2 号，是一家专注于建筑涂料领域的高新技术企业与科技型中小企业。公司注册资本 5018 万元，占地面积 </w:t>
      </w:r>
      <w:r>
        <w:rPr>
          <w:rFonts w:hint="eastAsia" w:cs="仿宋_GB2312"/>
          <w:color w:val="000000"/>
          <w:kern w:val="2"/>
          <w:shd w:val="clear" w:color="auto" w:fill="FFFFFF"/>
          <w:lang w:val="en-US" w:eastAsia="zh-CN"/>
        </w:rPr>
        <w:t>25</w:t>
      </w:r>
      <w:r>
        <w:rPr>
          <w:rFonts w:hint="eastAsia" w:cs="仿宋_GB2312"/>
          <w:color w:val="000000"/>
          <w:kern w:val="2"/>
          <w:shd w:val="clear" w:color="auto" w:fill="FFFFFF"/>
        </w:rPr>
        <w:t xml:space="preserve">000㎡，建筑面积 </w:t>
      </w:r>
      <w:r>
        <w:rPr>
          <w:rFonts w:hint="eastAsia" w:cs="仿宋_GB2312"/>
          <w:color w:val="000000"/>
          <w:kern w:val="2"/>
          <w:shd w:val="clear" w:color="auto" w:fill="FFFFFF"/>
          <w:lang w:val="en-US" w:eastAsia="zh-CN"/>
        </w:rPr>
        <w:t>20</w:t>
      </w:r>
      <w:r>
        <w:rPr>
          <w:rFonts w:hint="eastAsia" w:cs="仿宋_GB2312"/>
          <w:color w:val="000000"/>
          <w:kern w:val="2"/>
          <w:shd w:val="clear" w:color="auto" w:fill="FFFFFF"/>
        </w:rPr>
        <w:t>000㎡，拥有工程师</w:t>
      </w:r>
      <w:r>
        <w:rPr>
          <w:rFonts w:hint="eastAsia" w:cs="仿宋_GB2312"/>
          <w:color w:val="000000"/>
          <w:kern w:val="2"/>
          <w:shd w:val="clear" w:color="auto" w:fill="FFFFFF"/>
          <w:lang w:val="en-US" w:eastAsia="zh-CN"/>
        </w:rPr>
        <w:t>10人</w:t>
      </w:r>
      <w:r>
        <w:rPr>
          <w:rFonts w:hint="eastAsia" w:cs="仿宋_GB2312"/>
          <w:color w:val="000000"/>
          <w:kern w:val="2"/>
          <w:shd w:val="clear" w:color="auto" w:fill="FFFFFF"/>
        </w:rPr>
        <w:t>，技术员</w:t>
      </w:r>
      <w:r>
        <w:rPr>
          <w:rFonts w:hint="eastAsia" w:cs="仿宋_GB2312"/>
          <w:color w:val="000000"/>
          <w:kern w:val="2"/>
          <w:shd w:val="clear" w:color="auto" w:fill="FFFFFF"/>
          <w:lang w:val="en-US" w:eastAsia="zh-CN"/>
        </w:rPr>
        <w:t>15人、</w:t>
      </w:r>
      <w:r>
        <w:rPr>
          <w:rFonts w:hint="eastAsia" w:cs="仿宋_GB2312"/>
          <w:color w:val="000000"/>
          <w:kern w:val="2"/>
          <w:shd w:val="clear" w:color="auto" w:fill="FFFFFF"/>
        </w:rPr>
        <w:t>职工120人。具备科研、制造、销售、施工一体化综合优势。</w:t>
      </w:r>
    </w:p>
    <w:p w14:paraId="468022E9">
      <w:pPr>
        <w:widowControl w:val="0"/>
        <w:spacing w:line="360" w:lineRule="auto"/>
        <w:ind w:firstLine="480" w:firstLineChars="200"/>
        <w:jc w:val="both"/>
        <w:rPr>
          <w:rFonts w:hint="eastAsia" w:eastAsia="宋体" w:cs="仿宋_GB2312"/>
          <w:color w:val="000000"/>
          <w:kern w:val="2"/>
          <w:shd w:val="clear" w:color="auto" w:fill="FFFFFF"/>
          <w:lang w:val="en-US" w:eastAsia="zh-CN"/>
        </w:rPr>
      </w:pPr>
      <w:r>
        <w:rPr>
          <w:rFonts w:hint="eastAsia" w:cs="仿宋_GB2312"/>
          <w:color w:val="000000"/>
          <w:kern w:val="2"/>
          <w:shd w:val="clear" w:color="auto" w:fill="FFFFFF"/>
        </w:rPr>
        <w:t>公司核心业务为水性涂料（不含危险化学品）、耐水腻子粉、建筑材料的制造、批发与零售，同时涵盖建筑装饰工程、工程技术咨询、建筑工程机械租赁等业务。主要产品包括仿石涂料、内外墙厚质建筑涂料、水性反射隔热保温涂料及外墙外保温隔热防火材料，共十大系列近百个品种，产品广泛应用于建筑外墙装饰、保温隔热等领域浙江中凯实业有限公司。公司由美国杜邦涂料化工集团提供技术支持，是国内建筑涂料领域重要的技术合作伙伴，秉持 “让产品发声，用品质讲话” 的经营理念，以匠人精神打造产品与服务</w:t>
      </w:r>
      <w:r>
        <w:rPr>
          <w:rFonts w:hint="eastAsia" w:cs="仿宋_GB2312"/>
          <w:color w:val="000000"/>
          <w:kern w:val="2"/>
          <w:shd w:val="clear" w:color="auto" w:fill="FFFFFF"/>
          <w:lang w:eastAsia="zh-CN"/>
        </w:rPr>
        <w:t>。</w:t>
      </w:r>
    </w:p>
    <w:p w14:paraId="0D85E90E">
      <w:pPr>
        <w:widowControl w:val="0"/>
        <w:spacing w:line="360" w:lineRule="auto"/>
        <w:ind w:firstLine="480" w:firstLineChars="200"/>
        <w:jc w:val="both"/>
        <w:rPr>
          <w:rFonts w:hint="eastAsia" w:cs="仿宋_GB2312"/>
          <w:color w:val="000000"/>
          <w:kern w:val="2"/>
          <w:shd w:val="clear" w:color="auto" w:fill="FFFFFF"/>
        </w:rPr>
      </w:pPr>
    </w:p>
    <w:p w14:paraId="3CC82BF9">
      <w:pPr>
        <w:spacing w:line="360" w:lineRule="auto"/>
        <w:rPr>
          <w:rFonts w:cs="仿宋_GB2312"/>
          <w:color w:val="000000"/>
          <w:shd w:val="clear" w:color="auto" w:fill="FFFFFF"/>
        </w:rPr>
      </w:pPr>
      <w:r>
        <w:rPr>
          <w:rFonts w:cs="仿宋_GB2312"/>
          <w:color w:val="000000"/>
          <w:shd w:val="clear" w:color="auto" w:fill="FFFFFF"/>
        </w:rPr>
        <w:t>地址：</w:t>
      </w:r>
      <w:r>
        <w:rPr>
          <w:rFonts w:hint="eastAsia" w:cs="仿宋_GB2312"/>
          <w:color w:val="000000"/>
          <w:shd w:val="clear" w:color="auto" w:fill="FFFFFF"/>
        </w:rPr>
        <w:t>浙江省台州市椒江区东太和路98-2号</w:t>
      </w:r>
    </w:p>
    <w:p w14:paraId="664BB570">
      <w:pPr>
        <w:spacing w:line="360" w:lineRule="auto"/>
        <w:rPr>
          <w:rFonts w:cs="仿宋_GB2312"/>
          <w:color w:val="000000"/>
          <w:shd w:val="clear" w:color="auto" w:fill="FFFFFF"/>
        </w:rPr>
      </w:pPr>
      <w:r>
        <w:rPr>
          <w:rFonts w:cs="仿宋_GB2312"/>
          <w:color w:val="000000"/>
          <w:shd w:val="clear" w:color="auto" w:fill="FFFFFF"/>
        </w:rPr>
        <w:t>电话：</w:t>
      </w:r>
      <w:r>
        <w:rPr>
          <w:rFonts w:hint="eastAsia" w:cs="仿宋_GB2312"/>
          <w:color w:val="000000"/>
          <w:shd w:val="clear" w:color="auto" w:fill="FFFFFF"/>
        </w:rPr>
        <w:t>0576—88505988</w:t>
      </w:r>
    </w:p>
    <w:p w14:paraId="017C7C8F">
      <w:pPr>
        <w:spacing w:line="360" w:lineRule="auto"/>
        <w:rPr>
          <w:rFonts w:cs="仿宋_GB2312"/>
          <w:color w:val="000000"/>
          <w:shd w:val="clear" w:color="auto" w:fill="FFFFFF"/>
        </w:rPr>
      </w:pPr>
      <w:r>
        <w:rPr>
          <w:rFonts w:cs="仿宋_GB2312"/>
          <w:color w:val="000000"/>
          <w:shd w:val="clear" w:color="auto" w:fill="FFFFFF"/>
        </w:rPr>
        <w:t>传真：</w:t>
      </w:r>
      <w:r>
        <w:rPr>
          <w:rFonts w:hint="eastAsia" w:cs="仿宋_GB2312"/>
          <w:color w:val="000000"/>
          <w:shd w:val="clear" w:color="auto" w:fill="FFFFFF"/>
        </w:rPr>
        <w:t>0576—88505692</w:t>
      </w:r>
    </w:p>
    <w:p w14:paraId="1FC31886">
      <w:pPr>
        <w:spacing w:line="360" w:lineRule="auto"/>
        <w:rPr>
          <w:rFonts w:cs="仿宋_GB2312"/>
          <w:color w:val="000000"/>
          <w:shd w:val="clear" w:color="auto" w:fill="FFFFFF"/>
        </w:rPr>
      </w:pPr>
      <w:r>
        <w:rPr>
          <w:rFonts w:cs="仿宋_GB2312"/>
          <w:color w:val="000000"/>
          <w:shd w:val="clear" w:color="auto" w:fill="FFFFFF"/>
        </w:rPr>
        <w:t>网址：</w:t>
      </w:r>
      <w:r>
        <w:rPr>
          <w:rFonts w:hint="eastAsia" w:cs="仿宋_GB2312"/>
          <w:color w:val="000000"/>
          <w:shd w:val="clear" w:color="auto" w:fill="FFFFFF"/>
        </w:rPr>
        <w:t>https://www.zkopaint.com/</w:t>
      </w:r>
    </w:p>
    <w:p w14:paraId="1A90845B">
      <w:pPr>
        <w:spacing w:line="360" w:lineRule="auto"/>
      </w:pPr>
      <w:r>
        <w:rPr>
          <w:rFonts w:cs="仿宋_GB2312"/>
          <w:color w:val="000000"/>
          <w:shd w:val="clear" w:color="auto" w:fill="FFFFFF"/>
        </w:rPr>
        <w:t>邮编：</w:t>
      </w:r>
      <w:r>
        <w:rPr>
          <w:rFonts w:hint="eastAsia" w:cs="仿宋_GB2312"/>
          <w:color w:val="000000"/>
          <w:shd w:val="clear" w:color="auto" w:fill="FFFFFF"/>
        </w:rPr>
        <w:t>318000</w:t>
      </w:r>
    </w:p>
    <w:p w14:paraId="35325477">
      <w:pPr>
        <w:tabs>
          <w:tab w:val="center" w:pos="4201"/>
          <w:tab w:val="right" w:leader="dot" w:pos="9298"/>
        </w:tabs>
        <w:autoSpaceDE w:val="0"/>
        <w:autoSpaceDN w:val="0"/>
        <w:jc w:val="center"/>
        <w:rPr>
          <w:highlight w:val="yellow"/>
        </w:rPr>
      </w:pPr>
    </w:p>
    <w:p w14:paraId="7A4E3B1A">
      <w:r>
        <w:tab/>
      </w:r>
    </w:p>
    <w:p w14:paraId="263E5001">
      <w:pPr>
        <w:sectPr>
          <w:headerReference r:id="rId6" w:type="default"/>
          <w:pgSz w:w="11906" w:h="16838"/>
          <w:pgMar w:top="1440" w:right="1466" w:bottom="1440" w:left="1800" w:header="851" w:footer="992" w:gutter="0"/>
          <w:cols w:space="720" w:num="1"/>
          <w:docGrid w:type="lines" w:linePitch="312" w:charSpace="0"/>
        </w:sectPr>
      </w:pPr>
    </w:p>
    <w:p w14:paraId="3F8FFE12">
      <w:pPr>
        <w:pStyle w:val="3"/>
        <w:jc w:val="center"/>
      </w:pPr>
      <w:r>
        <w:rPr>
          <w:rFonts w:hint="eastAsia"/>
        </w:rPr>
        <w:t>4.1 领导</w:t>
      </w:r>
      <w:bookmarkEnd w:id="0"/>
    </w:p>
    <w:p w14:paraId="1212CBDD">
      <w:pPr>
        <w:pStyle w:val="4"/>
        <w:spacing w:line="360" w:lineRule="auto"/>
      </w:pPr>
      <w:bookmarkStart w:id="1" w:name="_Toc99720414"/>
      <w:bookmarkStart w:id="2" w:name="_Toc401871367"/>
      <w:bookmarkStart w:id="3" w:name="_Toc339617458"/>
      <w:r>
        <w:t xml:space="preserve">4.1.1 </w:t>
      </w:r>
      <w:r>
        <w:rPr>
          <w:rFonts w:hint="eastAsia"/>
        </w:rPr>
        <w:t>总则</w:t>
      </w:r>
      <w:bookmarkEnd w:id="1"/>
      <w:bookmarkEnd w:id="2"/>
      <w:bookmarkEnd w:id="3"/>
    </w:p>
    <w:p w14:paraId="76239029">
      <w:pPr>
        <w:spacing w:line="360" w:lineRule="auto"/>
        <w:ind w:firstLine="480" w:firstLineChars="200"/>
      </w:pPr>
      <w:bookmarkStart w:id="4" w:name="_Toc339617459"/>
      <w:bookmarkStart w:id="5" w:name="_Toc401871368"/>
      <w:r>
        <w:rPr>
          <w:rFonts w:hint="eastAsia" w:ascii="宋体" w:hAnsi="宋体"/>
        </w:rPr>
        <w:t>本部分主要描述公司高层领导的作用，组织治理及组织履行社会责任等情况。</w:t>
      </w:r>
      <w:r>
        <w:rPr>
          <w:rFonts w:hint="eastAsia"/>
        </w:rPr>
        <w:t>公司高层领导具有远见卓识，</w:t>
      </w:r>
      <w:r>
        <w:rPr>
          <w:rFonts w:hint="eastAsia" w:ascii="宋体" w:hAnsi="宋体"/>
        </w:rPr>
        <w:t>确立了公司的使命、愿景和价值观，明确公司的发展方向、绩效目标，完善组织的治理，评审组织的绩效，营造良好的经营环境，</w:t>
      </w:r>
      <w:r>
        <w:rPr>
          <w:rFonts w:hint="eastAsia"/>
        </w:rPr>
        <w:t>构建并保持了组织不断追求卓越的企业文化，通过积极、有效的沟通和良好的贯彻，营造了一个令顾客、职工、股东、社会和相关方满意的组织环境。</w:t>
      </w:r>
    </w:p>
    <w:p w14:paraId="4D5E5B8C">
      <w:pPr>
        <w:pStyle w:val="4"/>
        <w:spacing w:after="140" w:line="360" w:lineRule="auto"/>
      </w:pPr>
      <w:bookmarkStart w:id="6" w:name="_Toc99720415"/>
      <w:r>
        <w:t>4.1.2</w:t>
      </w:r>
      <w:r>
        <w:rPr>
          <w:rFonts w:hint="eastAsia"/>
        </w:rPr>
        <w:t xml:space="preserve"> 高层领导的作用</w:t>
      </w:r>
      <w:bookmarkEnd w:id="4"/>
      <w:bookmarkEnd w:id="5"/>
      <w:bookmarkEnd w:id="6"/>
    </w:p>
    <w:p w14:paraId="37EADE01">
      <w:pPr>
        <w:spacing w:line="360" w:lineRule="auto"/>
        <w:ind w:firstLine="480" w:firstLineChars="200"/>
        <w:rPr>
          <w:szCs w:val="32"/>
        </w:rPr>
      </w:pPr>
      <w:r>
        <w:rPr>
          <w:rFonts w:hint="eastAsia"/>
          <w:szCs w:val="32"/>
        </w:rPr>
        <w:t>高层领导基于长期和短期的发展战略，建立人才培养发展计划和储备机制，致力于建立学习型组织。带头学习，并创造良好的学习条件和学习氛围，建立梯队人才库，以保持一支动态平衡的、规模化的后备领导人才梯队，适应公司的战略发展。</w:t>
      </w:r>
    </w:p>
    <w:p w14:paraId="4853A587">
      <w:pPr>
        <w:spacing w:line="360" w:lineRule="auto"/>
        <w:rPr>
          <w:rFonts w:ascii="宋体" w:hAnsi="宋体" w:cs="宋体"/>
          <w:sz w:val="28"/>
          <w:szCs w:val="28"/>
          <w:lang w:val="zh-CN"/>
        </w:rPr>
      </w:pPr>
      <w:r>
        <w:rPr>
          <w:rFonts w:hint="eastAsia" w:ascii="宋体" w:hAnsi="宋体" w:cs="宋体"/>
          <w:b/>
        </w:rPr>
        <w:t>a）确定组织的使命、愿景和价值观</w:t>
      </w:r>
    </w:p>
    <w:p w14:paraId="4C020BBA">
      <w:pPr>
        <w:spacing w:line="360" w:lineRule="auto"/>
        <w:ind w:left="-240" w:leftChars="-100" w:firstLine="480" w:firstLineChars="200"/>
        <w:rPr>
          <w:rFonts w:ascii="宋体" w:hAnsi="宋体" w:cs="宋体"/>
          <w:szCs w:val="32"/>
          <w:lang w:val="zh-CN"/>
        </w:rPr>
      </w:pPr>
      <w:r>
        <w:rPr>
          <w:rFonts w:hint="eastAsia"/>
          <w:szCs w:val="32"/>
        </w:rPr>
        <w:t>自成立以来，公司的核心价值观在企业成长过程中逐步凝练而成，并随着公司的发展而不断调整的提升。</w:t>
      </w:r>
      <w:r>
        <w:rPr>
          <w:rFonts w:hint="eastAsia" w:ascii="宋体" w:hAnsi="宋体" w:cs="宋体"/>
        </w:rPr>
        <w:t>公司领导在确定愿景、使命和价值观的基础上，以相关方的利益为中心，制定企业的发展战略目标和战略计划，具体参见图4.1.2-1。</w:t>
      </w:r>
      <w:r>
        <w:rPr>
          <w:rFonts w:ascii="宋体" w:hAnsi="宋体" w:cs="宋体"/>
          <w:szCs w:val="32"/>
          <w:lang w:val="zh-CN"/>
        </w:rPr>
        <w:t>在公司规模由小到大，资本迅速增长的同时，伴随着企业的成长，也逐步形成了</w:t>
      </w:r>
      <w:r>
        <w:rPr>
          <w:rFonts w:hint="eastAsia" w:ascii="宋体" w:hAnsi="宋体" w:cs="宋体"/>
          <w:szCs w:val="32"/>
          <w:lang w:val="zh-CN"/>
        </w:rPr>
        <w:t>公司</w:t>
      </w:r>
      <w:r>
        <w:rPr>
          <w:rFonts w:ascii="宋体" w:hAnsi="宋体" w:cs="宋体"/>
          <w:szCs w:val="32"/>
          <w:lang w:val="zh-CN"/>
        </w:rPr>
        <w:t>独特的企业文化，它来源于企业管理和施工生产的实践经验，促进</w:t>
      </w:r>
      <w:r>
        <w:rPr>
          <w:rFonts w:hint="eastAsia" w:ascii="宋体" w:hAnsi="宋体" w:cs="宋体"/>
          <w:szCs w:val="32"/>
          <w:lang w:val="zh-CN"/>
        </w:rPr>
        <w:t>了公司的企业文化体系的形成。使命、愿景和价值观体现了公司未来的发展方向，也是企业文化的核心，为公司制定战略和战略目标提供了依据。</w:t>
      </w:r>
    </w:p>
    <w:p w14:paraId="0588B6B1">
      <w:pPr>
        <w:snapToGrid w:val="0"/>
        <w:spacing w:line="360" w:lineRule="auto"/>
        <w:jc w:val="center"/>
        <w:rPr>
          <w:rFonts w:ascii="黑体" w:hAnsi="宋体" w:eastAsia="黑体" w:cs="黑体"/>
          <w:b/>
        </w:rPr>
      </w:pPr>
      <w:r>
        <w:drawing>
          <wp:anchor distT="0" distB="0" distL="114300" distR="114300" simplePos="0" relativeHeight="251660288" behindDoc="0" locked="0" layoutInCell="1" allowOverlap="1">
            <wp:simplePos x="0" y="0"/>
            <wp:positionH relativeFrom="column">
              <wp:posOffset>1020445</wp:posOffset>
            </wp:positionH>
            <wp:positionV relativeFrom="paragraph">
              <wp:posOffset>166370</wp:posOffset>
            </wp:positionV>
            <wp:extent cx="3444875" cy="2889885"/>
            <wp:effectExtent l="0" t="0" r="0" b="0"/>
            <wp:wrapNone/>
            <wp:docPr id="1" name="图片 46" descr="未命名文件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6" descr="未命名文件 (1)"/>
                    <pic:cNvPicPr>
                      <a:picLocks noChangeAspect="1"/>
                    </pic:cNvPicPr>
                  </pic:nvPicPr>
                  <pic:blipFill>
                    <a:blip r:embed="rId11"/>
                    <a:srcRect t="4794"/>
                    <a:stretch>
                      <a:fillRect/>
                    </a:stretch>
                  </pic:blipFill>
                  <pic:spPr>
                    <a:xfrm>
                      <a:off x="0" y="0"/>
                      <a:ext cx="3444875" cy="2889885"/>
                    </a:xfrm>
                    <a:prstGeom prst="rect">
                      <a:avLst/>
                    </a:prstGeom>
                    <a:noFill/>
                    <a:ln>
                      <a:noFill/>
                    </a:ln>
                  </pic:spPr>
                </pic:pic>
              </a:graphicData>
            </a:graphic>
          </wp:anchor>
        </w:drawing>
      </w:r>
      <w:r>
        <w:rPr>
          <w:rFonts w:hint="eastAsia" w:ascii="黑体" w:hAnsi="黑体" w:eastAsia="黑体"/>
          <w:b/>
          <w:sz w:val="21"/>
          <w:szCs w:val="21"/>
        </w:rPr>
        <w:t>图4.1.2-1 战略规划</w:t>
      </w:r>
    </w:p>
    <w:p w14:paraId="68D548CA">
      <w:pPr>
        <w:autoSpaceDE w:val="0"/>
        <w:autoSpaceDN w:val="0"/>
        <w:adjustRightInd w:val="0"/>
        <w:spacing w:line="360" w:lineRule="auto"/>
        <w:jc w:val="center"/>
      </w:pPr>
    </w:p>
    <w:p w14:paraId="595658D4">
      <w:pPr>
        <w:snapToGrid w:val="0"/>
        <w:spacing w:line="360" w:lineRule="auto"/>
        <w:rPr>
          <w:rFonts w:ascii="宋体" w:hAnsi="宋体"/>
          <w:b/>
        </w:rPr>
      </w:pPr>
    </w:p>
    <w:p w14:paraId="609AA8FC">
      <w:pPr>
        <w:snapToGrid w:val="0"/>
        <w:spacing w:line="360" w:lineRule="auto"/>
        <w:rPr>
          <w:rFonts w:ascii="宋体" w:hAnsi="宋体"/>
          <w:b/>
        </w:rPr>
      </w:pPr>
    </w:p>
    <w:p w14:paraId="2851C1EF">
      <w:pPr>
        <w:snapToGrid w:val="0"/>
        <w:spacing w:line="360" w:lineRule="auto"/>
        <w:rPr>
          <w:rFonts w:ascii="宋体" w:hAnsi="宋体"/>
          <w:b/>
        </w:rPr>
      </w:pPr>
    </w:p>
    <w:p w14:paraId="6389C75D">
      <w:pPr>
        <w:snapToGrid w:val="0"/>
        <w:spacing w:line="360" w:lineRule="auto"/>
        <w:rPr>
          <w:rFonts w:ascii="宋体" w:hAnsi="宋体"/>
          <w:b/>
        </w:rPr>
      </w:pPr>
    </w:p>
    <w:p w14:paraId="37B216F3">
      <w:pPr>
        <w:snapToGrid w:val="0"/>
        <w:spacing w:line="360" w:lineRule="auto"/>
        <w:rPr>
          <w:rFonts w:ascii="宋体" w:hAnsi="宋体"/>
          <w:b/>
        </w:rPr>
      </w:pPr>
    </w:p>
    <w:p w14:paraId="46272BCA">
      <w:pPr>
        <w:snapToGrid w:val="0"/>
        <w:spacing w:line="360" w:lineRule="auto"/>
        <w:rPr>
          <w:rFonts w:ascii="宋体" w:hAnsi="宋体"/>
          <w:b/>
        </w:rPr>
      </w:pPr>
    </w:p>
    <w:p w14:paraId="1379A9C1">
      <w:pPr>
        <w:snapToGrid w:val="0"/>
        <w:spacing w:line="360" w:lineRule="auto"/>
        <w:ind w:firstLine="480" w:firstLineChars="200"/>
        <w:rPr>
          <w:rFonts w:hint="eastAsia" w:ascii="宋体" w:hAnsi="宋体"/>
          <w:bCs/>
          <w:lang w:eastAsia="zh-CN"/>
        </w:rPr>
      </w:pPr>
      <w:r>
        <w:rPr>
          <w:rFonts w:hint="eastAsia" w:ascii="宋体" w:hAnsi="宋体"/>
          <w:bCs/>
          <w:lang w:eastAsia="zh-CN"/>
        </w:rPr>
        <w:t>中凯宗旨：</w:t>
      </w:r>
    </w:p>
    <w:p w14:paraId="7648CEB9">
      <w:pPr>
        <w:snapToGrid w:val="0"/>
        <w:spacing w:line="360" w:lineRule="auto"/>
        <w:ind w:firstLine="480" w:firstLineChars="200"/>
        <w:rPr>
          <w:rFonts w:hint="eastAsia" w:ascii="宋体" w:hAnsi="宋体"/>
          <w:bCs/>
          <w:lang w:eastAsia="zh-CN"/>
        </w:rPr>
      </w:pPr>
      <w:r>
        <w:rPr>
          <w:rFonts w:hint="eastAsia" w:ascii="宋体" w:hAnsi="宋体"/>
          <w:bCs/>
          <w:lang w:eastAsia="zh-CN"/>
        </w:rPr>
        <w:t>人是企业的主体，是生产力诸要素中活跃、积极的因素。始终坚持"以人为本，强企富民”，是中凯办企业的出发点和落脚点，是中凯根本的指导思想和根本的目的。因此，从满足人的需求和激发人的创造性出发，全心全意依靠员工办企业，通过企业的发展，不断为消费者创造更多的价值，为投资者创造更多的利益，造福员工，造福杜会，是中凯的追求目标。</w:t>
      </w:r>
    </w:p>
    <w:p w14:paraId="29F059B3">
      <w:pPr>
        <w:snapToGrid w:val="0"/>
        <w:spacing w:line="360" w:lineRule="auto"/>
        <w:ind w:firstLine="480" w:firstLineChars="200"/>
        <w:rPr>
          <w:rFonts w:hint="eastAsia" w:ascii="宋体" w:hAnsi="宋体"/>
          <w:bCs/>
          <w:lang w:eastAsia="zh-CN"/>
        </w:rPr>
      </w:pPr>
      <w:r>
        <w:rPr>
          <w:rFonts w:hint="eastAsia" w:ascii="宋体" w:hAnsi="宋体"/>
          <w:bCs/>
          <w:lang w:eastAsia="zh-CN"/>
        </w:rPr>
        <w:t>中凯作风：</w:t>
      </w:r>
    </w:p>
    <w:p w14:paraId="7CFB3054">
      <w:pPr>
        <w:snapToGrid w:val="0"/>
        <w:spacing w:line="360" w:lineRule="auto"/>
        <w:ind w:firstLine="480" w:firstLineChars="200"/>
        <w:rPr>
          <w:rFonts w:hint="eastAsia" w:ascii="宋体" w:hAnsi="宋体"/>
          <w:bCs/>
          <w:lang w:eastAsia="zh-CN"/>
        </w:rPr>
      </w:pPr>
      <w:r>
        <w:rPr>
          <w:rFonts w:hint="eastAsia" w:ascii="宋体" w:hAnsi="宋体"/>
          <w:bCs/>
          <w:lang w:eastAsia="zh-CN"/>
        </w:rPr>
        <w:t>以“求实”为出发点，以“务实”为着力点，以"落实”为落脚点，说实话，办实事，求实效;不论做什么事、作什么决定，三思而后行，科学严谨行事;以事业为重，以奋斗为荣，锲而不舍，奋发图强;面向市场，快速反应，顾全大局，相互支持，相互补台，不推诿扯皮，在全公司形成“务实严谨，雷厉风行”的作风，是中凯事业兴旺发展的保证。</w:t>
      </w:r>
    </w:p>
    <w:p w14:paraId="2A84AB4E">
      <w:pPr>
        <w:snapToGrid w:val="0"/>
        <w:spacing w:line="360" w:lineRule="auto"/>
        <w:ind w:firstLine="480" w:firstLineChars="200"/>
        <w:rPr>
          <w:rFonts w:hint="eastAsia" w:ascii="宋体" w:hAnsi="宋体"/>
          <w:bCs/>
          <w:lang w:eastAsia="zh-CN"/>
        </w:rPr>
      </w:pPr>
      <w:r>
        <w:rPr>
          <w:rFonts w:hint="eastAsia" w:ascii="宋体" w:hAnsi="宋体"/>
          <w:bCs/>
          <w:lang w:eastAsia="zh-CN"/>
        </w:rPr>
        <w:t>中凯精神：</w:t>
      </w:r>
    </w:p>
    <w:p w14:paraId="5174CF84">
      <w:pPr>
        <w:snapToGrid w:val="0"/>
        <w:spacing w:line="360" w:lineRule="auto"/>
        <w:ind w:firstLine="480" w:firstLineChars="200"/>
        <w:rPr>
          <w:rFonts w:hint="eastAsia" w:ascii="宋体" w:hAnsi="宋体"/>
          <w:bCs/>
          <w:lang w:eastAsia="zh-CN"/>
        </w:rPr>
      </w:pPr>
      <w:r>
        <w:rPr>
          <w:rFonts w:hint="eastAsia" w:ascii="宋体" w:hAnsi="宋体"/>
          <w:bCs/>
          <w:lang w:eastAsia="zh-CN"/>
        </w:rPr>
        <w:t>中凯精神是中凯在其发展进程中所形成的文化，是中凯宝贵的精神财富。团结，是中凯力量的源泉;创新，是中凯发展之本;求实，是中凯行动的准绳;求精，是中凯发展之路。在市场经济条件下，中凯精神始终是激励中凯人不畏困难、敢为人先、勇往直前的精神力量，始终是推动中凯发展的强大的精神动力。</w:t>
      </w:r>
    </w:p>
    <w:p w14:paraId="08284B26">
      <w:pPr>
        <w:snapToGrid w:val="0"/>
        <w:spacing w:line="360" w:lineRule="auto"/>
        <w:ind w:firstLine="480" w:firstLineChars="200"/>
        <w:rPr>
          <w:rFonts w:hint="eastAsia" w:ascii="宋体" w:hAnsi="宋体"/>
          <w:bCs/>
          <w:lang w:eastAsia="zh-CN"/>
        </w:rPr>
      </w:pPr>
      <w:r>
        <w:rPr>
          <w:rFonts w:hint="eastAsia" w:ascii="宋体" w:hAnsi="宋体"/>
          <w:bCs/>
          <w:lang w:eastAsia="zh-CN"/>
        </w:rPr>
        <w:t>中凯价值观：</w:t>
      </w:r>
    </w:p>
    <w:p w14:paraId="2AB0D4DF">
      <w:pPr>
        <w:snapToGrid w:val="0"/>
        <w:spacing w:line="360" w:lineRule="auto"/>
        <w:ind w:firstLine="480" w:firstLineChars="200"/>
        <w:rPr>
          <w:rFonts w:hint="eastAsia" w:ascii="宋体" w:hAnsi="宋体"/>
          <w:bCs/>
        </w:rPr>
      </w:pPr>
      <w:r>
        <w:rPr>
          <w:rFonts w:hint="eastAsia" w:ascii="宋体" w:hAnsi="宋体"/>
          <w:bCs/>
        </w:rPr>
        <w:t>品牌作为无形资产，其价值无限。中凯把塑造品牌形象放在首位，要求员工象爱护眼睛一样爱护中凯品牌，不断提升中凯品牌价值来促进企业的发展。同时，企业尊重员工个人的价值，鼓励每位员工充分发挥自己的聪明才智，以自己的知识、智慧、劳动获得相应的报酬;但企业更强调团队精神和团队的力量，主张将个人价值寓于团队之中，在实现企业价值中体现个人价值。</w:t>
      </w:r>
    </w:p>
    <w:p w14:paraId="7959D429">
      <w:pPr>
        <w:snapToGrid w:val="0"/>
        <w:spacing w:line="360" w:lineRule="auto"/>
        <w:ind w:firstLine="480" w:firstLineChars="200"/>
        <w:rPr>
          <w:rFonts w:hint="eastAsia" w:ascii="宋体" w:hAnsi="宋体"/>
          <w:bCs/>
        </w:rPr>
      </w:pPr>
    </w:p>
    <w:p w14:paraId="30BC6EE8">
      <w:pPr>
        <w:snapToGrid w:val="0"/>
        <w:spacing w:line="360" w:lineRule="auto"/>
        <w:rPr>
          <w:rFonts w:ascii="宋体" w:hAnsi="宋体"/>
          <w:b/>
        </w:rPr>
      </w:pPr>
      <w:r>
        <w:rPr>
          <w:rFonts w:hint="eastAsia" w:ascii="宋体" w:hAnsi="宋体"/>
          <w:b/>
        </w:rPr>
        <w:t>b）畅通内外沟通渠道，与各相关方达成共识</w:t>
      </w:r>
    </w:p>
    <w:p w14:paraId="47F78FED">
      <w:pPr>
        <w:snapToGrid w:val="0"/>
        <w:spacing w:line="360" w:lineRule="auto"/>
        <w:ind w:firstLine="480" w:firstLineChars="200"/>
        <w:rPr>
          <w:rFonts w:ascii="宋体" w:hAnsi="宋体"/>
          <w:b/>
        </w:rPr>
      </w:pPr>
      <w:r>
        <w:rPr>
          <w:rFonts w:hint="eastAsia" w:ascii="宋体" w:hAnsi="宋体" w:cs="宋体"/>
          <w:lang w:val="zh-CN"/>
        </w:rPr>
        <w:t>为及时有效地传播企业文化和战略规划，形成积聚各方的强大合力，公司高层领导率先垂范、</w:t>
      </w:r>
      <w:r>
        <w:rPr>
          <w:rFonts w:hint="eastAsia" w:ascii="宋体" w:hAnsi="宋体" w:cs="宋体"/>
          <w:szCs w:val="32"/>
          <w:lang w:val="zh-CN"/>
        </w:rPr>
        <w:t>带头实践核心价值观，将企业文化理念融入到生产经营及企业的一言一行，建立比较完善的内外部双向沟通机制，达到了与各相关方谋求和谐发展、互惠共赢的良好效果。（见表4.1.2-</w:t>
      </w:r>
      <w:r>
        <w:rPr>
          <w:rFonts w:hint="eastAsia" w:ascii="宋体" w:hAnsi="宋体" w:cs="宋体"/>
          <w:szCs w:val="32"/>
        </w:rPr>
        <w:t>2</w:t>
      </w:r>
      <w:r>
        <w:rPr>
          <w:rFonts w:hint="eastAsia" w:ascii="宋体" w:hAnsi="宋体" w:cs="宋体"/>
          <w:szCs w:val="32"/>
          <w:lang w:val="zh-CN"/>
        </w:rPr>
        <w:t>）</w:t>
      </w:r>
    </w:p>
    <w:p w14:paraId="7F59422C">
      <w:pPr>
        <w:snapToGrid w:val="0"/>
        <w:spacing w:line="360" w:lineRule="auto"/>
        <w:jc w:val="center"/>
        <w:rPr>
          <w:rFonts w:ascii="黑体" w:hAnsi="黑体" w:eastAsia="黑体"/>
          <w:b/>
          <w:sz w:val="21"/>
          <w:szCs w:val="21"/>
        </w:rPr>
      </w:pPr>
      <w:r>
        <w:rPr>
          <w:rFonts w:hint="eastAsia" w:ascii="黑体" w:hAnsi="黑体" w:eastAsia="黑体"/>
          <w:b/>
          <w:sz w:val="21"/>
          <w:szCs w:val="21"/>
        </w:rPr>
        <w:t>表4.1</w:t>
      </w:r>
      <w:r>
        <w:rPr>
          <w:rFonts w:ascii="黑体" w:hAnsi="黑体" w:eastAsia="黑体"/>
          <w:b/>
          <w:sz w:val="21"/>
          <w:szCs w:val="21"/>
        </w:rPr>
        <w:t>.2</w:t>
      </w:r>
      <w:r>
        <w:rPr>
          <w:rFonts w:hint="eastAsia" w:ascii="黑体" w:hAnsi="黑体" w:eastAsia="黑体"/>
          <w:b/>
          <w:sz w:val="21"/>
          <w:szCs w:val="21"/>
        </w:rPr>
        <w:t>-2与内部员工、主要供方和合作伙伴的沟通</w:t>
      </w:r>
    </w:p>
    <w:tbl>
      <w:tblPr>
        <w:tblStyle w:val="22"/>
        <w:tblW w:w="5000" w:type="pct"/>
        <w:jc w:val="center"/>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Layout w:type="autofit"/>
        <w:tblCellMar>
          <w:top w:w="0" w:type="dxa"/>
          <w:left w:w="108" w:type="dxa"/>
          <w:bottom w:w="0" w:type="dxa"/>
          <w:right w:w="108" w:type="dxa"/>
        </w:tblCellMar>
      </w:tblPr>
      <w:tblGrid>
        <w:gridCol w:w="1758"/>
        <w:gridCol w:w="2672"/>
        <w:gridCol w:w="2401"/>
        <w:gridCol w:w="914"/>
        <w:gridCol w:w="555"/>
        <w:gridCol w:w="556"/>
      </w:tblGrid>
      <w:tr w14:paraId="49A7E8C6">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295" w:hRule="atLeast"/>
          <w:tblHeader/>
          <w:jc w:val="center"/>
        </w:trPr>
        <w:tc>
          <w:tcPr>
            <w:tcW w:w="992" w:type="pct"/>
            <w:vMerge w:val="restart"/>
            <w:shd w:val="clear" w:color="auto" w:fill="938953"/>
            <w:vAlign w:val="center"/>
          </w:tcPr>
          <w:p w14:paraId="1E4C9257">
            <w:pPr>
              <w:jc w:val="center"/>
              <w:rPr>
                <w:rFonts w:ascii="宋体" w:hAnsi="宋体"/>
                <w:b/>
                <w:bCs/>
                <w:kern w:val="2"/>
                <w:sz w:val="21"/>
                <w:szCs w:val="21"/>
              </w:rPr>
            </w:pPr>
            <w:r>
              <w:rPr>
                <w:rFonts w:hint="eastAsia" w:ascii="宋体" w:hAnsi="宋体"/>
                <w:b/>
                <w:bCs/>
                <w:kern w:val="2"/>
                <w:sz w:val="21"/>
                <w:szCs w:val="21"/>
              </w:rPr>
              <w:t>对象</w:t>
            </w:r>
          </w:p>
        </w:tc>
        <w:tc>
          <w:tcPr>
            <w:tcW w:w="1508" w:type="pct"/>
            <w:vMerge w:val="restart"/>
            <w:shd w:val="clear" w:color="auto" w:fill="938953"/>
            <w:vAlign w:val="center"/>
          </w:tcPr>
          <w:p w14:paraId="7A96CCEC">
            <w:pPr>
              <w:jc w:val="center"/>
              <w:rPr>
                <w:rFonts w:ascii="宋体" w:hAnsi="宋体"/>
                <w:b/>
                <w:bCs/>
                <w:kern w:val="2"/>
                <w:sz w:val="21"/>
                <w:szCs w:val="21"/>
              </w:rPr>
            </w:pPr>
            <w:r>
              <w:rPr>
                <w:rFonts w:hint="eastAsia" w:ascii="宋体" w:hAnsi="宋体"/>
                <w:b/>
                <w:bCs/>
                <w:kern w:val="2"/>
                <w:sz w:val="21"/>
                <w:szCs w:val="21"/>
              </w:rPr>
              <w:t>沟通方式、渠道</w:t>
            </w:r>
          </w:p>
        </w:tc>
        <w:tc>
          <w:tcPr>
            <w:tcW w:w="1355" w:type="pct"/>
            <w:vMerge w:val="restart"/>
            <w:shd w:val="clear" w:color="auto" w:fill="938953"/>
            <w:vAlign w:val="center"/>
          </w:tcPr>
          <w:p w14:paraId="06407838">
            <w:pPr>
              <w:jc w:val="center"/>
              <w:rPr>
                <w:rFonts w:ascii="宋体" w:hAnsi="宋体"/>
                <w:b/>
                <w:bCs/>
                <w:kern w:val="2"/>
                <w:sz w:val="21"/>
                <w:szCs w:val="21"/>
              </w:rPr>
            </w:pPr>
            <w:r>
              <w:rPr>
                <w:rFonts w:hint="eastAsia" w:ascii="宋体" w:hAnsi="宋体"/>
                <w:b/>
                <w:bCs/>
                <w:kern w:val="2"/>
                <w:sz w:val="21"/>
                <w:szCs w:val="21"/>
              </w:rPr>
              <w:t>沟通内容</w:t>
            </w:r>
          </w:p>
        </w:tc>
        <w:tc>
          <w:tcPr>
            <w:tcW w:w="516" w:type="pct"/>
            <w:vMerge w:val="restart"/>
            <w:shd w:val="clear" w:color="auto" w:fill="938953"/>
            <w:vAlign w:val="center"/>
          </w:tcPr>
          <w:p w14:paraId="7250A0D5">
            <w:pPr>
              <w:jc w:val="center"/>
              <w:rPr>
                <w:rFonts w:ascii="宋体" w:hAnsi="宋体"/>
                <w:b/>
                <w:bCs/>
                <w:kern w:val="2"/>
                <w:sz w:val="21"/>
                <w:szCs w:val="21"/>
              </w:rPr>
            </w:pPr>
            <w:r>
              <w:rPr>
                <w:rFonts w:hint="eastAsia" w:ascii="宋体" w:hAnsi="宋体"/>
                <w:b/>
                <w:bCs/>
                <w:kern w:val="2"/>
                <w:sz w:val="21"/>
                <w:szCs w:val="21"/>
              </w:rPr>
              <w:t>时间</w:t>
            </w:r>
          </w:p>
        </w:tc>
        <w:tc>
          <w:tcPr>
            <w:tcW w:w="627" w:type="pct"/>
            <w:gridSpan w:val="2"/>
            <w:shd w:val="clear" w:color="auto" w:fill="938953"/>
          </w:tcPr>
          <w:p w14:paraId="1A36F6D4">
            <w:pPr>
              <w:jc w:val="center"/>
              <w:rPr>
                <w:rFonts w:ascii="宋体" w:hAnsi="宋体"/>
                <w:b/>
                <w:bCs/>
                <w:kern w:val="2"/>
                <w:sz w:val="21"/>
                <w:szCs w:val="21"/>
              </w:rPr>
            </w:pPr>
            <w:r>
              <w:rPr>
                <w:rFonts w:hint="eastAsia" w:ascii="宋体" w:hAnsi="宋体"/>
                <w:b/>
                <w:bCs/>
                <w:kern w:val="2"/>
                <w:sz w:val="21"/>
                <w:szCs w:val="21"/>
              </w:rPr>
              <w:t>效果评价</w:t>
            </w:r>
          </w:p>
        </w:tc>
      </w:tr>
      <w:tr w14:paraId="27DC38B9">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295" w:hRule="atLeast"/>
          <w:tblHeader/>
          <w:jc w:val="center"/>
        </w:trPr>
        <w:tc>
          <w:tcPr>
            <w:tcW w:w="992" w:type="pct"/>
            <w:vMerge w:val="continue"/>
            <w:shd w:val="clear" w:color="auto" w:fill="938953"/>
            <w:vAlign w:val="center"/>
          </w:tcPr>
          <w:p w14:paraId="4999D1E4">
            <w:pPr>
              <w:jc w:val="center"/>
              <w:rPr>
                <w:rFonts w:ascii="宋体" w:hAnsi="宋体"/>
                <w:b/>
                <w:bCs/>
                <w:kern w:val="2"/>
                <w:sz w:val="21"/>
                <w:szCs w:val="21"/>
              </w:rPr>
            </w:pPr>
          </w:p>
        </w:tc>
        <w:tc>
          <w:tcPr>
            <w:tcW w:w="1508" w:type="pct"/>
            <w:vMerge w:val="continue"/>
            <w:shd w:val="clear" w:color="auto" w:fill="938953"/>
            <w:vAlign w:val="center"/>
          </w:tcPr>
          <w:p w14:paraId="2D15E920">
            <w:pPr>
              <w:jc w:val="center"/>
              <w:rPr>
                <w:rFonts w:ascii="宋体" w:hAnsi="宋体"/>
                <w:b/>
                <w:bCs/>
                <w:kern w:val="2"/>
                <w:sz w:val="21"/>
                <w:szCs w:val="21"/>
              </w:rPr>
            </w:pPr>
          </w:p>
        </w:tc>
        <w:tc>
          <w:tcPr>
            <w:tcW w:w="1355" w:type="pct"/>
            <w:vMerge w:val="continue"/>
            <w:shd w:val="clear" w:color="auto" w:fill="938953"/>
            <w:vAlign w:val="center"/>
          </w:tcPr>
          <w:p w14:paraId="3C9D4D89">
            <w:pPr>
              <w:jc w:val="center"/>
              <w:rPr>
                <w:rFonts w:ascii="宋体" w:hAnsi="宋体"/>
                <w:b/>
                <w:bCs/>
                <w:kern w:val="2"/>
                <w:sz w:val="21"/>
                <w:szCs w:val="21"/>
              </w:rPr>
            </w:pPr>
          </w:p>
        </w:tc>
        <w:tc>
          <w:tcPr>
            <w:tcW w:w="516" w:type="pct"/>
            <w:vMerge w:val="continue"/>
            <w:shd w:val="clear" w:color="auto" w:fill="938953"/>
            <w:vAlign w:val="center"/>
          </w:tcPr>
          <w:p w14:paraId="79B46399">
            <w:pPr>
              <w:jc w:val="center"/>
              <w:rPr>
                <w:rFonts w:ascii="宋体" w:hAnsi="宋体"/>
                <w:b/>
                <w:bCs/>
                <w:kern w:val="2"/>
                <w:sz w:val="21"/>
                <w:szCs w:val="21"/>
              </w:rPr>
            </w:pPr>
          </w:p>
        </w:tc>
        <w:tc>
          <w:tcPr>
            <w:tcW w:w="313" w:type="pct"/>
            <w:shd w:val="clear" w:color="auto" w:fill="938953"/>
          </w:tcPr>
          <w:p w14:paraId="185DD4D4">
            <w:pPr>
              <w:jc w:val="center"/>
              <w:rPr>
                <w:rFonts w:ascii="宋体" w:hAnsi="宋体"/>
                <w:b/>
                <w:bCs/>
                <w:kern w:val="2"/>
                <w:sz w:val="21"/>
                <w:szCs w:val="21"/>
              </w:rPr>
            </w:pPr>
            <w:r>
              <w:rPr>
                <w:rFonts w:hint="eastAsia" w:ascii="宋体" w:hAnsi="宋体"/>
                <w:b/>
                <w:bCs/>
                <w:kern w:val="2"/>
                <w:sz w:val="21"/>
                <w:szCs w:val="21"/>
              </w:rPr>
              <w:t>双</w:t>
            </w:r>
          </w:p>
        </w:tc>
        <w:tc>
          <w:tcPr>
            <w:tcW w:w="314" w:type="pct"/>
            <w:shd w:val="clear" w:color="auto" w:fill="938953"/>
          </w:tcPr>
          <w:p w14:paraId="62BA8063">
            <w:pPr>
              <w:jc w:val="center"/>
              <w:rPr>
                <w:rFonts w:ascii="宋体" w:hAnsi="宋体"/>
                <w:b/>
                <w:bCs/>
                <w:kern w:val="2"/>
                <w:sz w:val="21"/>
                <w:szCs w:val="21"/>
              </w:rPr>
            </w:pPr>
            <w:r>
              <w:rPr>
                <w:rFonts w:hint="eastAsia" w:ascii="宋体" w:hAnsi="宋体"/>
                <w:b/>
                <w:bCs/>
                <w:kern w:val="2"/>
                <w:sz w:val="21"/>
                <w:szCs w:val="21"/>
              </w:rPr>
              <w:t>单</w:t>
            </w:r>
          </w:p>
        </w:tc>
      </w:tr>
      <w:tr w14:paraId="2BA776EC">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295" w:hRule="atLeast"/>
          <w:jc w:val="center"/>
        </w:trPr>
        <w:tc>
          <w:tcPr>
            <w:tcW w:w="992" w:type="pct"/>
            <w:vMerge w:val="restart"/>
            <w:vAlign w:val="center"/>
          </w:tcPr>
          <w:p w14:paraId="4678D41E">
            <w:pPr>
              <w:spacing w:line="240" w:lineRule="exact"/>
              <w:jc w:val="center"/>
              <w:rPr>
                <w:rFonts w:ascii="宋体" w:hAnsi="宋体"/>
                <w:kern w:val="2"/>
                <w:sz w:val="21"/>
                <w:szCs w:val="21"/>
              </w:rPr>
            </w:pPr>
            <w:r>
              <w:rPr>
                <w:rFonts w:hint="eastAsia" w:ascii="宋体" w:hAnsi="宋体"/>
                <w:kern w:val="2"/>
                <w:sz w:val="21"/>
                <w:szCs w:val="21"/>
              </w:rPr>
              <w:t>内部员工</w:t>
            </w:r>
          </w:p>
          <w:p w14:paraId="246E649B">
            <w:pPr>
              <w:spacing w:line="240" w:lineRule="exact"/>
              <w:jc w:val="center"/>
              <w:rPr>
                <w:rFonts w:ascii="宋体" w:hAnsi="宋体"/>
                <w:kern w:val="2"/>
                <w:sz w:val="21"/>
                <w:szCs w:val="21"/>
              </w:rPr>
            </w:pPr>
          </w:p>
        </w:tc>
        <w:tc>
          <w:tcPr>
            <w:tcW w:w="1508" w:type="pct"/>
            <w:vAlign w:val="center"/>
          </w:tcPr>
          <w:p w14:paraId="3A1662C1">
            <w:pPr>
              <w:jc w:val="center"/>
              <w:rPr>
                <w:rFonts w:ascii="宋体" w:hAnsi="宋体"/>
                <w:kern w:val="2"/>
                <w:sz w:val="21"/>
                <w:szCs w:val="21"/>
              </w:rPr>
            </w:pPr>
            <w:r>
              <w:rPr>
                <w:rFonts w:hint="eastAsia" w:ascii="宋体" w:hAnsi="宋体"/>
                <w:kern w:val="2"/>
                <w:sz w:val="21"/>
                <w:szCs w:val="21"/>
              </w:rPr>
              <w:t>内部会议(包括年终总结和计划会、生产工作会、座谈会、职代计划、战略部署会)</w:t>
            </w:r>
          </w:p>
        </w:tc>
        <w:tc>
          <w:tcPr>
            <w:tcW w:w="1355" w:type="pct"/>
            <w:vAlign w:val="center"/>
          </w:tcPr>
          <w:p w14:paraId="07D754CB">
            <w:pPr>
              <w:jc w:val="center"/>
              <w:rPr>
                <w:rFonts w:ascii="宋体" w:hAnsi="宋体"/>
                <w:kern w:val="2"/>
                <w:sz w:val="21"/>
                <w:szCs w:val="21"/>
              </w:rPr>
            </w:pPr>
            <w:r>
              <w:rPr>
                <w:rFonts w:hint="eastAsia" w:ascii="宋体" w:hAnsi="宋体"/>
                <w:kern w:val="2"/>
                <w:sz w:val="21"/>
                <w:szCs w:val="21"/>
              </w:rPr>
              <w:t>企业战略、年度总结和计划、生产总结及计划、厂务公开</w:t>
            </w:r>
          </w:p>
        </w:tc>
        <w:tc>
          <w:tcPr>
            <w:tcW w:w="516" w:type="pct"/>
            <w:vAlign w:val="center"/>
          </w:tcPr>
          <w:p w14:paraId="6ADC9894">
            <w:pPr>
              <w:jc w:val="center"/>
              <w:rPr>
                <w:rFonts w:ascii="宋体" w:hAnsi="宋体"/>
                <w:kern w:val="2"/>
                <w:sz w:val="21"/>
                <w:szCs w:val="21"/>
              </w:rPr>
            </w:pPr>
            <w:r>
              <w:rPr>
                <w:rFonts w:hint="eastAsia" w:ascii="宋体" w:hAnsi="宋体"/>
                <w:kern w:val="2"/>
                <w:sz w:val="21"/>
                <w:szCs w:val="21"/>
              </w:rPr>
              <w:t>按相关会议的周期</w:t>
            </w:r>
          </w:p>
        </w:tc>
        <w:tc>
          <w:tcPr>
            <w:tcW w:w="313" w:type="pct"/>
            <w:vAlign w:val="center"/>
          </w:tcPr>
          <w:p w14:paraId="2BD665BF">
            <w:pPr>
              <w:jc w:val="center"/>
              <w:rPr>
                <w:rFonts w:ascii="宋体" w:hAnsi="宋体"/>
                <w:kern w:val="2"/>
                <w:sz w:val="21"/>
                <w:szCs w:val="21"/>
              </w:rPr>
            </w:pPr>
            <w:r>
              <w:rPr>
                <w:rFonts w:hint="eastAsia" w:ascii="宋体" w:hAnsi="宋体"/>
                <w:kern w:val="2"/>
                <w:sz w:val="21"/>
                <w:szCs w:val="21"/>
              </w:rPr>
              <w:t>★</w:t>
            </w:r>
          </w:p>
        </w:tc>
        <w:tc>
          <w:tcPr>
            <w:tcW w:w="314" w:type="pct"/>
            <w:vAlign w:val="center"/>
          </w:tcPr>
          <w:p w14:paraId="5B0A0D27">
            <w:pPr>
              <w:jc w:val="center"/>
              <w:rPr>
                <w:rFonts w:ascii="宋体" w:hAnsi="宋体"/>
                <w:kern w:val="2"/>
                <w:sz w:val="21"/>
                <w:szCs w:val="21"/>
              </w:rPr>
            </w:pPr>
            <w:r>
              <w:rPr>
                <w:rFonts w:hint="eastAsia" w:ascii="宋体" w:hAnsi="宋体"/>
                <w:kern w:val="2"/>
                <w:sz w:val="21"/>
                <w:szCs w:val="21"/>
              </w:rPr>
              <w:t>—</w:t>
            </w:r>
          </w:p>
        </w:tc>
      </w:tr>
      <w:tr w14:paraId="0A6DF959">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295" w:hRule="atLeast"/>
          <w:jc w:val="center"/>
        </w:trPr>
        <w:tc>
          <w:tcPr>
            <w:tcW w:w="992" w:type="pct"/>
            <w:vMerge w:val="continue"/>
            <w:vAlign w:val="center"/>
          </w:tcPr>
          <w:p w14:paraId="528A08D6">
            <w:pPr>
              <w:spacing w:line="240" w:lineRule="exact"/>
              <w:jc w:val="center"/>
              <w:rPr>
                <w:rFonts w:ascii="宋体" w:hAnsi="宋体"/>
                <w:kern w:val="2"/>
                <w:sz w:val="21"/>
                <w:szCs w:val="21"/>
              </w:rPr>
            </w:pPr>
          </w:p>
        </w:tc>
        <w:tc>
          <w:tcPr>
            <w:tcW w:w="1508" w:type="pct"/>
            <w:vAlign w:val="center"/>
          </w:tcPr>
          <w:p w14:paraId="1481D010">
            <w:pPr>
              <w:jc w:val="center"/>
              <w:rPr>
                <w:rFonts w:ascii="宋体" w:hAnsi="宋体"/>
                <w:kern w:val="2"/>
                <w:sz w:val="21"/>
                <w:szCs w:val="21"/>
              </w:rPr>
            </w:pPr>
            <w:r>
              <w:rPr>
                <w:rFonts w:hint="eastAsia" w:ascii="宋体" w:hAnsi="宋体"/>
                <w:kern w:val="2"/>
                <w:sz w:val="21"/>
                <w:szCs w:val="21"/>
              </w:rPr>
              <w:t>总经理接待日/总经理信箱</w:t>
            </w:r>
          </w:p>
        </w:tc>
        <w:tc>
          <w:tcPr>
            <w:tcW w:w="1355" w:type="pct"/>
            <w:vAlign w:val="center"/>
          </w:tcPr>
          <w:p w14:paraId="5317B2E1">
            <w:pPr>
              <w:jc w:val="center"/>
              <w:rPr>
                <w:rFonts w:ascii="宋体" w:hAnsi="宋体"/>
                <w:kern w:val="2"/>
                <w:sz w:val="21"/>
                <w:szCs w:val="21"/>
              </w:rPr>
            </w:pPr>
            <w:r>
              <w:rPr>
                <w:rFonts w:hint="eastAsia" w:ascii="宋体" w:hAnsi="宋体"/>
                <w:kern w:val="2"/>
                <w:sz w:val="21"/>
                <w:szCs w:val="21"/>
              </w:rPr>
              <w:t>需要沟通的内容</w:t>
            </w:r>
          </w:p>
        </w:tc>
        <w:tc>
          <w:tcPr>
            <w:tcW w:w="516" w:type="pct"/>
            <w:vAlign w:val="center"/>
          </w:tcPr>
          <w:p w14:paraId="4F363D00">
            <w:pPr>
              <w:jc w:val="center"/>
              <w:rPr>
                <w:rFonts w:ascii="宋体" w:hAnsi="宋体"/>
                <w:kern w:val="2"/>
                <w:sz w:val="21"/>
                <w:szCs w:val="21"/>
              </w:rPr>
            </w:pPr>
            <w:r>
              <w:rPr>
                <w:rFonts w:hint="eastAsia" w:ascii="宋体" w:hAnsi="宋体"/>
                <w:kern w:val="2"/>
                <w:sz w:val="21"/>
                <w:szCs w:val="21"/>
              </w:rPr>
              <w:t>定期/24小时</w:t>
            </w:r>
          </w:p>
        </w:tc>
        <w:tc>
          <w:tcPr>
            <w:tcW w:w="313" w:type="pct"/>
            <w:vAlign w:val="center"/>
          </w:tcPr>
          <w:p w14:paraId="6ECF0BFA">
            <w:pPr>
              <w:jc w:val="center"/>
              <w:rPr>
                <w:rFonts w:ascii="宋体" w:hAnsi="宋体"/>
                <w:kern w:val="2"/>
                <w:sz w:val="21"/>
                <w:szCs w:val="21"/>
              </w:rPr>
            </w:pPr>
            <w:r>
              <w:rPr>
                <w:rFonts w:hint="eastAsia" w:ascii="宋体" w:hAnsi="宋体"/>
                <w:kern w:val="2"/>
                <w:sz w:val="21"/>
                <w:szCs w:val="21"/>
              </w:rPr>
              <w:t>★</w:t>
            </w:r>
          </w:p>
        </w:tc>
        <w:tc>
          <w:tcPr>
            <w:tcW w:w="314" w:type="pct"/>
            <w:vAlign w:val="center"/>
          </w:tcPr>
          <w:p w14:paraId="180B7401">
            <w:pPr>
              <w:jc w:val="center"/>
              <w:rPr>
                <w:rFonts w:ascii="宋体" w:hAnsi="宋体"/>
                <w:kern w:val="2"/>
                <w:sz w:val="21"/>
                <w:szCs w:val="21"/>
              </w:rPr>
            </w:pPr>
            <w:r>
              <w:rPr>
                <w:rFonts w:hint="eastAsia" w:ascii="宋体" w:hAnsi="宋体"/>
                <w:kern w:val="2"/>
                <w:sz w:val="21"/>
                <w:szCs w:val="21"/>
              </w:rPr>
              <w:t>—</w:t>
            </w:r>
          </w:p>
        </w:tc>
      </w:tr>
      <w:tr w14:paraId="57653BB2">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295" w:hRule="atLeast"/>
          <w:jc w:val="center"/>
        </w:trPr>
        <w:tc>
          <w:tcPr>
            <w:tcW w:w="992" w:type="pct"/>
            <w:vMerge w:val="continue"/>
            <w:vAlign w:val="center"/>
          </w:tcPr>
          <w:p w14:paraId="38037A8A">
            <w:pPr>
              <w:spacing w:line="240" w:lineRule="exact"/>
              <w:jc w:val="center"/>
              <w:rPr>
                <w:rFonts w:ascii="宋体" w:hAnsi="宋体"/>
                <w:kern w:val="2"/>
                <w:sz w:val="21"/>
                <w:szCs w:val="21"/>
              </w:rPr>
            </w:pPr>
          </w:p>
        </w:tc>
        <w:tc>
          <w:tcPr>
            <w:tcW w:w="1508" w:type="pct"/>
            <w:vAlign w:val="center"/>
          </w:tcPr>
          <w:p w14:paraId="7880C43D">
            <w:pPr>
              <w:rPr>
                <w:rFonts w:ascii="宋体" w:hAnsi="宋体"/>
                <w:kern w:val="2"/>
                <w:sz w:val="21"/>
                <w:szCs w:val="21"/>
              </w:rPr>
            </w:pPr>
            <w:r>
              <w:rPr>
                <w:rFonts w:hint="eastAsia" w:ascii="宋体" w:hAnsi="宋体"/>
                <w:kern w:val="2"/>
                <w:sz w:val="21"/>
                <w:szCs w:val="21"/>
              </w:rPr>
              <w:t>自制宣传片/员工手册/满意度调查)</w:t>
            </w:r>
          </w:p>
        </w:tc>
        <w:tc>
          <w:tcPr>
            <w:tcW w:w="1355" w:type="pct"/>
            <w:vAlign w:val="center"/>
          </w:tcPr>
          <w:p w14:paraId="7EF55CA1">
            <w:pPr>
              <w:jc w:val="center"/>
              <w:rPr>
                <w:rFonts w:ascii="宋体" w:hAnsi="宋体"/>
                <w:kern w:val="2"/>
                <w:sz w:val="21"/>
                <w:szCs w:val="21"/>
              </w:rPr>
            </w:pPr>
            <w:r>
              <w:rPr>
                <w:rFonts w:hint="eastAsia" w:ascii="宋体" w:hAnsi="宋体"/>
                <w:kern w:val="2"/>
                <w:sz w:val="21"/>
                <w:szCs w:val="21"/>
              </w:rPr>
              <w:t>企业文化、重大事件、技术发展、相关调查</w:t>
            </w:r>
          </w:p>
        </w:tc>
        <w:tc>
          <w:tcPr>
            <w:tcW w:w="516" w:type="pct"/>
            <w:vAlign w:val="center"/>
          </w:tcPr>
          <w:p w14:paraId="25EF9216">
            <w:pPr>
              <w:jc w:val="center"/>
              <w:rPr>
                <w:rFonts w:ascii="宋体" w:hAnsi="宋体"/>
                <w:kern w:val="2"/>
                <w:sz w:val="21"/>
                <w:szCs w:val="21"/>
              </w:rPr>
            </w:pPr>
            <w:r>
              <w:rPr>
                <w:rFonts w:hint="eastAsia" w:ascii="宋体" w:hAnsi="宋体"/>
                <w:kern w:val="2"/>
                <w:sz w:val="21"/>
                <w:szCs w:val="21"/>
              </w:rPr>
              <w:t>按相关会议周期</w:t>
            </w:r>
          </w:p>
        </w:tc>
        <w:tc>
          <w:tcPr>
            <w:tcW w:w="313" w:type="pct"/>
            <w:vAlign w:val="center"/>
          </w:tcPr>
          <w:p w14:paraId="72C42ABC">
            <w:pPr>
              <w:jc w:val="center"/>
              <w:rPr>
                <w:rFonts w:ascii="宋体" w:hAnsi="宋体"/>
                <w:kern w:val="2"/>
                <w:sz w:val="21"/>
                <w:szCs w:val="21"/>
              </w:rPr>
            </w:pPr>
            <w:r>
              <w:rPr>
                <w:rFonts w:hint="eastAsia" w:ascii="宋体" w:hAnsi="宋体"/>
                <w:kern w:val="2"/>
                <w:sz w:val="21"/>
                <w:szCs w:val="21"/>
              </w:rPr>
              <w:t>—</w:t>
            </w:r>
          </w:p>
        </w:tc>
        <w:tc>
          <w:tcPr>
            <w:tcW w:w="314" w:type="pct"/>
            <w:vAlign w:val="center"/>
          </w:tcPr>
          <w:p w14:paraId="6AA858D8">
            <w:pPr>
              <w:jc w:val="center"/>
              <w:rPr>
                <w:rFonts w:ascii="宋体" w:hAnsi="宋体"/>
                <w:kern w:val="2"/>
                <w:sz w:val="21"/>
                <w:szCs w:val="21"/>
              </w:rPr>
            </w:pPr>
            <w:r>
              <w:rPr>
                <w:rFonts w:hint="eastAsia" w:ascii="宋体" w:hAnsi="宋体"/>
                <w:kern w:val="2"/>
                <w:sz w:val="21"/>
                <w:szCs w:val="21"/>
              </w:rPr>
              <w:t>★</w:t>
            </w:r>
          </w:p>
        </w:tc>
      </w:tr>
      <w:tr w14:paraId="1EF43146">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295" w:hRule="atLeast"/>
          <w:jc w:val="center"/>
        </w:trPr>
        <w:tc>
          <w:tcPr>
            <w:tcW w:w="992" w:type="pct"/>
            <w:vMerge w:val="continue"/>
            <w:vAlign w:val="center"/>
          </w:tcPr>
          <w:p w14:paraId="61B004B6">
            <w:pPr>
              <w:spacing w:line="240" w:lineRule="exact"/>
              <w:jc w:val="center"/>
              <w:rPr>
                <w:rFonts w:ascii="宋体" w:hAnsi="宋体"/>
                <w:kern w:val="2"/>
                <w:sz w:val="21"/>
                <w:szCs w:val="21"/>
              </w:rPr>
            </w:pPr>
          </w:p>
        </w:tc>
        <w:tc>
          <w:tcPr>
            <w:tcW w:w="1508" w:type="pct"/>
            <w:vAlign w:val="center"/>
          </w:tcPr>
          <w:p w14:paraId="38B1AD48">
            <w:pPr>
              <w:jc w:val="center"/>
              <w:rPr>
                <w:rFonts w:ascii="宋体" w:hAnsi="宋体"/>
                <w:kern w:val="2"/>
                <w:sz w:val="21"/>
                <w:szCs w:val="21"/>
              </w:rPr>
            </w:pPr>
            <w:r>
              <w:rPr>
                <w:rFonts w:hint="eastAsia" w:ascii="宋体" w:hAnsi="宋体"/>
                <w:kern w:val="2"/>
                <w:sz w:val="21"/>
                <w:szCs w:val="21"/>
              </w:rPr>
              <w:t>信息系统平台（信息管理集成系统/企业网络短消息）</w:t>
            </w:r>
          </w:p>
        </w:tc>
        <w:tc>
          <w:tcPr>
            <w:tcW w:w="1355" w:type="pct"/>
            <w:vAlign w:val="center"/>
          </w:tcPr>
          <w:p w14:paraId="135183F7">
            <w:pPr>
              <w:jc w:val="center"/>
              <w:rPr>
                <w:rFonts w:ascii="宋体" w:hAnsi="宋体"/>
                <w:kern w:val="2"/>
                <w:sz w:val="21"/>
                <w:szCs w:val="21"/>
              </w:rPr>
            </w:pPr>
            <w:r>
              <w:rPr>
                <w:rFonts w:hint="eastAsia" w:ascii="宋体" w:hAnsi="宋体"/>
                <w:kern w:val="2"/>
                <w:sz w:val="21"/>
                <w:szCs w:val="21"/>
              </w:rPr>
              <w:t>管理信息、实时信息及动态</w:t>
            </w:r>
          </w:p>
        </w:tc>
        <w:tc>
          <w:tcPr>
            <w:tcW w:w="516" w:type="pct"/>
            <w:vAlign w:val="center"/>
          </w:tcPr>
          <w:p w14:paraId="39406848">
            <w:pPr>
              <w:jc w:val="center"/>
              <w:rPr>
                <w:rFonts w:ascii="宋体" w:hAnsi="宋体"/>
                <w:kern w:val="2"/>
                <w:sz w:val="21"/>
                <w:szCs w:val="21"/>
              </w:rPr>
            </w:pPr>
            <w:r>
              <w:rPr>
                <w:rFonts w:hint="eastAsia" w:ascii="宋体" w:hAnsi="宋体"/>
                <w:kern w:val="2"/>
                <w:sz w:val="21"/>
                <w:szCs w:val="21"/>
              </w:rPr>
              <w:t>实时</w:t>
            </w:r>
          </w:p>
        </w:tc>
        <w:tc>
          <w:tcPr>
            <w:tcW w:w="313" w:type="pct"/>
            <w:vAlign w:val="center"/>
          </w:tcPr>
          <w:p w14:paraId="76ED6BEB">
            <w:pPr>
              <w:jc w:val="center"/>
              <w:rPr>
                <w:rFonts w:ascii="宋体" w:hAnsi="宋体"/>
                <w:kern w:val="2"/>
                <w:sz w:val="21"/>
                <w:szCs w:val="21"/>
              </w:rPr>
            </w:pPr>
            <w:r>
              <w:rPr>
                <w:rFonts w:hint="eastAsia" w:ascii="宋体" w:hAnsi="宋体"/>
                <w:kern w:val="2"/>
                <w:sz w:val="21"/>
                <w:szCs w:val="21"/>
              </w:rPr>
              <w:t>★</w:t>
            </w:r>
          </w:p>
        </w:tc>
        <w:tc>
          <w:tcPr>
            <w:tcW w:w="314" w:type="pct"/>
            <w:vAlign w:val="center"/>
          </w:tcPr>
          <w:p w14:paraId="0D520771">
            <w:pPr>
              <w:jc w:val="center"/>
              <w:rPr>
                <w:rFonts w:ascii="宋体" w:hAnsi="宋体"/>
                <w:kern w:val="2"/>
                <w:sz w:val="21"/>
                <w:szCs w:val="21"/>
              </w:rPr>
            </w:pPr>
            <w:r>
              <w:rPr>
                <w:rFonts w:hint="eastAsia" w:ascii="宋体" w:hAnsi="宋体"/>
                <w:kern w:val="2"/>
                <w:sz w:val="21"/>
                <w:szCs w:val="21"/>
              </w:rPr>
              <w:t>—</w:t>
            </w:r>
          </w:p>
        </w:tc>
      </w:tr>
      <w:tr w14:paraId="499458A3">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295" w:hRule="atLeast"/>
          <w:jc w:val="center"/>
        </w:trPr>
        <w:tc>
          <w:tcPr>
            <w:tcW w:w="992" w:type="pct"/>
            <w:vMerge w:val="restart"/>
            <w:vAlign w:val="center"/>
          </w:tcPr>
          <w:p w14:paraId="19131F40">
            <w:pPr>
              <w:spacing w:line="240" w:lineRule="exact"/>
              <w:jc w:val="center"/>
              <w:rPr>
                <w:rFonts w:ascii="宋体" w:hAnsi="宋体"/>
                <w:kern w:val="2"/>
                <w:sz w:val="21"/>
                <w:szCs w:val="21"/>
              </w:rPr>
            </w:pPr>
            <w:r>
              <w:rPr>
                <w:rFonts w:hint="eastAsia" w:ascii="宋体" w:hAnsi="宋体"/>
                <w:kern w:val="2"/>
                <w:sz w:val="21"/>
                <w:szCs w:val="21"/>
              </w:rPr>
              <w:t>供方和合作伙伴（供应商、会计师事务所、律师事务所、银行、券商、高校等）</w:t>
            </w:r>
          </w:p>
        </w:tc>
        <w:tc>
          <w:tcPr>
            <w:tcW w:w="1508" w:type="pct"/>
            <w:vAlign w:val="center"/>
          </w:tcPr>
          <w:p w14:paraId="0DA2A568">
            <w:pPr>
              <w:jc w:val="center"/>
              <w:rPr>
                <w:rFonts w:ascii="宋体" w:hAnsi="宋体"/>
                <w:kern w:val="2"/>
                <w:sz w:val="21"/>
                <w:szCs w:val="21"/>
              </w:rPr>
            </w:pPr>
            <w:r>
              <w:rPr>
                <w:rFonts w:hint="eastAsia" w:ascii="宋体" w:hAnsi="宋体"/>
                <w:kern w:val="2"/>
                <w:sz w:val="21"/>
                <w:szCs w:val="21"/>
              </w:rPr>
              <w:t>特殊方式：上市公司公告、展示厅</w:t>
            </w:r>
          </w:p>
        </w:tc>
        <w:tc>
          <w:tcPr>
            <w:tcW w:w="1355" w:type="pct"/>
            <w:vAlign w:val="center"/>
          </w:tcPr>
          <w:p w14:paraId="33B04160">
            <w:pPr>
              <w:jc w:val="center"/>
              <w:rPr>
                <w:rFonts w:ascii="宋体" w:hAnsi="宋体"/>
                <w:kern w:val="2"/>
                <w:sz w:val="21"/>
                <w:szCs w:val="21"/>
              </w:rPr>
            </w:pPr>
            <w:r>
              <w:rPr>
                <w:rFonts w:hint="eastAsia" w:ascii="宋体" w:hAnsi="宋体"/>
                <w:kern w:val="2"/>
                <w:sz w:val="21"/>
                <w:szCs w:val="21"/>
              </w:rPr>
              <w:t>常规内容：企业价值观、发展方向和绩效目标，以及企业的技术、经营能力及规模</w:t>
            </w:r>
          </w:p>
        </w:tc>
        <w:tc>
          <w:tcPr>
            <w:tcW w:w="516" w:type="pct"/>
            <w:vAlign w:val="center"/>
          </w:tcPr>
          <w:p w14:paraId="0BC8DB5E">
            <w:pPr>
              <w:jc w:val="center"/>
              <w:rPr>
                <w:rFonts w:ascii="宋体" w:hAnsi="宋体"/>
                <w:kern w:val="2"/>
                <w:sz w:val="21"/>
                <w:szCs w:val="21"/>
              </w:rPr>
            </w:pPr>
            <w:r>
              <w:rPr>
                <w:rFonts w:hint="eastAsia" w:ascii="宋体" w:hAnsi="宋体"/>
                <w:kern w:val="2"/>
                <w:sz w:val="21"/>
                <w:szCs w:val="21"/>
              </w:rPr>
              <w:t>根据媒介发布周期</w:t>
            </w:r>
          </w:p>
        </w:tc>
        <w:tc>
          <w:tcPr>
            <w:tcW w:w="313" w:type="pct"/>
            <w:vAlign w:val="center"/>
          </w:tcPr>
          <w:p w14:paraId="3394504F">
            <w:pPr>
              <w:jc w:val="center"/>
              <w:rPr>
                <w:rFonts w:ascii="宋体" w:hAnsi="宋体"/>
                <w:kern w:val="2"/>
                <w:sz w:val="21"/>
                <w:szCs w:val="21"/>
              </w:rPr>
            </w:pPr>
            <w:r>
              <w:rPr>
                <w:rFonts w:hint="eastAsia" w:ascii="宋体" w:hAnsi="宋体"/>
                <w:kern w:val="2"/>
                <w:sz w:val="21"/>
                <w:szCs w:val="21"/>
              </w:rPr>
              <w:t>—</w:t>
            </w:r>
          </w:p>
        </w:tc>
        <w:tc>
          <w:tcPr>
            <w:tcW w:w="314" w:type="pct"/>
            <w:vAlign w:val="center"/>
          </w:tcPr>
          <w:p w14:paraId="5BD9B227">
            <w:pPr>
              <w:jc w:val="center"/>
              <w:rPr>
                <w:rFonts w:ascii="宋体" w:hAnsi="宋体"/>
                <w:kern w:val="2"/>
                <w:sz w:val="21"/>
                <w:szCs w:val="21"/>
              </w:rPr>
            </w:pPr>
            <w:r>
              <w:rPr>
                <w:rFonts w:hint="eastAsia" w:ascii="宋体" w:hAnsi="宋体"/>
                <w:kern w:val="2"/>
                <w:sz w:val="21"/>
                <w:szCs w:val="21"/>
              </w:rPr>
              <w:t>★</w:t>
            </w:r>
          </w:p>
        </w:tc>
      </w:tr>
      <w:tr w14:paraId="5AF8C426">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295" w:hRule="atLeast"/>
          <w:jc w:val="center"/>
        </w:trPr>
        <w:tc>
          <w:tcPr>
            <w:tcW w:w="992" w:type="pct"/>
            <w:vMerge w:val="continue"/>
            <w:vAlign w:val="center"/>
          </w:tcPr>
          <w:p w14:paraId="5B193037">
            <w:pPr>
              <w:spacing w:line="240" w:lineRule="exact"/>
              <w:jc w:val="center"/>
              <w:rPr>
                <w:rFonts w:ascii="宋体" w:hAnsi="宋体"/>
                <w:kern w:val="2"/>
                <w:sz w:val="21"/>
                <w:szCs w:val="21"/>
              </w:rPr>
            </w:pPr>
          </w:p>
        </w:tc>
        <w:tc>
          <w:tcPr>
            <w:tcW w:w="1508" w:type="pct"/>
            <w:vAlign w:val="center"/>
          </w:tcPr>
          <w:p w14:paraId="705BA75D">
            <w:pPr>
              <w:jc w:val="center"/>
              <w:rPr>
                <w:rFonts w:ascii="宋体" w:hAnsi="宋体"/>
                <w:kern w:val="2"/>
                <w:sz w:val="21"/>
                <w:szCs w:val="21"/>
              </w:rPr>
            </w:pPr>
            <w:r>
              <w:rPr>
                <w:rFonts w:hint="eastAsia" w:ascii="宋体" w:hAnsi="宋体"/>
                <w:kern w:val="2"/>
                <w:sz w:val="21"/>
                <w:szCs w:val="21"/>
              </w:rPr>
              <w:t>通用方式：商务工作会议（分包招标会、评标会、年度分包总结会、参加公司管理体系评审、联谊、团拜会、科研工作会）</w:t>
            </w:r>
          </w:p>
        </w:tc>
        <w:tc>
          <w:tcPr>
            <w:tcW w:w="1355" w:type="pct"/>
            <w:vAlign w:val="center"/>
          </w:tcPr>
          <w:p w14:paraId="07307E85">
            <w:pPr>
              <w:rPr>
                <w:rFonts w:ascii="宋体" w:hAnsi="宋体"/>
                <w:kern w:val="2"/>
                <w:sz w:val="21"/>
                <w:szCs w:val="21"/>
              </w:rPr>
            </w:pPr>
            <w:r>
              <w:rPr>
                <w:rFonts w:hint="eastAsia" w:ascii="宋体" w:hAnsi="宋体"/>
                <w:kern w:val="2"/>
                <w:sz w:val="21"/>
                <w:szCs w:val="21"/>
              </w:rPr>
              <w:t>针对性内容：视与供应商、合作伙伴的业务合作内容而定</w:t>
            </w:r>
          </w:p>
          <w:p w14:paraId="6A725ECC">
            <w:pPr>
              <w:jc w:val="center"/>
              <w:rPr>
                <w:rFonts w:ascii="宋体" w:hAnsi="宋体"/>
                <w:kern w:val="2"/>
                <w:sz w:val="21"/>
                <w:szCs w:val="21"/>
              </w:rPr>
            </w:pPr>
          </w:p>
        </w:tc>
        <w:tc>
          <w:tcPr>
            <w:tcW w:w="516" w:type="pct"/>
            <w:vAlign w:val="center"/>
          </w:tcPr>
          <w:p w14:paraId="40ABB7F0">
            <w:pPr>
              <w:jc w:val="center"/>
              <w:rPr>
                <w:rFonts w:ascii="宋体" w:hAnsi="宋体"/>
                <w:kern w:val="2"/>
                <w:sz w:val="21"/>
                <w:szCs w:val="21"/>
              </w:rPr>
            </w:pPr>
            <w:r>
              <w:rPr>
                <w:rFonts w:hint="eastAsia" w:ascii="宋体" w:hAnsi="宋体"/>
                <w:kern w:val="2"/>
                <w:sz w:val="21"/>
                <w:szCs w:val="21"/>
              </w:rPr>
              <w:t>视业务需要</w:t>
            </w:r>
          </w:p>
        </w:tc>
        <w:tc>
          <w:tcPr>
            <w:tcW w:w="313" w:type="pct"/>
            <w:vAlign w:val="center"/>
          </w:tcPr>
          <w:p w14:paraId="16BC4762">
            <w:pPr>
              <w:jc w:val="center"/>
              <w:rPr>
                <w:rFonts w:ascii="宋体" w:hAnsi="宋体"/>
                <w:kern w:val="2"/>
                <w:sz w:val="21"/>
                <w:szCs w:val="21"/>
              </w:rPr>
            </w:pPr>
            <w:r>
              <w:rPr>
                <w:rFonts w:hint="eastAsia" w:ascii="宋体" w:hAnsi="宋体"/>
                <w:kern w:val="2"/>
                <w:sz w:val="21"/>
                <w:szCs w:val="21"/>
              </w:rPr>
              <w:t>★</w:t>
            </w:r>
          </w:p>
        </w:tc>
        <w:tc>
          <w:tcPr>
            <w:tcW w:w="314" w:type="pct"/>
            <w:vAlign w:val="center"/>
          </w:tcPr>
          <w:p w14:paraId="500B423B">
            <w:pPr>
              <w:jc w:val="center"/>
              <w:rPr>
                <w:rFonts w:ascii="宋体" w:hAnsi="宋体"/>
                <w:kern w:val="2"/>
                <w:sz w:val="21"/>
                <w:szCs w:val="21"/>
              </w:rPr>
            </w:pPr>
            <w:r>
              <w:rPr>
                <w:rFonts w:hint="eastAsia" w:ascii="宋体" w:hAnsi="宋体"/>
                <w:kern w:val="2"/>
                <w:sz w:val="21"/>
                <w:szCs w:val="21"/>
              </w:rPr>
              <w:t>—</w:t>
            </w:r>
          </w:p>
        </w:tc>
      </w:tr>
    </w:tbl>
    <w:p w14:paraId="1489C32B">
      <w:pPr>
        <w:tabs>
          <w:tab w:val="left" w:pos="6852"/>
        </w:tabs>
        <w:snapToGrid w:val="0"/>
        <w:spacing w:before="312" w:beforeLines="100" w:line="360" w:lineRule="auto"/>
        <w:rPr>
          <w:rFonts w:ascii="宋体" w:hAnsi="宋体"/>
          <w:b/>
        </w:rPr>
      </w:pPr>
      <w:r>
        <w:rPr>
          <w:rFonts w:hint="eastAsia" w:ascii="宋体" w:hAnsi="宋体"/>
          <w:b/>
        </w:rPr>
        <w:t>c) 营造诚信守法的环境和有利于改进创新、快速反应的环境</w:t>
      </w:r>
      <w:r>
        <w:rPr>
          <w:rFonts w:ascii="宋体" w:hAnsi="宋体"/>
          <w:b/>
        </w:rPr>
        <w:tab/>
      </w:r>
    </w:p>
    <w:p w14:paraId="0411088A">
      <w:pPr>
        <w:tabs>
          <w:tab w:val="right" w:leader="dot" w:pos="7560"/>
        </w:tabs>
        <w:spacing w:line="360" w:lineRule="auto"/>
        <w:ind w:firstLine="480" w:firstLineChars="200"/>
        <w:rPr>
          <w:rFonts w:ascii="宋体" w:hAnsi="宋体" w:cs="宋体"/>
          <w:lang w:val="zh-CN"/>
        </w:rPr>
      </w:pPr>
      <w:r>
        <w:rPr>
          <w:rFonts w:hint="eastAsia" w:ascii="宋体" w:hAnsi="宋体" w:cs="宋体"/>
          <w:lang w:val="zh-CN"/>
        </w:rPr>
        <w:t>公司对组织机构各部分进行了详细的统筹，规定各部门的职责与权限，形成了人力资源、财务等授权机制。公司设股东、董事会、总经理、部门等管理层次，每一层次的不同部门都具有特定职责权限，责任目标分工明确。</w:t>
      </w:r>
      <w:r>
        <w:rPr>
          <w:rFonts w:hint="eastAsia" w:ascii="宋体" w:hAnsi="宋体" w:cs="宋体"/>
        </w:rPr>
        <w:t>公司建立缩短新产品开发周期、订单化准时生产、加快服务响应速度、快速处理公关危机四大快速反应机制，以便更快速、高效地应对市场环境的激烈竞争。（见表4.1.2-2）</w:t>
      </w:r>
    </w:p>
    <w:p w14:paraId="1C81474A">
      <w:pPr>
        <w:snapToGrid w:val="0"/>
        <w:spacing w:line="360" w:lineRule="auto"/>
        <w:jc w:val="center"/>
        <w:rPr>
          <w:rFonts w:ascii="黑体" w:hAnsi="黑体" w:eastAsia="黑体"/>
          <w:b/>
          <w:sz w:val="21"/>
          <w:szCs w:val="21"/>
        </w:rPr>
      </w:pPr>
      <w:r>
        <w:rPr>
          <w:rFonts w:hint="eastAsia" w:ascii="黑体" w:hAnsi="黑体" w:eastAsia="黑体"/>
          <w:b/>
          <w:sz w:val="21"/>
          <w:szCs w:val="21"/>
        </w:rPr>
        <w:t>表4.1.2-2快速反应机制的建立</w:t>
      </w:r>
    </w:p>
    <w:p w14:paraId="26989B5B">
      <w:pPr>
        <w:snapToGrid w:val="0"/>
        <w:spacing w:line="360" w:lineRule="auto"/>
        <w:jc w:val="center"/>
        <w:rPr>
          <w:rFonts w:ascii="黑体" w:hAnsi="黑体" w:eastAsia="黑体"/>
          <w:b/>
          <w:sz w:val="21"/>
          <w:szCs w:val="21"/>
        </w:rPr>
      </w:pPr>
    </w:p>
    <w:tbl>
      <w:tblPr>
        <w:tblStyle w:val="22"/>
        <w:tblW w:w="9287" w:type="dxa"/>
        <w:jc w:val="center"/>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Layout w:type="fixed"/>
        <w:tblCellMar>
          <w:top w:w="0" w:type="dxa"/>
          <w:left w:w="108" w:type="dxa"/>
          <w:bottom w:w="0" w:type="dxa"/>
          <w:right w:w="108" w:type="dxa"/>
        </w:tblCellMar>
      </w:tblPr>
      <w:tblGrid>
        <w:gridCol w:w="420"/>
        <w:gridCol w:w="1540"/>
        <w:gridCol w:w="7327"/>
      </w:tblGrid>
      <w:tr w14:paraId="3E85169E">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364" w:hRule="atLeast"/>
          <w:tblHeader/>
          <w:jc w:val="center"/>
        </w:trPr>
        <w:tc>
          <w:tcPr>
            <w:tcW w:w="1960" w:type="dxa"/>
            <w:gridSpan w:val="2"/>
            <w:tcBorders>
              <w:top w:val="threeDEngrave" w:color="4F6228" w:sz="12" w:space="0"/>
              <w:bottom w:val="single" w:color="4F6228" w:sz="6" w:space="0"/>
            </w:tcBorders>
            <w:shd w:val="clear" w:color="auto" w:fill="948A54"/>
            <w:vAlign w:val="center"/>
          </w:tcPr>
          <w:p w14:paraId="478CB1BF">
            <w:pPr>
              <w:tabs>
                <w:tab w:val="left" w:pos="1985"/>
                <w:tab w:val="left" w:pos="8820"/>
                <w:tab w:val="left" w:pos="9000"/>
              </w:tabs>
              <w:jc w:val="center"/>
              <w:rPr>
                <w:b/>
                <w:color w:val="FFFFFF"/>
                <w:kern w:val="2"/>
                <w:sz w:val="21"/>
                <w:szCs w:val="21"/>
              </w:rPr>
            </w:pPr>
            <w:r>
              <w:rPr>
                <w:rFonts w:hint="eastAsia"/>
                <w:b/>
                <w:color w:val="FFFFFF"/>
                <w:kern w:val="2"/>
                <w:sz w:val="21"/>
                <w:szCs w:val="21"/>
              </w:rPr>
              <w:t>分   类</w:t>
            </w:r>
          </w:p>
        </w:tc>
        <w:tc>
          <w:tcPr>
            <w:tcW w:w="7327" w:type="dxa"/>
            <w:tcBorders>
              <w:top w:val="threeDEngrave" w:color="4F6228" w:sz="12" w:space="0"/>
              <w:bottom w:val="single" w:color="4F6228" w:sz="6" w:space="0"/>
            </w:tcBorders>
            <w:shd w:val="clear" w:color="auto" w:fill="948A54"/>
            <w:vAlign w:val="center"/>
          </w:tcPr>
          <w:p w14:paraId="7B8BD55C">
            <w:pPr>
              <w:tabs>
                <w:tab w:val="left" w:pos="8820"/>
                <w:tab w:val="left" w:pos="9000"/>
              </w:tabs>
              <w:jc w:val="center"/>
              <w:rPr>
                <w:b/>
                <w:color w:val="FFFFFF"/>
                <w:kern w:val="2"/>
                <w:sz w:val="21"/>
                <w:szCs w:val="21"/>
              </w:rPr>
            </w:pPr>
            <w:r>
              <w:rPr>
                <w:rFonts w:hint="eastAsia"/>
                <w:b/>
                <w:color w:val="FFFFFF"/>
                <w:kern w:val="2"/>
                <w:sz w:val="21"/>
                <w:szCs w:val="21"/>
              </w:rPr>
              <w:t>内          容</w:t>
            </w:r>
          </w:p>
        </w:tc>
      </w:tr>
      <w:tr w14:paraId="495C6A96">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340" w:hRule="atLeast"/>
          <w:jc w:val="center"/>
        </w:trPr>
        <w:tc>
          <w:tcPr>
            <w:tcW w:w="1960" w:type="dxa"/>
            <w:gridSpan w:val="2"/>
            <w:tcBorders>
              <w:top w:val="single" w:color="4F6228" w:sz="6" w:space="0"/>
            </w:tcBorders>
            <w:vAlign w:val="center"/>
          </w:tcPr>
          <w:p w14:paraId="12C19054">
            <w:pPr>
              <w:tabs>
                <w:tab w:val="left" w:pos="8820"/>
                <w:tab w:val="left" w:pos="9000"/>
              </w:tabs>
              <w:spacing w:line="300" w:lineRule="exact"/>
              <w:jc w:val="center"/>
              <w:rPr>
                <w:b/>
                <w:kern w:val="2"/>
                <w:sz w:val="21"/>
                <w:szCs w:val="21"/>
              </w:rPr>
            </w:pPr>
            <w:r>
              <w:rPr>
                <w:rFonts w:hint="eastAsia"/>
                <w:b/>
                <w:kern w:val="2"/>
                <w:sz w:val="21"/>
                <w:szCs w:val="21"/>
              </w:rPr>
              <w:t>组织保障</w:t>
            </w:r>
          </w:p>
        </w:tc>
        <w:tc>
          <w:tcPr>
            <w:tcW w:w="7327" w:type="dxa"/>
            <w:tcBorders>
              <w:top w:val="single" w:color="4F6228" w:sz="6" w:space="0"/>
            </w:tcBorders>
          </w:tcPr>
          <w:p w14:paraId="26CAB3B2">
            <w:pPr>
              <w:tabs>
                <w:tab w:val="left" w:pos="8820"/>
                <w:tab w:val="left" w:pos="9000"/>
              </w:tabs>
              <w:spacing w:line="300" w:lineRule="exact"/>
              <w:rPr>
                <w:kern w:val="2"/>
                <w:sz w:val="21"/>
                <w:szCs w:val="21"/>
              </w:rPr>
            </w:pPr>
            <w:r>
              <w:rPr>
                <w:rFonts w:hint="eastAsia"/>
                <w:kern w:val="2"/>
                <w:sz w:val="21"/>
                <w:szCs w:val="21"/>
              </w:rPr>
              <w:t>建立对市场经营、生产、技术质量、安全系统快速反应机制、顾客服务体系</w:t>
            </w:r>
          </w:p>
        </w:tc>
      </w:tr>
      <w:tr w14:paraId="3BCAA931">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366" w:hRule="atLeast"/>
          <w:jc w:val="center"/>
        </w:trPr>
        <w:tc>
          <w:tcPr>
            <w:tcW w:w="420" w:type="dxa"/>
            <w:vMerge w:val="restart"/>
            <w:vAlign w:val="center"/>
          </w:tcPr>
          <w:p w14:paraId="7971DBCC">
            <w:pPr>
              <w:pStyle w:val="43"/>
              <w:widowControl w:val="0"/>
              <w:rPr>
                <w:kern w:val="2"/>
                <w:sz w:val="21"/>
                <w:szCs w:val="21"/>
              </w:rPr>
            </w:pPr>
            <w:r>
              <w:rPr>
                <w:rFonts w:hint="eastAsia"/>
                <w:kern w:val="2"/>
                <w:sz w:val="21"/>
                <w:szCs w:val="21"/>
              </w:rPr>
              <w:t>具</w:t>
            </w:r>
          </w:p>
          <w:p w14:paraId="200A231D">
            <w:pPr>
              <w:pStyle w:val="43"/>
              <w:widowControl w:val="0"/>
              <w:rPr>
                <w:kern w:val="2"/>
                <w:sz w:val="21"/>
                <w:szCs w:val="21"/>
              </w:rPr>
            </w:pPr>
            <w:r>
              <w:rPr>
                <w:rFonts w:hint="eastAsia"/>
                <w:kern w:val="2"/>
                <w:sz w:val="21"/>
                <w:szCs w:val="21"/>
              </w:rPr>
              <w:t>体</w:t>
            </w:r>
          </w:p>
          <w:p w14:paraId="3FF1C8B5">
            <w:pPr>
              <w:pStyle w:val="43"/>
              <w:widowControl w:val="0"/>
              <w:rPr>
                <w:kern w:val="2"/>
                <w:sz w:val="21"/>
                <w:szCs w:val="21"/>
              </w:rPr>
            </w:pPr>
            <w:r>
              <w:rPr>
                <w:rFonts w:hint="eastAsia"/>
                <w:kern w:val="2"/>
                <w:sz w:val="21"/>
                <w:szCs w:val="21"/>
              </w:rPr>
              <w:t>措</w:t>
            </w:r>
          </w:p>
          <w:p w14:paraId="39AD91EF">
            <w:pPr>
              <w:pStyle w:val="43"/>
              <w:widowControl w:val="0"/>
              <w:rPr>
                <w:kern w:val="2"/>
                <w:sz w:val="21"/>
                <w:szCs w:val="21"/>
              </w:rPr>
            </w:pPr>
            <w:r>
              <w:rPr>
                <w:rFonts w:hint="eastAsia"/>
                <w:kern w:val="2"/>
                <w:sz w:val="21"/>
                <w:szCs w:val="21"/>
              </w:rPr>
              <w:t>施</w:t>
            </w:r>
          </w:p>
        </w:tc>
        <w:tc>
          <w:tcPr>
            <w:tcW w:w="1540" w:type="dxa"/>
            <w:vAlign w:val="center"/>
          </w:tcPr>
          <w:p w14:paraId="52C450EB">
            <w:pPr>
              <w:tabs>
                <w:tab w:val="left" w:pos="8820"/>
                <w:tab w:val="left" w:pos="9000"/>
              </w:tabs>
              <w:spacing w:line="300" w:lineRule="exact"/>
              <w:jc w:val="center"/>
              <w:rPr>
                <w:b/>
                <w:kern w:val="2"/>
                <w:sz w:val="21"/>
                <w:szCs w:val="21"/>
              </w:rPr>
            </w:pPr>
            <w:r>
              <w:rPr>
                <w:rFonts w:hint="eastAsia"/>
                <w:b/>
                <w:kern w:val="2"/>
                <w:sz w:val="21"/>
                <w:szCs w:val="21"/>
              </w:rPr>
              <w:t>市场方面</w:t>
            </w:r>
          </w:p>
        </w:tc>
        <w:tc>
          <w:tcPr>
            <w:tcW w:w="7327" w:type="dxa"/>
          </w:tcPr>
          <w:p w14:paraId="50613211">
            <w:pPr>
              <w:tabs>
                <w:tab w:val="left" w:pos="8820"/>
                <w:tab w:val="left" w:pos="9000"/>
              </w:tabs>
              <w:spacing w:line="300" w:lineRule="exact"/>
              <w:rPr>
                <w:kern w:val="2"/>
                <w:sz w:val="21"/>
                <w:szCs w:val="21"/>
              </w:rPr>
            </w:pPr>
            <w:r>
              <w:rPr>
                <w:rFonts w:hint="eastAsia"/>
                <w:kern w:val="2"/>
                <w:sz w:val="21"/>
                <w:szCs w:val="21"/>
              </w:rPr>
              <w:t>成立战略委员会，适时根据国家宏观调控政策对市场进行快速调整</w:t>
            </w:r>
          </w:p>
        </w:tc>
      </w:tr>
      <w:tr w14:paraId="064029F3">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325" w:hRule="atLeast"/>
          <w:jc w:val="center"/>
        </w:trPr>
        <w:tc>
          <w:tcPr>
            <w:tcW w:w="420" w:type="dxa"/>
            <w:vMerge w:val="continue"/>
          </w:tcPr>
          <w:p w14:paraId="68C98FAB">
            <w:pPr>
              <w:tabs>
                <w:tab w:val="left" w:pos="8820"/>
                <w:tab w:val="left" w:pos="9000"/>
              </w:tabs>
              <w:spacing w:line="300" w:lineRule="exact"/>
              <w:jc w:val="center"/>
              <w:rPr>
                <w:b/>
                <w:kern w:val="2"/>
                <w:sz w:val="21"/>
                <w:szCs w:val="21"/>
              </w:rPr>
            </w:pPr>
          </w:p>
        </w:tc>
        <w:tc>
          <w:tcPr>
            <w:tcW w:w="1540" w:type="dxa"/>
            <w:vAlign w:val="center"/>
          </w:tcPr>
          <w:p w14:paraId="17998F48">
            <w:pPr>
              <w:tabs>
                <w:tab w:val="left" w:pos="8820"/>
                <w:tab w:val="left" w:pos="9000"/>
              </w:tabs>
              <w:spacing w:line="300" w:lineRule="exact"/>
              <w:jc w:val="center"/>
              <w:rPr>
                <w:b/>
                <w:kern w:val="2"/>
                <w:sz w:val="21"/>
                <w:szCs w:val="21"/>
              </w:rPr>
            </w:pPr>
            <w:r>
              <w:rPr>
                <w:rFonts w:hint="eastAsia"/>
                <w:b/>
                <w:kern w:val="2"/>
                <w:sz w:val="21"/>
                <w:szCs w:val="21"/>
              </w:rPr>
              <w:t>生产经营方面</w:t>
            </w:r>
          </w:p>
        </w:tc>
        <w:tc>
          <w:tcPr>
            <w:tcW w:w="7327" w:type="dxa"/>
          </w:tcPr>
          <w:p w14:paraId="791A6FCE">
            <w:pPr>
              <w:tabs>
                <w:tab w:val="left" w:pos="8820"/>
                <w:tab w:val="left" w:pos="9000"/>
              </w:tabs>
              <w:spacing w:line="300" w:lineRule="exact"/>
              <w:rPr>
                <w:kern w:val="2"/>
                <w:sz w:val="21"/>
                <w:szCs w:val="21"/>
              </w:rPr>
            </w:pPr>
            <w:r>
              <w:rPr>
                <w:rFonts w:hint="eastAsia"/>
                <w:kern w:val="2"/>
                <w:sz w:val="21"/>
                <w:szCs w:val="21"/>
              </w:rPr>
              <w:t>由生产部负责生产计划，项目生产经营工作中及时、快速处理和解决</w:t>
            </w:r>
          </w:p>
        </w:tc>
      </w:tr>
      <w:tr w14:paraId="7C90A336">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367" w:hRule="atLeast"/>
          <w:jc w:val="center"/>
        </w:trPr>
        <w:tc>
          <w:tcPr>
            <w:tcW w:w="420" w:type="dxa"/>
            <w:vMerge w:val="continue"/>
          </w:tcPr>
          <w:p w14:paraId="66960958">
            <w:pPr>
              <w:tabs>
                <w:tab w:val="left" w:pos="8820"/>
                <w:tab w:val="left" w:pos="9000"/>
              </w:tabs>
              <w:spacing w:line="300" w:lineRule="exact"/>
              <w:jc w:val="center"/>
              <w:rPr>
                <w:b/>
                <w:kern w:val="2"/>
                <w:sz w:val="21"/>
                <w:szCs w:val="21"/>
              </w:rPr>
            </w:pPr>
          </w:p>
        </w:tc>
        <w:tc>
          <w:tcPr>
            <w:tcW w:w="1540" w:type="dxa"/>
            <w:vAlign w:val="center"/>
          </w:tcPr>
          <w:p w14:paraId="24F16C68">
            <w:pPr>
              <w:tabs>
                <w:tab w:val="left" w:pos="8820"/>
                <w:tab w:val="left" w:pos="9000"/>
              </w:tabs>
              <w:spacing w:line="300" w:lineRule="exact"/>
              <w:jc w:val="center"/>
              <w:rPr>
                <w:b/>
                <w:kern w:val="2"/>
                <w:sz w:val="21"/>
                <w:szCs w:val="21"/>
              </w:rPr>
            </w:pPr>
            <w:r>
              <w:rPr>
                <w:rFonts w:hint="eastAsia"/>
                <w:b/>
                <w:kern w:val="2"/>
                <w:sz w:val="21"/>
                <w:szCs w:val="21"/>
              </w:rPr>
              <w:t>技术质量方面</w:t>
            </w:r>
          </w:p>
        </w:tc>
        <w:tc>
          <w:tcPr>
            <w:tcW w:w="7327" w:type="dxa"/>
          </w:tcPr>
          <w:p w14:paraId="5CD899C9">
            <w:pPr>
              <w:tabs>
                <w:tab w:val="left" w:pos="8820"/>
                <w:tab w:val="left" w:pos="9000"/>
              </w:tabs>
              <w:spacing w:line="300" w:lineRule="exact"/>
              <w:rPr>
                <w:kern w:val="2"/>
                <w:sz w:val="21"/>
                <w:szCs w:val="21"/>
              </w:rPr>
            </w:pPr>
            <w:r>
              <w:rPr>
                <w:rFonts w:hint="eastAsia"/>
                <w:kern w:val="2"/>
                <w:sz w:val="21"/>
                <w:szCs w:val="21"/>
              </w:rPr>
              <w:t>成立技术委员会，制定完整的质量管控制度和评优制度</w:t>
            </w:r>
          </w:p>
        </w:tc>
      </w:tr>
      <w:tr w14:paraId="1441D15D">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653" w:hRule="atLeast"/>
          <w:jc w:val="center"/>
        </w:trPr>
        <w:tc>
          <w:tcPr>
            <w:tcW w:w="420" w:type="dxa"/>
            <w:vMerge w:val="continue"/>
          </w:tcPr>
          <w:p w14:paraId="53D23DBC">
            <w:pPr>
              <w:tabs>
                <w:tab w:val="left" w:pos="8820"/>
                <w:tab w:val="left" w:pos="9000"/>
              </w:tabs>
              <w:spacing w:line="300" w:lineRule="exact"/>
              <w:jc w:val="center"/>
              <w:rPr>
                <w:b/>
                <w:kern w:val="2"/>
                <w:sz w:val="21"/>
                <w:szCs w:val="21"/>
              </w:rPr>
            </w:pPr>
          </w:p>
        </w:tc>
        <w:tc>
          <w:tcPr>
            <w:tcW w:w="1540" w:type="dxa"/>
            <w:vAlign w:val="center"/>
          </w:tcPr>
          <w:p w14:paraId="43973D86">
            <w:pPr>
              <w:tabs>
                <w:tab w:val="left" w:pos="8820"/>
                <w:tab w:val="left" w:pos="9000"/>
              </w:tabs>
              <w:spacing w:line="300" w:lineRule="exact"/>
              <w:jc w:val="center"/>
              <w:rPr>
                <w:b/>
                <w:kern w:val="2"/>
                <w:sz w:val="21"/>
                <w:szCs w:val="21"/>
              </w:rPr>
            </w:pPr>
            <w:r>
              <w:rPr>
                <w:rFonts w:hint="eastAsia"/>
                <w:b/>
                <w:kern w:val="2"/>
                <w:sz w:val="21"/>
                <w:szCs w:val="21"/>
              </w:rPr>
              <w:t>安全方面</w:t>
            </w:r>
          </w:p>
        </w:tc>
        <w:tc>
          <w:tcPr>
            <w:tcW w:w="7327" w:type="dxa"/>
          </w:tcPr>
          <w:p w14:paraId="1C200A8F">
            <w:pPr>
              <w:tabs>
                <w:tab w:val="left" w:pos="8820"/>
                <w:tab w:val="left" w:pos="9000"/>
              </w:tabs>
              <w:spacing w:line="300" w:lineRule="exact"/>
              <w:rPr>
                <w:kern w:val="2"/>
                <w:sz w:val="21"/>
                <w:szCs w:val="21"/>
              </w:rPr>
            </w:pPr>
            <w:r>
              <w:rPr>
                <w:rFonts w:hint="eastAsia"/>
                <w:kern w:val="2"/>
                <w:sz w:val="21"/>
                <w:szCs w:val="21"/>
              </w:rPr>
              <w:t>成立安全生产管理领导小组，制定应急预案，及时快速处理和解决安全生产问题</w:t>
            </w:r>
          </w:p>
        </w:tc>
      </w:tr>
      <w:tr w14:paraId="4CA23052">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381" w:hRule="atLeast"/>
          <w:jc w:val="center"/>
        </w:trPr>
        <w:tc>
          <w:tcPr>
            <w:tcW w:w="420" w:type="dxa"/>
            <w:vMerge w:val="continue"/>
          </w:tcPr>
          <w:p w14:paraId="3C09A637">
            <w:pPr>
              <w:tabs>
                <w:tab w:val="left" w:pos="8820"/>
                <w:tab w:val="left" w:pos="9000"/>
              </w:tabs>
              <w:spacing w:line="300" w:lineRule="exact"/>
              <w:jc w:val="center"/>
              <w:rPr>
                <w:b/>
                <w:kern w:val="2"/>
                <w:sz w:val="21"/>
                <w:szCs w:val="21"/>
              </w:rPr>
            </w:pPr>
          </w:p>
        </w:tc>
        <w:tc>
          <w:tcPr>
            <w:tcW w:w="1540" w:type="dxa"/>
            <w:vAlign w:val="center"/>
          </w:tcPr>
          <w:p w14:paraId="593A661E">
            <w:pPr>
              <w:tabs>
                <w:tab w:val="left" w:pos="8820"/>
                <w:tab w:val="left" w:pos="9000"/>
              </w:tabs>
              <w:spacing w:line="300" w:lineRule="exact"/>
              <w:jc w:val="center"/>
              <w:rPr>
                <w:b/>
                <w:kern w:val="2"/>
                <w:sz w:val="21"/>
                <w:szCs w:val="21"/>
              </w:rPr>
            </w:pPr>
            <w:r>
              <w:rPr>
                <w:rFonts w:hint="eastAsia"/>
                <w:b/>
                <w:kern w:val="2"/>
                <w:sz w:val="21"/>
                <w:szCs w:val="21"/>
              </w:rPr>
              <w:t>服务方面</w:t>
            </w:r>
          </w:p>
        </w:tc>
        <w:tc>
          <w:tcPr>
            <w:tcW w:w="7327" w:type="dxa"/>
          </w:tcPr>
          <w:p w14:paraId="306C7A72">
            <w:pPr>
              <w:tabs>
                <w:tab w:val="left" w:pos="8820"/>
                <w:tab w:val="left" w:pos="9000"/>
              </w:tabs>
              <w:spacing w:line="300" w:lineRule="exact"/>
              <w:rPr>
                <w:kern w:val="2"/>
                <w:sz w:val="21"/>
                <w:szCs w:val="21"/>
              </w:rPr>
            </w:pPr>
            <w:r>
              <w:rPr>
                <w:rFonts w:hint="eastAsia"/>
                <w:kern w:val="2"/>
                <w:sz w:val="21"/>
                <w:szCs w:val="21"/>
              </w:rPr>
              <w:t>成立投诉服务处理小组，急事急办，特事代办，快速响应顾客与市场需求。</w:t>
            </w:r>
          </w:p>
        </w:tc>
      </w:tr>
      <w:tr w14:paraId="7FAE9A5E">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668" w:hRule="atLeast"/>
          <w:jc w:val="center"/>
        </w:trPr>
        <w:tc>
          <w:tcPr>
            <w:tcW w:w="420" w:type="dxa"/>
            <w:vMerge w:val="continue"/>
          </w:tcPr>
          <w:p w14:paraId="05248984">
            <w:pPr>
              <w:tabs>
                <w:tab w:val="left" w:pos="8820"/>
                <w:tab w:val="left" w:pos="9000"/>
              </w:tabs>
              <w:spacing w:line="300" w:lineRule="exact"/>
              <w:jc w:val="center"/>
              <w:rPr>
                <w:b/>
                <w:kern w:val="2"/>
                <w:sz w:val="21"/>
                <w:szCs w:val="21"/>
              </w:rPr>
            </w:pPr>
          </w:p>
        </w:tc>
        <w:tc>
          <w:tcPr>
            <w:tcW w:w="1540" w:type="dxa"/>
            <w:vAlign w:val="center"/>
          </w:tcPr>
          <w:p w14:paraId="65BC4A9E">
            <w:pPr>
              <w:tabs>
                <w:tab w:val="left" w:pos="8820"/>
                <w:tab w:val="left" w:pos="9000"/>
              </w:tabs>
              <w:spacing w:line="300" w:lineRule="exact"/>
              <w:jc w:val="center"/>
              <w:rPr>
                <w:b/>
                <w:kern w:val="2"/>
                <w:sz w:val="21"/>
                <w:szCs w:val="21"/>
              </w:rPr>
            </w:pPr>
            <w:r>
              <w:rPr>
                <w:rFonts w:hint="eastAsia"/>
                <w:b/>
                <w:kern w:val="2"/>
                <w:sz w:val="21"/>
                <w:szCs w:val="21"/>
              </w:rPr>
              <w:t>信息化系统</w:t>
            </w:r>
          </w:p>
        </w:tc>
        <w:tc>
          <w:tcPr>
            <w:tcW w:w="7327" w:type="dxa"/>
          </w:tcPr>
          <w:p w14:paraId="03877C0C">
            <w:pPr>
              <w:tabs>
                <w:tab w:val="left" w:pos="8820"/>
                <w:tab w:val="left" w:pos="9000"/>
              </w:tabs>
              <w:spacing w:line="300" w:lineRule="exact"/>
              <w:rPr>
                <w:kern w:val="2"/>
                <w:sz w:val="21"/>
                <w:szCs w:val="21"/>
              </w:rPr>
            </w:pPr>
            <w:r>
              <w:rPr>
                <w:rFonts w:hint="eastAsia"/>
                <w:kern w:val="2"/>
                <w:sz w:val="21"/>
                <w:szCs w:val="21"/>
              </w:rPr>
              <w:t>引进信息化管理系统，做到只要有网络，不受时间，地域的限制，随时随地均可办公，查阅信息</w:t>
            </w:r>
          </w:p>
        </w:tc>
      </w:tr>
    </w:tbl>
    <w:p w14:paraId="68650953">
      <w:pPr>
        <w:tabs>
          <w:tab w:val="left" w:pos="2646"/>
        </w:tabs>
        <w:spacing w:before="312" w:beforeLines="100" w:line="360" w:lineRule="auto"/>
        <w:rPr>
          <w:rFonts w:ascii="宋体" w:hAnsi="宋体"/>
          <w:b/>
        </w:rPr>
      </w:pPr>
      <w:r>
        <w:rPr>
          <w:rFonts w:hint="eastAsia" w:ascii="宋体" w:hAnsi="宋体"/>
          <w:b/>
        </w:rPr>
        <w:t>d) 质量安全方面职责</w:t>
      </w:r>
    </w:p>
    <w:p w14:paraId="072394B1">
      <w:pPr>
        <w:autoSpaceDE w:val="0"/>
        <w:autoSpaceDN w:val="0"/>
        <w:adjustRightInd w:val="0"/>
        <w:spacing w:line="360" w:lineRule="auto"/>
        <w:ind w:firstLine="482"/>
        <w:rPr>
          <w:rFonts w:ascii="宋体" w:hAnsi="宋体" w:cs="宋体"/>
        </w:rPr>
      </w:pPr>
      <w:r>
        <w:rPr>
          <w:rFonts w:hint="eastAsia" w:ascii="宋体" w:hAnsi="宋体" w:cs="宋体"/>
        </w:rPr>
        <w:t>为履行确保组织所提供产品和服务的质量安全的职责，引导组织承担质量安全主体责任，公司从价值链角度对包括研发、采购、生产、质量管理、营销等涉及产品和服务质量安全的过程进行了梳理、识别和分析，并根据创新与效率原则对过程进行设计，充分运用绩效系统对过程的实施进行监控，关注过程输入与输出，持续改进，形成有效的PDCA循环。</w:t>
      </w:r>
    </w:p>
    <w:p w14:paraId="7B0BEE1D">
      <w:pPr>
        <w:autoSpaceDE w:val="0"/>
        <w:autoSpaceDN w:val="0"/>
        <w:adjustRightInd w:val="0"/>
        <w:spacing w:line="360" w:lineRule="auto"/>
        <w:ind w:firstLine="482"/>
        <w:rPr>
          <w:rFonts w:ascii="宋体" w:hAnsi="宋体" w:cs="宋体"/>
        </w:rPr>
      </w:pPr>
      <w:r>
        <w:rPr>
          <w:rFonts w:hint="eastAsia" w:ascii="宋体" w:hAnsi="宋体" w:cs="宋体"/>
        </w:rPr>
        <w:t>公司有一整套由</w:t>
      </w:r>
      <w:r>
        <w:rPr>
          <w:rFonts w:hint="eastAsia" w:ascii="宋体" w:hAnsi="宋体"/>
        </w:rPr>
        <w:t>ISO9001、ISO14001、ISO18001</w:t>
      </w:r>
      <w:r>
        <w:rPr>
          <w:rFonts w:hint="eastAsia" w:ascii="宋体" w:hAnsi="宋体" w:cs="宋体"/>
        </w:rPr>
        <w:t>等组成的管理体系，并设有定期内审和管理评审，确保整个质量、环境、职业健康安全管理体系有效运行。</w:t>
      </w:r>
    </w:p>
    <w:p w14:paraId="13BAC7FF">
      <w:pPr>
        <w:autoSpaceDE w:val="0"/>
        <w:autoSpaceDN w:val="0"/>
        <w:adjustRightInd w:val="0"/>
        <w:spacing w:line="360" w:lineRule="auto"/>
        <w:rPr>
          <w:rFonts w:ascii="宋体" w:hAnsi="宋体"/>
          <w:b/>
        </w:rPr>
      </w:pPr>
      <w:r>
        <w:rPr>
          <w:rFonts w:hint="eastAsia" w:ascii="宋体" w:hAnsi="宋体"/>
          <w:b/>
        </w:rPr>
        <w:t>e) 推进品牌建设，提高产品质量和服务水平</w:t>
      </w:r>
    </w:p>
    <w:p w14:paraId="7F97460B">
      <w:pPr>
        <w:autoSpaceDE w:val="0"/>
        <w:autoSpaceDN w:val="0"/>
        <w:adjustRightInd w:val="0"/>
        <w:spacing w:line="360" w:lineRule="auto"/>
        <w:ind w:firstLine="482"/>
        <w:rPr>
          <w:rFonts w:ascii="宋体" w:hAnsi="宋体" w:cs="宋体"/>
          <w:szCs w:val="32"/>
        </w:rPr>
      </w:pPr>
      <w:r>
        <w:rPr>
          <w:rFonts w:hint="eastAsia" w:ascii="宋体" w:hAnsi="宋体" w:cs="宋体"/>
          <w:szCs w:val="32"/>
        </w:rPr>
        <w:t>为推进品牌建设，公司依据发展战略目标，制定相应的品牌发展规划，通过积极参与行业活动、加大技术创新投入、完善渠道建设及售后服务等方式不断提高产品质量和服务水平，提升公司品牌价值。公司以国际先进技术为目标，积极开发、引进、消化、吸收适用的先进技术和先进标准，并转化为内控标准，提高技术创新能力。</w:t>
      </w:r>
      <w:r>
        <w:rPr>
          <w:rFonts w:hint="eastAsia" w:ascii="宋体" w:hAnsi="宋体" w:cs="宋体"/>
          <w:szCs w:val="32"/>
          <w:lang w:eastAsia="zh-CN"/>
        </w:rPr>
        <w:t>中凯涂料</w:t>
      </w:r>
      <w:r>
        <w:rPr>
          <w:rFonts w:hint="eastAsia" w:ascii="宋体" w:hAnsi="宋体" w:cs="宋体"/>
          <w:szCs w:val="32"/>
        </w:rPr>
        <w:t>向客户提供从系统的研发设计、系统方案解决、制造过程、物流管理以及维护计划的制定与实施等系统全寿命周期的解决方案。公司为客户安排专业的服务人员，提供技术支持、订单跟踪等24小时服务。公司定期对客户进行技术培训，内容涵盖产品基础知识等各个层面。还拥有一支专业精良的售后服务团队，可随时随地进行现场服务，帮助客户分析解决各种疑难问题。</w:t>
      </w:r>
    </w:p>
    <w:p w14:paraId="69670DFA">
      <w:pPr>
        <w:spacing w:line="360" w:lineRule="auto"/>
        <w:rPr>
          <w:rFonts w:ascii="宋体" w:hAnsi="宋体"/>
          <w:b/>
        </w:rPr>
      </w:pPr>
      <w:r>
        <w:rPr>
          <w:rFonts w:hint="eastAsia" w:ascii="宋体" w:hAnsi="宋体"/>
          <w:b/>
        </w:rPr>
        <w:t>f) 强化风险意识并积极培养组织未来的领导者</w:t>
      </w:r>
    </w:p>
    <w:p w14:paraId="319024EF">
      <w:pPr>
        <w:autoSpaceDE w:val="0"/>
        <w:autoSpaceDN w:val="0"/>
        <w:adjustRightInd w:val="0"/>
        <w:spacing w:line="360" w:lineRule="auto"/>
        <w:ind w:firstLine="482"/>
        <w:rPr>
          <w:rFonts w:ascii="宋体" w:hAnsi="宋体" w:cs="宋体"/>
          <w:szCs w:val="32"/>
        </w:rPr>
      </w:pPr>
      <w:r>
        <w:rPr>
          <w:rFonts w:hint="eastAsia" w:ascii="宋体" w:hAnsi="宋体" w:cs="宋体"/>
          <w:szCs w:val="32"/>
        </w:rPr>
        <w:t>公司创立至今，在取得众多成就的同时，不断强化风险意识，推动组织的持续经营。为此，公司成立了危机管理小组以及战略管理委员会等组织，以综合应对在生产经营等活动中可能预见的战略、财务、市场、运营、法律、安全、环境、质量等方面的风险。</w:t>
      </w:r>
    </w:p>
    <w:p w14:paraId="01E5BAFF">
      <w:pPr>
        <w:autoSpaceDE w:val="0"/>
        <w:autoSpaceDN w:val="0"/>
        <w:adjustRightInd w:val="0"/>
        <w:spacing w:line="360" w:lineRule="auto"/>
        <w:ind w:firstLine="482"/>
        <w:rPr>
          <w:rFonts w:ascii="宋体" w:hAnsi="宋体"/>
        </w:rPr>
      </w:pPr>
      <w:r>
        <w:rPr>
          <w:rFonts w:hint="eastAsia" w:ascii="宋体" w:hAnsi="宋体" w:cs="宋体"/>
          <w:szCs w:val="32"/>
        </w:rPr>
        <w:t>此外，为确保组织的延续性，公司高层领导重视储备管理人才的培养，并构建了未来管理干部梯队培养机制，针对每个部门的重要管理岗位，通过内训与外训相结合的方式，有针对性地开发涉及企业文化、业务技能培训、人员管理技能培训、自我开发技能培训等方向的培训课程，不断提升员工能力，完善员工的知识结构，并定期考核，以此培养组织未来的各层次领导者。</w:t>
      </w:r>
    </w:p>
    <w:p w14:paraId="654377C4">
      <w:pPr>
        <w:tabs>
          <w:tab w:val="left" w:pos="2646"/>
        </w:tabs>
        <w:snapToGrid w:val="0"/>
        <w:spacing w:line="360" w:lineRule="auto"/>
        <w:rPr>
          <w:rFonts w:ascii="宋体" w:hAnsi="宋体"/>
          <w:b/>
        </w:rPr>
      </w:pPr>
      <w:r>
        <w:rPr>
          <w:rFonts w:hint="eastAsia" w:ascii="宋体" w:hAnsi="宋体"/>
          <w:b/>
        </w:rPr>
        <w:t>g) 定期对组织绩效评审并改进创新将卓越付诸行动</w:t>
      </w:r>
    </w:p>
    <w:p w14:paraId="68567DB5">
      <w:pPr>
        <w:autoSpaceDE w:val="0"/>
        <w:autoSpaceDN w:val="0"/>
        <w:adjustRightInd w:val="0"/>
        <w:spacing w:line="360" w:lineRule="auto"/>
        <w:ind w:firstLine="482"/>
        <w:rPr>
          <w:rFonts w:ascii="黑体" w:hAnsi="黑体" w:eastAsia="黑体"/>
          <w:b/>
          <w:szCs w:val="32"/>
        </w:rPr>
      </w:pPr>
      <w:r>
        <w:rPr>
          <w:rFonts w:hint="eastAsia" w:ascii="宋体" w:hAnsi="宋体" w:cs="宋体"/>
          <w:szCs w:val="32"/>
        </w:rPr>
        <w:t>为不断改进组织绩效，实现愿景和战略目标，公司高层领导建立关键绩效指标体系，通过战略研讨会、管理评审会、经济活动分析会和专题例会等评价体系，评审公司绩效目标实现情况，并与竞争对手及标杆比较，衡量公司长、短期目标实现程度和经营绩效。评审分析确定具体的评价内容和评价周期（见图4.1.2-2）。</w:t>
      </w:r>
    </w:p>
    <w:p w14:paraId="592181FD">
      <w:pPr>
        <w:snapToGrid w:val="0"/>
        <w:spacing w:line="360" w:lineRule="auto"/>
        <w:jc w:val="center"/>
        <w:rPr>
          <w:rFonts w:ascii="黑体" w:hAnsi="黑体" w:eastAsia="黑体"/>
          <w:b/>
          <w:sz w:val="21"/>
          <w:szCs w:val="21"/>
        </w:rPr>
      </w:pPr>
      <w:r>
        <w:rPr>
          <w:rFonts w:hint="eastAsia" w:ascii="黑体" w:hAnsi="黑体" w:eastAsia="黑体"/>
          <w:b/>
          <w:sz w:val="21"/>
          <w:szCs w:val="21"/>
        </w:rPr>
        <w:t>图4.1.2-2 公司绩效评价流程</w:t>
      </w:r>
    </w:p>
    <w:p w14:paraId="75849CB3">
      <w:pPr>
        <w:snapToGrid w:val="0"/>
        <w:jc w:val="center"/>
        <w:rPr>
          <w:rFonts w:ascii="黑体" w:hAnsi="黑体" w:eastAsia="黑体"/>
          <w:b/>
        </w:rPr>
      </w:pPr>
      <w:r>
        <w:rPr>
          <w:rFonts w:ascii="黑体" w:hAnsi="黑体" w:eastAsia="黑体"/>
          <w:b/>
        </w:rPr>
        <w:drawing>
          <wp:inline distT="0" distB="0" distL="114300" distR="114300">
            <wp:extent cx="3476625" cy="3009900"/>
            <wp:effectExtent l="0" t="0" r="0" b="0"/>
            <wp:docPr id="5" name="图片 6" descr="未命名文件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 descr="未命名文件 (9)"/>
                    <pic:cNvPicPr>
                      <a:picLocks noChangeAspect="1"/>
                    </pic:cNvPicPr>
                  </pic:nvPicPr>
                  <pic:blipFill>
                    <a:blip r:embed="rId12"/>
                    <a:stretch>
                      <a:fillRect/>
                    </a:stretch>
                  </pic:blipFill>
                  <pic:spPr>
                    <a:xfrm>
                      <a:off x="0" y="0"/>
                      <a:ext cx="3476625" cy="3009900"/>
                    </a:xfrm>
                    <a:prstGeom prst="rect">
                      <a:avLst/>
                    </a:prstGeom>
                    <a:noFill/>
                    <a:ln>
                      <a:noFill/>
                    </a:ln>
                  </pic:spPr>
                </pic:pic>
              </a:graphicData>
            </a:graphic>
          </wp:inline>
        </w:drawing>
      </w:r>
    </w:p>
    <w:p w14:paraId="7B7C7E67">
      <w:pPr>
        <w:snapToGrid w:val="0"/>
        <w:spacing w:before="312" w:beforeLines="100" w:line="360" w:lineRule="auto"/>
        <w:jc w:val="center"/>
        <w:rPr>
          <w:rFonts w:ascii="黑体" w:hAnsi="黑体" w:eastAsia="黑体"/>
          <w:b/>
          <w:sz w:val="21"/>
          <w:szCs w:val="21"/>
        </w:rPr>
      </w:pPr>
      <w:r>
        <w:rPr>
          <w:rFonts w:hint="eastAsia" w:ascii="黑体" w:hAnsi="黑体" w:eastAsia="黑体"/>
          <w:b/>
          <w:sz w:val="21"/>
          <w:szCs w:val="21"/>
        </w:rPr>
        <w:t>表4.1.2-3  关键绩效指标系统</w:t>
      </w:r>
    </w:p>
    <w:tbl>
      <w:tblPr>
        <w:tblStyle w:val="22"/>
        <w:tblW w:w="8147" w:type="dxa"/>
        <w:jc w:val="center"/>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Layout w:type="fixed"/>
        <w:tblCellMar>
          <w:top w:w="0" w:type="dxa"/>
          <w:left w:w="108" w:type="dxa"/>
          <w:bottom w:w="0" w:type="dxa"/>
          <w:right w:w="108" w:type="dxa"/>
        </w:tblCellMar>
      </w:tblPr>
      <w:tblGrid>
        <w:gridCol w:w="962"/>
        <w:gridCol w:w="1606"/>
        <w:gridCol w:w="3827"/>
        <w:gridCol w:w="1752"/>
      </w:tblGrid>
      <w:tr w14:paraId="6754ECBF">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420" w:hRule="atLeast"/>
          <w:tblHeader/>
          <w:jc w:val="center"/>
        </w:trPr>
        <w:tc>
          <w:tcPr>
            <w:tcW w:w="962" w:type="dxa"/>
            <w:shd w:val="clear" w:color="auto" w:fill="938953"/>
            <w:vAlign w:val="center"/>
          </w:tcPr>
          <w:p w14:paraId="720A2D86">
            <w:pPr>
              <w:jc w:val="center"/>
              <w:rPr>
                <w:rFonts w:ascii="宋体" w:hAnsi="宋体"/>
                <w:b/>
                <w:bCs/>
                <w:color w:val="FFFFFF"/>
                <w:kern w:val="2"/>
                <w:sz w:val="21"/>
                <w:szCs w:val="21"/>
              </w:rPr>
            </w:pPr>
            <w:r>
              <w:rPr>
                <w:rFonts w:hint="eastAsia" w:ascii="宋体" w:hAnsi="宋体"/>
                <w:b/>
                <w:bCs/>
                <w:color w:val="FFFFFF"/>
                <w:kern w:val="2"/>
                <w:sz w:val="21"/>
                <w:szCs w:val="21"/>
              </w:rPr>
              <w:t>序号</w:t>
            </w:r>
          </w:p>
        </w:tc>
        <w:tc>
          <w:tcPr>
            <w:tcW w:w="1606" w:type="dxa"/>
            <w:shd w:val="clear" w:color="auto" w:fill="938953"/>
            <w:vAlign w:val="center"/>
          </w:tcPr>
          <w:p w14:paraId="0B81747B">
            <w:pPr>
              <w:jc w:val="center"/>
              <w:rPr>
                <w:rFonts w:ascii="宋体" w:hAnsi="宋体"/>
                <w:b/>
                <w:bCs/>
                <w:color w:val="FFFFFF"/>
                <w:kern w:val="2"/>
                <w:sz w:val="21"/>
                <w:szCs w:val="21"/>
              </w:rPr>
            </w:pPr>
            <w:r>
              <w:rPr>
                <w:rFonts w:hint="eastAsia" w:ascii="宋体" w:hAnsi="宋体"/>
                <w:b/>
                <w:bCs/>
                <w:color w:val="FFFFFF"/>
                <w:kern w:val="2"/>
                <w:sz w:val="21"/>
                <w:szCs w:val="21"/>
              </w:rPr>
              <w:t>指标类别</w:t>
            </w:r>
          </w:p>
        </w:tc>
        <w:tc>
          <w:tcPr>
            <w:tcW w:w="3827" w:type="dxa"/>
            <w:shd w:val="clear" w:color="auto" w:fill="938953"/>
            <w:vAlign w:val="center"/>
          </w:tcPr>
          <w:p w14:paraId="005E3D79">
            <w:pPr>
              <w:jc w:val="center"/>
              <w:rPr>
                <w:rFonts w:ascii="宋体" w:hAnsi="宋体"/>
                <w:b/>
                <w:bCs/>
                <w:color w:val="FFFFFF"/>
                <w:kern w:val="2"/>
                <w:sz w:val="21"/>
                <w:szCs w:val="21"/>
              </w:rPr>
            </w:pPr>
            <w:r>
              <w:rPr>
                <w:rFonts w:hint="eastAsia" w:ascii="宋体" w:hAnsi="宋体"/>
                <w:b/>
                <w:bCs/>
                <w:color w:val="FFFFFF"/>
                <w:kern w:val="2"/>
                <w:sz w:val="21"/>
                <w:szCs w:val="21"/>
              </w:rPr>
              <w:t>关键指标</w:t>
            </w:r>
          </w:p>
        </w:tc>
        <w:tc>
          <w:tcPr>
            <w:tcW w:w="1752" w:type="dxa"/>
            <w:shd w:val="clear" w:color="auto" w:fill="938953"/>
            <w:vAlign w:val="center"/>
          </w:tcPr>
          <w:p w14:paraId="3A68F392">
            <w:pPr>
              <w:jc w:val="center"/>
              <w:rPr>
                <w:rFonts w:ascii="宋体" w:hAnsi="宋体"/>
                <w:b/>
                <w:bCs/>
                <w:color w:val="FFFFFF"/>
                <w:kern w:val="2"/>
                <w:sz w:val="21"/>
                <w:szCs w:val="21"/>
              </w:rPr>
            </w:pPr>
            <w:r>
              <w:rPr>
                <w:rFonts w:hint="eastAsia" w:ascii="宋体" w:hAnsi="宋体"/>
                <w:b/>
                <w:bCs/>
                <w:color w:val="FFFFFF"/>
                <w:kern w:val="2"/>
                <w:sz w:val="21"/>
                <w:szCs w:val="21"/>
              </w:rPr>
              <w:t>单位</w:t>
            </w:r>
          </w:p>
        </w:tc>
      </w:tr>
      <w:tr w14:paraId="1459C19D">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295" w:hRule="atLeast"/>
          <w:jc w:val="center"/>
        </w:trPr>
        <w:tc>
          <w:tcPr>
            <w:tcW w:w="962" w:type="dxa"/>
            <w:vAlign w:val="center"/>
          </w:tcPr>
          <w:p w14:paraId="400B5944">
            <w:pPr>
              <w:jc w:val="center"/>
              <w:rPr>
                <w:rFonts w:ascii="宋体" w:hAnsi="宋体"/>
                <w:kern w:val="2"/>
                <w:sz w:val="21"/>
                <w:szCs w:val="21"/>
              </w:rPr>
            </w:pPr>
            <w:r>
              <w:rPr>
                <w:rFonts w:hint="eastAsia" w:ascii="宋体" w:hAnsi="宋体"/>
                <w:kern w:val="2"/>
                <w:sz w:val="21"/>
                <w:szCs w:val="21"/>
              </w:rPr>
              <w:t>1</w:t>
            </w:r>
          </w:p>
        </w:tc>
        <w:tc>
          <w:tcPr>
            <w:tcW w:w="1606" w:type="dxa"/>
            <w:vMerge w:val="restart"/>
            <w:vAlign w:val="center"/>
          </w:tcPr>
          <w:p w14:paraId="0E6C658A">
            <w:pPr>
              <w:jc w:val="center"/>
              <w:rPr>
                <w:rFonts w:ascii="宋体" w:hAnsi="宋体"/>
                <w:kern w:val="2"/>
                <w:sz w:val="21"/>
                <w:szCs w:val="21"/>
              </w:rPr>
            </w:pPr>
            <w:r>
              <w:rPr>
                <w:rFonts w:hint="eastAsia" w:ascii="宋体" w:hAnsi="宋体"/>
                <w:kern w:val="2"/>
                <w:sz w:val="21"/>
                <w:szCs w:val="21"/>
              </w:rPr>
              <w:t>顾客与市场</w:t>
            </w:r>
          </w:p>
        </w:tc>
        <w:tc>
          <w:tcPr>
            <w:tcW w:w="3827" w:type="dxa"/>
            <w:vAlign w:val="center"/>
          </w:tcPr>
          <w:p w14:paraId="6F801ED2">
            <w:pPr>
              <w:jc w:val="center"/>
              <w:rPr>
                <w:rFonts w:ascii="宋体" w:hAnsi="宋体"/>
                <w:kern w:val="2"/>
                <w:sz w:val="21"/>
                <w:szCs w:val="21"/>
              </w:rPr>
            </w:pPr>
            <w:r>
              <w:rPr>
                <w:rFonts w:hint="eastAsia" w:ascii="宋体" w:hAnsi="宋体"/>
                <w:kern w:val="2"/>
                <w:sz w:val="21"/>
                <w:szCs w:val="21"/>
              </w:rPr>
              <w:t>顾客满意度</w:t>
            </w:r>
          </w:p>
        </w:tc>
        <w:tc>
          <w:tcPr>
            <w:tcW w:w="1752" w:type="dxa"/>
            <w:vAlign w:val="center"/>
          </w:tcPr>
          <w:p w14:paraId="212B4744">
            <w:pPr>
              <w:jc w:val="center"/>
              <w:rPr>
                <w:rFonts w:ascii="宋体" w:hAnsi="宋体"/>
                <w:kern w:val="2"/>
                <w:sz w:val="21"/>
                <w:szCs w:val="21"/>
              </w:rPr>
            </w:pPr>
            <w:r>
              <w:rPr>
                <w:rFonts w:hint="eastAsia" w:ascii="宋体" w:hAnsi="宋体"/>
                <w:kern w:val="2"/>
                <w:sz w:val="21"/>
                <w:szCs w:val="21"/>
              </w:rPr>
              <w:t>%</w:t>
            </w:r>
          </w:p>
        </w:tc>
      </w:tr>
      <w:tr w14:paraId="62913593">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295" w:hRule="atLeast"/>
          <w:jc w:val="center"/>
        </w:trPr>
        <w:tc>
          <w:tcPr>
            <w:tcW w:w="962" w:type="dxa"/>
            <w:vAlign w:val="center"/>
          </w:tcPr>
          <w:p w14:paraId="52656991">
            <w:pPr>
              <w:jc w:val="center"/>
              <w:rPr>
                <w:rFonts w:ascii="宋体" w:hAnsi="宋体"/>
                <w:kern w:val="2"/>
                <w:sz w:val="21"/>
                <w:szCs w:val="21"/>
              </w:rPr>
            </w:pPr>
            <w:r>
              <w:rPr>
                <w:rFonts w:hint="eastAsia" w:ascii="宋体" w:hAnsi="宋体"/>
                <w:kern w:val="2"/>
                <w:sz w:val="21"/>
                <w:szCs w:val="21"/>
              </w:rPr>
              <w:t>2</w:t>
            </w:r>
          </w:p>
        </w:tc>
        <w:tc>
          <w:tcPr>
            <w:tcW w:w="1606" w:type="dxa"/>
            <w:vMerge w:val="continue"/>
            <w:vAlign w:val="center"/>
          </w:tcPr>
          <w:p w14:paraId="178FCF19">
            <w:pPr>
              <w:jc w:val="center"/>
              <w:rPr>
                <w:rFonts w:ascii="宋体" w:hAnsi="宋体"/>
                <w:kern w:val="2"/>
                <w:sz w:val="21"/>
                <w:szCs w:val="21"/>
              </w:rPr>
            </w:pPr>
          </w:p>
        </w:tc>
        <w:tc>
          <w:tcPr>
            <w:tcW w:w="3827" w:type="dxa"/>
            <w:vAlign w:val="center"/>
          </w:tcPr>
          <w:p w14:paraId="0308A962">
            <w:pPr>
              <w:jc w:val="center"/>
              <w:rPr>
                <w:rFonts w:ascii="宋体" w:hAnsi="宋体"/>
                <w:kern w:val="2"/>
                <w:sz w:val="21"/>
                <w:szCs w:val="21"/>
              </w:rPr>
            </w:pPr>
            <w:r>
              <w:rPr>
                <w:rFonts w:hint="eastAsia" w:ascii="宋体" w:hAnsi="宋体"/>
                <w:kern w:val="2"/>
                <w:sz w:val="21"/>
                <w:szCs w:val="21"/>
              </w:rPr>
              <w:t>市场占有率</w:t>
            </w:r>
          </w:p>
        </w:tc>
        <w:tc>
          <w:tcPr>
            <w:tcW w:w="1752" w:type="dxa"/>
            <w:vAlign w:val="center"/>
          </w:tcPr>
          <w:p w14:paraId="7E56CA06">
            <w:pPr>
              <w:jc w:val="center"/>
              <w:rPr>
                <w:rFonts w:ascii="宋体" w:hAnsi="宋体"/>
                <w:kern w:val="2"/>
                <w:sz w:val="21"/>
                <w:szCs w:val="21"/>
              </w:rPr>
            </w:pPr>
            <w:r>
              <w:rPr>
                <w:rFonts w:hint="eastAsia" w:ascii="宋体" w:hAnsi="宋体"/>
                <w:kern w:val="2"/>
                <w:sz w:val="21"/>
                <w:szCs w:val="21"/>
              </w:rPr>
              <w:t>%</w:t>
            </w:r>
          </w:p>
        </w:tc>
      </w:tr>
      <w:tr w14:paraId="3D6C47CC">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295" w:hRule="atLeast"/>
          <w:jc w:val="center"/>
        </w:trPr>
        <w:tc>
          <w:tcPr>
            <w:tcW w:w="962" w:type="dxa"/>
            <w:vAlign w:val="center"/>
          </w:tcPr>
          <w:p w14:paraId="77C140CF">
            <w:pPr>
              <w:jc w:val="center"/>
              <w:rPr>
                <w:rFonts w:ascii="宋体" w:hAnsi="宋体"/>
                <w:kern w:val="2"/>
                <w:sz w:val="21"/>
                <w:szCs w:val="21"/>
              </w:rPr>
            </w:pPr>
            <w:r>
              <w:rPr>
                <w:rFonts w:hint="eastAsia" w:ascii="宋体" w:hAnsi="宋体"/>
                <w:kern w:val="2"/>
                <w:sz w:val="21"/>
                <w:szCs w:val="21"/>
              </w:rPr>
              <w:t>3</w:t>
            </w:r>
          </w:p>
        </w:tc>
        <w:tc>
          <w:tcPr>
            <w:tcW w:w="1606" w:type="dxa"/>
            <w:vMerge w:val="restart"/>
            <w:vAlign w:val="center"/>
          </w:tcPr>
          <w:p w14:paraId="4BE0416E">
            <w:pPr>
              <w:jc w:val="center"/>
              <w:rPr>
                <w:rFonts w:ascii="宋体" w:hAnsi="宋体"/>
                <w:kern w:val="2"/>
                <w:sz w:val="21"/>
                <w:szCs w:val="21"/>
              </w:rPr>
            </w:pPr>
            <w:r>
              <w:rPr>
                <w:rFonts w:hint="eastAsia" w:ascii="宋体" w:hAnsi="宋体"/>
                <w:kern w:val="2"/>
                <w:sz w:val="21"/>
                <w:szCs w:val="21"/>
              </w:rPr>
              <w:t>财务</w:t>
            </w:r>
          </w:p>
        </w:tc>
        <w:tc>
          <w:tcPr>
            <w:tcW w:w="3827" w:type="dxa"/>
            <w:vAlign w:val="center"/>
          </w:tcPr>
          <w:p w14:paraId="753AF917">
            <w:pPr>
              <w:jc w:val="center"/>
              <w:rPr>
                <w:rFonts w:ascii="宋体" w:hAnsi="宋体"/>
                <w:kern w:val="2"/>
                <w:sz w:val="21"/>
                <w:szCs w:val="21"/>
              </w:rPr>
            </w:pPr>
            <w:r>
              <w:rPr>
                <w:rFonts w:hint="eastAsia" w:ascii="宋体" w:hAnsi="宋体"/>
                <w:kern w:val="2"/>
                <w:sz w:val="21"/>
                <w:szCs w:val="21"/>
              </w:rPr>
              <w:t>销售收入</w:t>
            </w:r>
          </w:p>
        </w:tc>
        <w:tc>
          <w:tcPr>
            <w:tcW w:w="1752" w:type="dxa"/>
            <w:vAlign w:val="center"/>
          </w:tcPr>
          <w:p w14:paraId="7272E947">
            <w:pPr>
              <w:jc w:val="center"/>
              <w:rPr>
                <w:rFonts w:ascii="宋体" w:hAnsi="宋体"/>
                <w:kern w:val="2"/>
                <w:sz w:val="21"/>
                <w:szCs w:val="21"/>
              </w:rPr>
            </w:pPr>
            <w:r>
              <w:rPr>
                <w:rFonts w:hint="eastAsia" w:ascii="宋体" w:hAnsi="宋体"/>
                <w:kern w:val="2"/>
                <w:sz w:val="21"/>
                <w:szCs w:val="21"/>
              </w:rPr>
              <w:t>万元</w:t>
            </w:r>
          </w:p>
        </w:tc>
      </w:tr>
      <w:tr w14:paraId="795249DF">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295" w:hRule="atLeast"/>
          <w:jc w:val="center"/>
        </w:trPr>
        <w:tc>
          <w:tcPr>
            <w:tcW w:w="962" w:type="dxa"/>
            <w:vAlign w:val="center"/>
          </w:tcPr>
          <w:p w14:paraId="7E0B3273">
            <w:pPr>
              <w:jc w:val="center"/>
              <w:rPr>
                <w:rFonts w:ascii="宋体" w:hAnsi="宋体"/>
                <w:kern w:val="2"/>
                <w:sz w:val="21"/>
                <w:szCs w:val="21"/>
              </w:rPr>
            </w:pPr>
            <w:r>
              <w:rPr>
                <w:rFonts w:hint="eastAsia" w:ascii="宋体" w:hAnsi="宋体"/>
                <w:kern w:val="2"/>
                <w:sz w:val="21"/>
                <w:szCs w:val="21"/>
              </w:rPr>
              <w:t>4</w:t>
            </w:r>
          </w:p>
        </w:tc>
        <w:tc>
          <w:tcPr>
            <w:tcW w:w="1606" w:type="dxa"/>
            <w:vMerge w:val="continue"/>
            <w:vAlign w:val="center"/>
          </w:tcPr>
          <w:p w14:paraId="0E9B61B6">
            <w:pPr>
              <w:jc w:val="center"/>
              <w:rPr>
                <w:rFonts w:ascii="宋体" w:hAnsi="宋体"/>
                <w:kern w:val="2"/>
                <w:sz w:val="21"/>
                <w:szCs w:val="21"/>
              </w:rPr>
            </w:pPr>
          </w:p>
        </w:tc>
        <w:tc>
          <w:tcPr>
            <w:tcW w:w="3827" w:type="dxa"/>
            <w:vAlign w:val="center"/>
          </w:tcPr>
          <w:p w14:paraId="7A004760">
            <w:pPr>
              <w:jc w:val="center"/>
              <w:rPr>
                <w:rFonts w:ascii="宋体" w:hAnsi="宋体"/>
                <w:kern w:val="2"/>
                <w:sz w:val="21"/>
                <w:szCs w:val="21"/>
              </w:rPr>
            </w:pPr>
            <w:r>
              <w:rPr>
                <w:rFonts w:hint="eastAsia" w:ascii="宋体" w:hAnsi="宋体"/>
                <w:kern w:val="2"/>
                <w:sz w:val="21"/>
                <w:szCs w:val="21"/>
              </w:rPr>
              <w:t>利润总额</w:t>
            </w:r>
          </w:p>
        </w:tc>
        <w:tc>
          <w:tcPr>
            <w:tcW w:w="1752" w:type="dxa"/>
            <w:vAlign w:val="center"/>
          </w:tcPr>
          <w:p w14:paraId="77BF19EB">
            <w:pPr>
              <w:jc w:val="center"/>
              <w:rPr>
                <w:rFonts w:ascii="宋体" w:hAnsi="宋体"/>
                <w:kern w:val="2"/>
                <w:sz w:val="21"/>
                <w:szCs w:val="21"/>
              </w:rPr>
            </w:pPr>
            <w:r>
              <w:rPr>
                <w:rFonts w:hint="eastAsia" w:ascii="宋体" w:hAnsi="宋体"/>
                <w:kern w:val="2"/>
                <w:sz w:val="21"/>
                <w:szCs w:val="21"/>
              </w:rPr>
              <w:t>万元</w:t>
            </w:r>
          </w:p>
        </w:tc>
      </w:tr>
      <w:tr w14:paraId="593E8C1C">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295" w:hRule="atLeast"/>
          <w:jc w:val="center"/>
        </w:trPr>
        <w:tc>
          <w:tcPr>
            <w:tcW w:w="962" w:type="dxa"/>
            <w:vAlign w:val="center"/>
          </w:tcPr>
          <w:p w14:paraId="64E8F9CE">
            <w:pPr>
              <w:jc w:val="center"/>
              <w:rPr>
                <w:rFonts w:ascii="宋体" w:hAnsi="宋体"/>
                <w:kern w:val="2"/>
                <w:sz w:val="21"/>
                <w:szCs w:val="21"/>
              </w:rPr>
            </w:pPr>
            <w:r>
              <w:rPr>
                <w:rFonts w:hint="eastAsia" w:ascii="宋体" w:hAnsi="宋体"/>
                <w:kern w:val="2"/>
                <w:sz w:val="21"/>
                <w:szCs w:val="21"/>
              </w:rPr>
              <w:t>5</w:t>
            </w:r>
          </w:p>
        </w:tc>
        <w:tc>
          <w:tcPr>
            <w:tcW w:w="1606" w:type="dxa"/>
            <w:vMerge w:val="restart"/>
            <w:vAlign w:val="center"/>
          </w:tcPr>
          <w:p w14:paraId="58C42F2C">
            <w:pPr>
              <w:jc w:val="center"/>
              <w:rPr>
                <w:rFonts w:ascii="宋体" w:hAnsi="宋体"/>
                <w:kern w:val="2"/>
                <w:sz w:val="21"/>
                <w:szCs w:val="21"/>
              </w:rPr>
            </w:pPr>
            <w:r>
              <w:rPr>
                <w:rFonts w:hint="eastAsia" w:ascii="宋体" w:hAnsi="宋体"/>
                <w:kern w:val="2"/>
                <w:sz w:val="21"/>
                <w:szCs w:val="21"/>
              </w:rPr>
              <w:t>资源</w:t>
            </w:r>
          </w:p>
        </w:tc>
        <w:tc>
          <w:tcPr>
            <w:tcW w:w="3827" w:type="dxa"/>
            <w:vAlign w:val="center"/>
          </w:tcPr>
          <w:p w14:paraId="795294EE">
            <w:pPr>
              <w:jc w:val="center"/>
              <w:rPr>
                <w:rFonts w:ascii="宋体" w:hAnsi="宋体"/>
                <w:kern w:val="2"/>
                <w:sz w:val="21"/>
                <w:szCs w:val="21"/>
              </w:rPr>
            </w:pPr>
            <w:r>
              <w:rPr>
                <w:rFonts w:hint="eastAsia" w:ascii="宋体" w:hAnsi="宋体"/>
                <w:kern w:val="2"/>
                <w:sz w:val="21"/>
                <w:szCs w:val="21"/>
              </w:rPr>
              <w:t>全员劳动生产率</w:t>
            </w:r>
          </w:p>
        </w:tc>
        <w:tc>
          <w:tcPr>
            <w:tcW w:w="1752" w:type="dxa"/>
            <w:vAlign w:val="center"/>
          </w:tcPr>
          <w:p w14:paraId="70286884">
            <w:pPr>
              <w:jc w:val="center"/>
              <w:rPr>
                <w:rFonts w:ascii="宋体" w:hAnsi="宋体"/>
                <w:kern w:val="2"/>
                <w:sz w:val="21"/>
                <w:szCs w:val="21"/>
              </w:rPr>
            </w:pPr>
            <w:r>
              <w:rPr>
                <w:rFonts w:hint="eastAsia" w:ascii="宋体" w:hAnsi="宋体"/>
                <w:kern w:val="2"/>
                <w:sz w:val="21"/>
                <w:szCs w:val="21"/>
              </w:rPr>
              <w:t>%</w:t>
            </w:r>
          </w:p>
        </w:tc>
      </w:tr>
      <w:tr w14:paraId="52638475">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295" w:hRule="atLeast"/>
          <w:jc w:val="center"/>
        </w:trPr>
        <w:tc>
          <w:tcPr>
            <w:tcW w:w="962" w:type="dxa"/>
            <w:vAlign w:val="center"/>
          </w:tcPr>
          <w:p w14:paraId="4F91E743">
            <w:pPr>
              <w:jc w:val="center"/>
              <w:rPr>
                <w:rFonts w:ascii="宋体" w:hAnsi="宋体"/>
                <w:kern w:val="2"/>
                <w:sz w:val="21"/>
                <w:szCs w:val="21"/>
              </w:rPr>
            </w:pPr>
            <w:r>
              <w:rPr>
                <w:rFonts w:hint="eastAsia" w:ascii="宋体" w:hAnsi="宋体"/>
                <w:kern w:val="2"/>
                <w:sz w:val="21"/>
                <w:szCs w:val="21"/>
              </w:rPr>
              <w:t>6</w:t>
            </w:r>
          </w:p>
        </w:tc>
        <w:tc>
          <w:tcPr>
            <w:tcW w:w="1606" w:type="dxa"/>
            <w:vMerge w:val="continue"/>
            <w:vAlign w:val="center"/>
          </w:tcPr>
          <w:p w14:paraId="2B61CE0E">
            <w:pPr>
              <w:jc w:val="center"/>
              <w:rPr>
                <w:rFonts w:ascii="宋体" w:hAnsi="宋体"/>
                <w:kern w:val="2"/>
                <w:sz w:val="21"/>
                <w:szCs w:val="21"/>
              </w:rPr>
            </w:pPr>
          </w:p>
        </w:tc>
        <w:tc>
          <w:tcPr>
            <w:tcW w:w="3827" w:type="dxa"/>
            <w:vAlign w:val="center"/>
          </w:tcPr>
          <w:p w14:paraId="622ACB52">
            <w:pPr>
              <w:jc w:val="center"/>
              <w:rPr>
                <w:rFonts w:ascii="宋体" w:hAnsi="宋体"/>
                <w:kern w:val="2"/>
                <w:sz w:val="21"/>
                <w:szCs w:val="21"/>
              </w:rPr>
            </w:pPr>
            <w:r>
              <w:rPr>
                <w:rFonts w:hint="eastAsia" w:ascii="宋体" w:hAnsi="宋体"/>
                <w:kern w:val="2"/>
                <w:sz w:val="21"/>
                <w:szCs w:val="21"/>
              </w:rPr>
              <w:t>长期合作伙伴数量</w:t>
            </w:r>
          </w:p>
        </w:tc>
        <w:tc>
          <w:tcPr>
            <w:tcW w:w="1752" w:type="dxa"/>
            <w:vAlign w:val="center"/>
          </w:tcPr>
          <w:p w14:paraId="1EC6F9A2">
            <w:pPr>
              <w:jc w:val="center"/>
              <w:rPr>
                <w:rFonts w:ascii="宋体" w:hAnsi="宋体"/>
                <w:kern w:val="2"/>
                <w:sz w:val="21"/>
                <w:szCs w:val="21"/>
              </w:rPr>
            </w:pPr>
            <w:r>
              <w:rPr>
                <w:rFonts w:hint="eastAsia" w:ascii="宋体" w:hAnsi="宋体"/>
                <w:kern w:val="2"/>
                <w:sz w:val="21"/>
                <w:szCs w:val="21"/>
              </w:rPr>
              <w:t>个</w:t>
            </w:r>
          </w:p>
        </w:tc>
      </w:tr>
      <w:tr w14:paraId="68E96976">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342" w:hRule="atLeast"/>
          <w:jc w:val="center"/>
        </w:trPr>
        <w:tc>
          <w:tcPr>
            <w:tcW w:w="962" w:type="dxa"/>
            <w:vAlign w:val="center"/>
          </w:tcPr>
          <w:p w14:paraId="4EDD56B8">
            <w:pPr>
              <w:jc w:val="center"/>
              <w:rPr>
                <w:rFonts w:ascii="宋体" w:hAnsi="宋体"/>
                <w:kern w:val="2"/>
                <w:sz w:val="21"/>
                <w:szCs w:val="21"/>
              </w:rPr>
            </w:pPr>
            <w:r>
              <w:rPr>
                <w:rFonts w:hint="eastAsia" w:ascii="宋体" w:hAnsi="宋体"/>
                <w:kern w:val="2"/>
                <w:sz w:val="21"/>
                <w:szCs w:val="21"/>
              </w:rPr>
              <w:t>7</w:t>
            </w:r>
          </w:p>
        </w:tc>
        <w:tc>
          <w:tcPr>
            <w:tcW w:w="1606" w:type="dxa"/>
            <w:vMerge w:val="continue"/>
            <w:vAlign w:val="center"/>
          </w:tcPr>
          <w:p w14:paraId="1C549EFF">
            <w:pPr>
              <w:jc w:val="center"/>
              <w:rPr>
                <w:rFonts w:ascii="宋体" w:hAnsi="宋体"/>
                <w:kern w:val="2"/>
                <w:sz w:val="21"/>
                <w:szCs w:val="21"/>
              </w:rPr>
            </w:pPr>
          </w:p>
        </w:tc>
        <w:tc>
          <w:tcPr>
            <w:tcW w:w="3827" w:type="dxa"/>
            <w:vAlign w:val="center"/>
          </w:tcPr>
          <w:p w14:paraId="7564616B">
            <w:pPr>
              <w:jc w:val="center"/>
              <w:rPr>
                <w:rFonts w:ascii="宋体" w:hAnsi="宋体"/>
                <w:kern w:val="2"/>
                <w:sz w:val="21"/>
                <w:szCs w:val="21"/>
              </w:rPr>
            </w:pPr>
            <w:r>
              <w:rPr>
                <w:rFonts w:hint="eastAsia" w:ascii="宋体" w:hAnsi="宋体"/>
                <w:kern w:val="2"/>
                <w:sz w:val="21"/>
                <w:szCs w:val="21"/>
              </w:rPr>
              <w:t>员工满意度</w:t>
            </w:r>
          </w:p>
        </w:tc>
        <w:tc>
          <w:tcPr>
            <w:tcW w:w="1752" w:type="dxa"/>
            <w:vAlign w:val="center"/>
          </w:tcPr>
          <w:p w14:paraId="26FA3C56">
            <w:pPr>
              <w:jc w:val="center"/>
              <w:rPr>
                <w:rFonts w:ascii="宋体" w:hAnsi="宋体"/>
                <w:kern w:val="2"/>
                <w:sz w:val="21"/>
                <w:szCs w:val="21"/>
              </w:rPr>
            </w:pPr>
            <w:r>
              <w:rPr>
                <w:rFonts w:hint="eastAsia" w:ascii="宋体" w:hAnsi="宋体"/>
                <w:kern w:val="2"/>
                <w:sz w:val="21"/>
                <w:szCs w:val="21"/>
              </w:rPr>
              <w:t>%</w:t>
            </w:r>
          </w:p>
        </w:tc>
      </w:tr>
      <w:tr w14:paraId="26EEFEEE">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295" w:hRule="atLeast"/>
          <w:jc w:val="center"/>
        </w:trPr>
        <w:tc>
          <w:tcPr>
            <w:tcW w:w="962" w:type="dxa"/>
            <w:vAlign w:val="center"/>
          </w:tcPr>
          <w:p w14:paraId="5D7FB2E0">
            <w:pPr>
              <w:jc w:val="center"/>
              <w:rPr>
                <w:rFonts w:ascii="宋体" w:hAnsi="宋体"/>
                <w:kern w:val="2"/>
                <w:sz w:val="21"/>
                <w:szCs w:val="21"/>
              </w:rPr>
            </w:pPr>
            <w:r>
              <w:rPr>
                <w:rFonts w:hint="eastAsia" w:ascii="宋体" w:hAnsi="宋体"/>
                <w:kern w:val="2"/>
                <w:sz w:val="21"/>
                <w:szCs w:val="21"/>
              </w:rPr>
              <w:t>8</w:t>
            </w:r>
          </w:p>
        </w:tc>
        <w:tc>
          <w:tcPr>
            <w:tcW w:w="1606" w:type="dxa"/>
            <w:vMerge w:val="restart"/>
            <w:vAlign w:val="center"/>
          </w:tcPr>
          <w:p w14:paraId="06FE2182">
            <w:pPr>
              <w:jc w:val="center"/>
              <w:rPr>
                <w:rFonts w:ascii="宋体" w:hAnsi="宋体"/>
                <w:kern w:val="2"/>
                <w:sz w:val="21"/>
                <w:szCs w:val="21"/>
              </w:rPr>
            </w:pPr>
            <w:r>
              <w:rPr>
                <w:rFonts w:hint="eastAsia" w:ascii="宋体" w:hAnsi="宋体"/>
                <w:kern w:val="2"/>
                <w:sz w:val="21"/>
                <w:szCs w:val="21"/>
              </w:rPr>
              <w:t>过程有效性</w:t>
            </w:r>
          </w:p>
        </w:tc>
        <w:tc>
          <w:tcPr>
            <w:tcW w:w="3827" w:type="dxa"/>
            <w:vAlign w:val="center"/>
          </w:tcPr>
          <w:p w14:paraId="5E581B71">
            <w:pPr>
              <w:jc w:val="center"/>
              <w:rPr>
                <w:rFonts w:ascii="宋体" w:hAnsi="宋体"/>
                <w:kern w:val="2"/>
                <w:sz w:val="21"/>
                <w:szCs w:val="21"/>
              </w:rPr>
            </w:pPr>
            <w:r>
              <w:rPr>
                <w:rFonts w:hint="eastAsia" w:ascii="宋体" w:hAnsi="宋体"/>
                <w:kern w:val="2"/>
                <w:sz w:val="21"/>
                <w:szCs w:val="21"/>
              </w:rPr>
              <w:t>产品准时交付率</w:t>
            </w:r>
          </w:p>
        </w:tc>
        <w:tc>
          <w:tcPr>
            <w:tcW w:w="1752" w:type="dxa"/>
            <w:vAlign w:val="center"/>
          </w:tcPr>
          <w:p w14:paraId="7521A620">
            <w:pPr>
              <w:jc w:val="center"/>
              <w:rPr>
                <w:rFonts w:ascii="宋体" w:hAnsi="宋体"/>
                <w:kern w:val="2"/>
                <w:sz w:val="21"/>
                <w:szCs w:val="21"/>
              </w:rPr>
            </w:pPr>
            <w:r>
              <w:rPr>
                <w:rFonts w:hint="eastAsia" w:ascii="宋体" w:hAnsi="宋体"/>
                <w:kern w:val="2"/>
                <w:sz w:val="21"/>
                <w:szCs w:val="21"/>
              </w:rPr>
              <w:t>%</w:t>
            </w:r>
          </w:p>
        </w:tc>
      </w:tr>
      <w:tr w14:paraId="5A5EBADB">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314" w:hRule="atLeast"/>
          <w:jc w:val="center"/>
        </w:trPr>
        <w:tc>
          <w:tcPr>
            <w:tcW w:w="962" w:type="dxa"/>
            <w:vAlign w:val="center"/>
          </w:tcPr>
          <w:p w14:paraId="39B6BA1E">
            <w:pPr>
              <w:jc w:val="center"/>
              <w:rPr>
                <w:rFonts w:ascii="宋体" w:hAnsi="宋体"/>
                <w:kern w:val="2"/>
                <w:sz w:val="21"/>
                <w:szCs w:val="21"/>
              </w:rPr>
            </w:pPr>
            <w:r>
              <w:rPr>
                <w:rFonts w:hint="eastAsia" w:ascii="宋体" w:hAnsi="宋体"/>
                <w:kern w:val="2"/>
                <w:sz w:val="21"/>
                <w:szCs w:val="21"/>
              </w:rPr>
              <w:t>9</w:t>
            </w:r>
          </w:p>
        </w:tc>
        <w:tc>
          <w:tcPr>
            <w:tcW w:w="1606" w:type="dxa"/>
            <w:vMerge w:val="continue"/>
            <w:vAlign w:val="center"/>
          </w:tcPr>
          <w:p w14:paraId="320ED994">
            <w:pPr>
              <w:jc w:val="center"/>
              <w:rPr>
                <w:rFonts w:ascii="宋体" w:hAnsi="宋体"/>
                <w:kern w:val="2"/>
                <w:sz w:val="21"/>
                <w:szCs w:val="21"/>
              </w:rPr>
            </w:pPr>
          </w:p>
        </w:tc>
        <w:tc>
          <w:tcPr>
            <w:tcW w:w="3827" w:type="dxa"/>
            <w:vAlign w:val="center"/>
          </w:tcPr>
          <w:p w14:paraId="7EBDE3F2">
            <w:pPr>
              <w:jc w:val="center"/>
              <w:rPr>
                <w:rFonts w:ascii="宋体" w:hAnsi="宋体"/>
                <w:kern w:val="2"/>
                <w:sz w:val="21"/>
                <w:szCs w:val="21"/>
              </w:rPr>
            </w:pPr>
            <w:r>
              <w:rPr>
                <w:rFonts w:hint="eastAsia" w:ascii="宋体" w:hAnsi="宋体"/>
                <w:kern w:val="2"/>
                <w:sz w:val="21"/>
                <w:szCs w:val="21"/>
              </w:rPr>
              <w:t>进货批合格率</w:t>
            </w:r>
          </w:p>
        </w:tc>
        <w:tc>
          <w:tcPr>
            <w:tcW w:w="1752" w:type="dxa"/>
            <w:vAlign w:val="center"/>
          </w:tcPr>
          <w:p w14:paraId="55DEAB4E">
            <w:pPr>
              <w:jc w:val="center"/>
              <w:rPr>
                <w:rFonts w:ascii="宋体" w:hAnsi="宋体"/>
                <w:kern w:val="2"/>
                <w:sz w:val="21"/>
                <w:szCs w:val="21"/>
              </w:rPr>
            </w:pPr>
            <w:r>
              <w:rPr>
                <w:rFonts w:hint="eastAsia" w:ascii="宋体" w:hAnsi="宋体"/>
                <w:kern w:val="2"/>
                <w:sz w:val="21"/>
                <w:szCs w:val="21"/>
              </w:rPr>
              <w:t>%</w:t>
            </w:r>
          </w:p>
        </w:tc>
      </w:tr>
      <w:tr w14:paraId="21609759">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356" w:hRule="atLeast"/>
          <w:jc w:val="center"/>
        </w:trPr>
        <w:tc>
          <w:tcPr>
            <w:tcW w:w="962" w:type="dxa"/>
            <w:vAlign w:val="center"/>
          </w:tcPr>
          <w:p w14:paraId="7F33567F">
            <w:pPr>
              <w:jc w:val="center"/>
              <w:rPr>
                <w:rFonts w:ascii="宋体" w:hAnsi="宋体"/>
                <w:kern w:val="2"/>
                <w:sz w:val="21"/>
                <w:szCs w:val="21"/>
              </w:rPr>
            </w:pPr>
            <w:r>
              <w:rPr>
                <w:rFonts w:hint="eastAsia" w:ascii="宋体" w:hAnsi="宋体"/>
                <w:kern w:val="2"/>
                <w:sz w:val="21"/>
                <w:szCs w:val="21"/>
              </w:rPr>
              <w:t>10</w:t>
            </w:r>
          </w:p>
        </w:tc>
        <w:tc>
          <w:tcPr>
            <w:tcW w:w="1606" w:type="dxa"/>
            <w:vMerge w:val="continue"/>
            <w:vAlign w:val="center"/>
          </w:tcPr>
          <w:p w14:paraId="6F8A3866">
            <w:pPr>
              <w:jc w:val="center"/>
              <w:rPr>
                <w:rFonts w:ascii="宋体" w:hAnsi="宋体"/>
                <w:kern w:val="2"/>
                <w:sz w:val="21"/>
                <w:szCs w:val="21"/>
              </w:rPr>
            </w:pPr>
          </w:p>
        </w:tc>
        <w:tc>
          <w:tcPr>
            <w:tcW w:w="3827" w:type="dxa"/>
            <w:vAlign w:val="center"/>
          </w:tcPr>
          <w:p w14:paraId="24A2A169">
            <w:pPr>
              <w:jc w:val="center"/>
              <w:rPr>
                <w:rFonts w:ascii="宋体" w:hAnsi="宋体"/>
                <w:kern w:val="2"/>
                <w:sz w:val="21"/>
                <w:szCs w:val="21"/>
              </w:rPr>
            </w:pPr>
            <w:r>
              <w:rPr>
                <w:rFonts w:hint="eastAsia" w:ascii="宋体" w:hAnsi="宋体"/>
                <w:kern w:val="2"/>
                <w:sz w:val="21"/>
                <w:szCs w:val="21"/>
              </w:rPr>
              <w:t>成品一次检验合格率</w:t>
            </w:r>
          </w:p>
        </w:tc>
        <w:tc>
          <w:tcPr>
            <w:tcW w:w="1752" w:type="dxa"/>
            <w:vAlign w:val="center"/>
          </w:tcPr>
          <w:p w14:paraId="0E16F278">
            <w:pPr>
              <w:jc w:val="center"/>
              <w:rPr>
                <w:rFonts w:ascii="宋体" w:hAnsi="宋体"/>
                <w:kern w:val="2"/>
                <w:sz w:val="21"/>
                <w:szCs w:val="21"/>
              </w:rPr>
            </w:pPr>
            <w:r>
              <w:rPr>
                <w:rFonts w:hint="eastAsia" w:ascii="宋体" w:hAnsi="宋体"/>
                <w:kern w:val="2"/>
                <w:sz w:val="21"/>
                <w:szCs w:val="21"/>
              </w:rPr>
              <w:t>%</w:t>
            </w:r>
          </w:p>
        </w:tc>
      </w:tr>
      <w:tr w14:paraId="4F3EF6D3">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295" w:hRule="atLeast"/>
          <w:jc w:val="center"/>
        </w:trPr>
        <w:tc>
          <w:tcPr>
            <w:tcW w:w="962" w:type="dxa"/>
            <w:vAlign w:val="center"/>
          </w:tcPr>
          <w:p w14:paraId="119AFC30">
            <w:pPr>
              <w:jc w:val="center"/>
              <w:rPr>
                <w:rFonts w:ascii="宋体" w:hAnsi="宋体"/>
                <w:kern w:val="2"/>
                <w:sz w:val="21"/>
                <w:szCs w:val="21"/>
              </w:rPr>
            </w:pPr>
            <w:r>
              <w:rPr>
                <w:rFonts w:hint="eastAsia" w:ascii="宋体" w:hAnsi="宋体"/>
                <w:kern w:val="2"/>
                <w:sz w:val="21"/>
                <w:szCs w:val="21"/>
              </w:rPr>
              <w:t>11</w:t>
            </w:r>
          </w:p>
        </w:tc>
        <w:tc>
          <w:tcPr>
            <w:tcW w:w="1606" w:type="dxa"/>
            <w:vMerge w:val="restart"/>
            <w:vAlign w:val="center"/>
          </w:tcPr>
          <w:p w14:paraId="01C98287">
            <w:pPr>
              <w:jc w:val="center"/>
              <w:rPr>
                <w:rFonts w:ascii="宋体" w:hAnsi="宋体"/>
                <w:kern w:val="2"/>
                <w:sz w:val="21"/>
                <w:szCs w:val="21"/>
              </w:rPr>
            </w:pPr>
            <w:r>
              <w:rPr>
                <w:rFonts w:hint="eastAsia" w:ascii="宋体" w:hAnsi="宋体"/>
                <w:kern w:val="2"/>
                <w:sz w:val="21"/>
                <w:szCs w:val="21"/>
              </w:rPr>
              <w:t>社会责任</w:t>
            </w:r>
          </w:p>
        </w:tc>
        <w:tc>
          <w:tcPr>
            <w:tcW w:w="3827" w:type="dxa"/>
            <w:vAlign w:val="center"/>
          </w:tcPr>
          <w:p w14:paraId="2AA1144A">
            <w:pPr>
              <w:jc w:val="center"/>
              <w:rPr>
                <w:rFonts w:ascii="宋体" w:hAnsi="宋体"/>
                <w:kern w:val="2"/>
                <w:sz w:val="21"/>
                <w:szCs w:val="21"/>
              </w:rPr>
            </w:pPr>
            <w:r>
              <w:rPr>
                <w:rFonts w:hint="eastAsia" w:ascii="宋体" w:hAnsi="宋体"/>
                <w:kern w:val="2"/>
                <w:sz w:val="21"/>
                <w:szCs w:val="21"/>
              </w:rPr>
              <w:t>重大伤亡/轻伤事故频率</w:t>
            </w:r>
          </w:p>
        </w:tc>
        <w:tc>
          <w:tcPr>
            <w:tcW w:w="1752" w:type="dxa"/>
            <w:vAlign w:val="center"/>
          </w:tcPr>
          <w:p w14:paraId="00942AEA">
            <w:pPr>
              <w:jc w:val="center"/>
              <w:rPr>
                <w:rFonts w:ascii="宋体" w:hAnsi="宋体"/>
                <w:kern w:val="2"/>
                <w:sz w:val="21"/>
                <w:szCs w:val="21"/>
              </w:rPr>
            </w:pPr>
            <w:r>
              <w:rPr>
                <w:rFonts w:hint="eastAsia" w:ascii="宋体" w:hAnsi="宋体"/>
                <w:kern w:val="2"/>
                <w:sz w:val="21"/>
                <w:szCs w:val="21"/>
              </w:rPr>
              <w:t>‰</w:t>
            </w:r>
          </w:p>
        </w:tc>
      </w:tr>
      <w:tr w14:paraId="44DF5561">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295" w:hRule="atLeast"/>
          <w:jc w:val="center"/>
        </w:trPr>
        <w:tc>
          <w:tcPr>
            <w:tcW w:w="962" w:type="dxa"/>
            <w:vAlign w:val="center"/>
          </w:tcPr>
          <w:p w14:paraId="3D8FCFC0">
            <w:pPr>
              <w:jc w:val="center"/>
              <w:rPr>
                <w:rFonts w:ascii="宋体" w:hAnsi="宋体"/>
                <w:kern w:val="2"/>
                <w:sz w:val="21"/>
                <w:szCs w:val="21"/>
              </w:rPr>
            </w:pPr>
            <w:r>
              <w:rPr>
                <w:rFonts w:hint="eastAsia" w:ascii="宋体" w:hAnsi="宋体"/>
                <w:kern w:val="2"/>
                <w:sz w:val="21"/>
                <w:szCs w:val="21"/>
              </w:rPr>
              <w:t>12</w:t>
            </w:r>
          </w:p>
        </w:tc>
        <w:tc>
          <w:tcPr>
            <w:tcW w:w="1606" w:type="dxa"/>
            <w:vMerge w:val="continue"/>
            <w:vAlign w:val="center"/>
          </w:tcPr>
          <w:p w14:paraId="5121C88C">
            <w:pPr>
              <w:jc w:val="center"/>
              <w:rPr>
                <w:rFonts w:ascii="宋体" w:hAnsi="宋体"/>
                <w:kern w:val="2"/>
                <w:sz w:val="21"/>
                <w:szCs w:val="21"/>
              </w:rPr>
            </w:pPr>
          </w:p>
        </w:tc>
        <w:tc>
          <w:tcPr>
            <w:tcW w:w="3827" w:type="dxa"/>
            <w:vAlign w:val="center"/>
          </w:tcPr>
          <w:p w14:paraId="18178DDC">
            <w:pPr>
              <w:jc w:val="center"/>
              <w:rPr>
                <w:rFonts w:ascii="宋体" w:hAnsi="宋体"/>
                <w:kern w:val="2"/>
                <w:sz w:val="21"/>
                <w:szCs w:val="21"/>
              </w:rPr>
            </w:pPr>
            <w:r>
              <w:rPr>
                <w:rFonts w:hint="eastAsia" w:ascii="宋体" w:hAnsi="宋体"/>
                <w:kern w:val="2"/>
                <w:sz w:val="21"/>
                <w:szCs w:val="21"/>
              </w:rPr>
              <w:t>环境指标综合达标率</w:t>
            </w:r>
          </w:p>
        </w:tc>
        <w:tc>
          <w:tcPr>
            <w:tcW w:w="1752" w:type="dxa"/>
            <w:vAlign w:val="center"/>
          </w:tcPr>
          <w:p w14:paraId="5AA9F315">
            <w:pPr>
              <w:jc w:val="center"/>
              <w:rPr>
                <w:rFonts w:ascii="宋体" w:hAnsi="宋体"/>
                <w:kern w:val="2"/>
                <w:sz w:val="21"/>
                <w:szCs w:val="21"/>
              </w:rPr>
            </w:pPr>
            <w:r>
              <w:rPr>
                <w:rFonts w:hint="eastAsia" w:ascii="宋体" w:hAnsi="宋体"/>
                <w:kern w:val="2"/>
                <w:sz w:val="21"/>
                <w:szCs w:val="21"/>
              </w:rPr>
              <w:t>%</w:t>
            </w:r>
          </w:p>
        </w:tc>
      </w:tr>
      <w:tr w14:paraId="3CDE547B">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295" w:hRule="atLeast"/>
          <w:jc w:val="center"/>
        </w:trPr>
        <w:tc>
          <w:tcPr>
            <w:tcW w:w="962" w:type="dxa"/>
            <w:vAlign w:val="center"/>
          </w:tcPr>
          <w:p w14:paraId="46DB4188">
            <w:pPr>
              <w:jc w:val="center"/>
              <w:rPr>
                <w:rFonts w:ascii="宋体" w:hAnsi="宋体"/>
                <w:kern w:val="2"/>
                <w:sz w:val="21"/>
                <w:szCs w:val="21"/>
              </w:rPr>
            </w:pPr>
            <w:r>
              <w:rPr>
                <w:rFonts w:hint="eastAsia" w:ascii="宋体" w:hAnsi="宋体"/>
                <w:kern w:val="2"/>
                <w:sz w:val="21"/>
                <w:szCs w:val="21"/>
              </w:rPr>
              <w:t>13</w:t>
            </w:r>
          </w:p>
        </w:tc>
        <w:tc>
          <w:tcPr>
            <w:tcW w:w="1606" w:type="dxa"/>
            <w:vMerge w:val="continue"/>
            <w:vAlign w:val="center"/>
          </w:tcPr>
          <w:p w14:paraId="646DC955">
            <w:pPr>
              <w:jc w:val="center"/>
              <w:rPr>
                <w:rFonts w:ascii="宋体" w:hAnsi="宋体"/>
                <w:kern w:val="2"/>
                <w:sz w:val="21"/>
                <w:szCs w:val="21"/>
              </w:rPr>
            </w:pPr>
          </w:p>
        </w:tc>
        <w:tc>
          <w:tcPr>
            <w:tcW w:w="3827" w:type="dxa"/>
            <w:vAlign w:val="center"/>
          </w:tcPr>
          <w:p w14:paraId="62D1B44B">
            <w:pPr>
              <w:jc w:val="center"/>
              <w:rPr>
                <w:rFonts w:ascii="宋体" w:hAnsi="宋体"/>
                <w:kern w:val="2"/>
                <w:sz w:val="21"/>
                <w:szCs w:val="21"/>
              </w:rPr>
            </w:pPr>
            <w:r>
              <w:rPr>
                <w:rFonts w:hint="eastAsia" w:ascii="宋体" w:hAnsi="宋体"/>
                <w:kern w:val="2"/>
                <w:sz w:val="21"/>
                <w:szCs w:val="21"/>
              </w:rPr>
              <w:t>公益支持</w:t>
            </w:r>
          </w:p>
        </w:tc>
        <w:tc>
          <w:tcPr>
            <w:tcW w:w="1752" w:type="dxa"/>
            <w:vAlign w:val="center"/>
          </w:tcPr>
          <w:p w14:paraId="21FE8919">
            <w:pPr>
              <w:jc w:val="center"/>
              <w:rPr>
                <w:rFonts w:ascii="宋体" w:hAnsi="宋体"/>
                <w:kern w:val="2"/>
                <w:sz w:val="21"/>
                <w:szCs w:val="21"/>
              </w:rPr>
            </w:pPr>
            <w:r>
              <w:rPr>
                <w:rFonts w:hint="eastAsia" w:ascii="宋体" w:hAnsi="宋体"/>
                <w:kern w:val="2"/>
                <w:sz w:val="21"/>
                <w:szCs w:val="21"/>
              </w:rPr>
              <w:t>万元</w:t>
            </w:r>
          </w:p>
        </w:tc>
      </w:tr>
    </w:tbl>
    <w:p w14:paraId="385BC8B4">
      <w:pPr>
        <w:snapToGrid w:val="0"/>
        <w:jc w:val="center"/>
        <w:rPr>
          <w:rFonts w:ascii="黑体" w:hAnsi="黑体" w:eastAsia="黑体"/>
          <w:b/>
          <w:highlight w:val="red"/>
        </w:rPr>
      </w:pPr>
    </w:p>
    <w:p w14:paraId="342F68F3">
      <w:pPr>
        <w:snapToGrid w:val="0"/>
        <w:spacing w:after="156" w:afterLines="50"/>
        <w:jc w:val="center"/>
        <w:rPr>
          <w:rFonts w:ascii="黑体" w:hAnsi="黑体" w:eastAsia="黑体"/>
          <w:b/>
          <w:sz w:val="21"/>
          <w:szCs w:val="21"/>
        </w:rPr>
      </w:pPr>
      <w:r>
        <w:rPr>
          <w:rFonts w:hint="eastAsia" w:ascii="黑体" w:hAnsi="黑体" w:eastAsia="黑体"/>
          <w:b/>
          <w:sz w:val="21"/>
          <w:szCs w:val="21"/>
        </w:rPr>
        <w:t>表4.1.2-4 公司部分关键绩效指标近期评审结果</w:t>
      </w:r>
    </w:p>
    <w:tbl>
      <w:tblPr>
        <w:tblStyle w:val="22"/>
        <w:tblW w:w="499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718"/>
        <w:gridCol w:w="866"/>
        <w:gridCol w:w="3432"/>
        <w:gridCol w:w="944"/>
        <w:gridCol w:w="944"/>
        <w:gridCol w:w="947"/>
      </w:tblGrid>
      <w:tr w14:paraId="477299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9" w:hRule="atLeast"/>
          <w:tblHeader/>
          <w:jc w:val="center"/>
        </w:trPr>
        <w:tc>
          <w:tcPr>
            <w:tcW w:w="970" w:type="pct"/>
            <w:vMerge w:val="restart"/>
            <w:shd w:val="clear" w:color="auto" w:fill="938953"/>
            <w:vAlign w:val="center"/>
          </w:tcPr>
          <w:p w14:paraId="19D9F7AA">
            <w:pPr>
              <w:jc w:val="center"/>
              <w:rPr>
                <w:rFonts w:ascii="宋体" w:hAnsi="宋体"/>
                <w:b/>
                <w:color w:val="FFFFFF"/>
                <w:sz w:val="21"/>
                <w:szCs w:val="21"/>
              </w:rPr>
            </w:pPr>
            <w:bookmarkStart w:id="7" w:name="_Hlk112225988"/>
            <w:r>
              <w:rPr>
                <w:rFonts w:hint="eastAsia" w:ascii="宋体" w:hAnsi="宋体"/>
                <w:b/>
                <w:color w:val="FFFFFF"/>
                <w:sz w:val="21"/>
                <w:szCs w:val="21"/>
              </w:rPr>
              <w:t>维度</w:t>
            </w:r>
          </w:p>
        </w:tc>
        <w:tc>
          <w:tcPr>
            <w:tcW w:w="489" w:type="pct"/>
            <w:vMerge w:val="restart"/>
            <w:shd w:val="clear" w:color="auto" w:fill="938953"/>
            <w:vAlign w:val="center"/>
          </w:tcPr>
          <w:p w14:paraId="59FEEFE0">
            <w:pPr>
              <w:jc w:val="center"/>
              <w:rPr>
                <w:rFonts w:ascii="宋体" w:hAnsi="宋体"/>
                <w:b/>
                <w:color w:val="FFFFFF"/>
                <w:sz w:val="21"/>
                <w:szCs w:val="21"/>
              </w:rPr>
            </w:pPr>
            <w:r>
              <w:rPr>
                <w:rFonts w:hint="eastAsia" w:ascii="宋体" w:hAnsi="宋体"/>
                <w:b/>
                <w:color w:val="FFFFFF"/>
                <w:sz w:val="21"/>
                <w:szCs w:val="21"/>
              </w:rPr>
              <w:t>序号</w:t>
            </w:r>
          </w:p>
        </w:tc>
        <w:tc>
          <w:tcPr>
            <w:tcW w:w="1938" w:type="pct"/>
            <w:vMerge w:val="restart"/>
            <w:shd w:val="clear" w:color="auto" w:fill="938953"/>
            <w:vAlign w:val="center"/>
          </w:tcPr>
          <w:p w14:paraId="24454A48">
            <w:pPr>
              <w:jc w:val="center"/>
              <w:rPr>
                <w:rFonts w:ascii="宋体" w:hAnsi="宋体"/>
                <w:b/>
                <w:color w:val="FFFFFF"/>
                <w:sz w:val="21"/>
                <w:szCs w:val="21"/>
              </w:rPr>
            </w:pPr>
            <w:r>
              <w:rPr>
                <w:rFonts w:hint="eastAsia" w:ascii="宋体" w:hAnsi="宋体"/>
                <w:b/>
                <w:color w:val="FFFFFF"/>
                <w:sz w:val="21"/>
                <w:szCs w:val="21"/>
              </w:rPr>
              <w:t>KPI</w:t>
            </w:r>
          </w:p>
        </w:tc>
        <w:tc>
          <w:tcPr>
            <w:tcW w:w="1601" w:type="pct"/>
            <w:gridSpan w:val="3"/>
            <w:tcBorders>
              <w:right w:val="single" w:color="auto" w:sz="12" w:space="0"/>
            </w:tcBorders>
            <w:shd w:val="clear" w:color="auto" w:fill="938953"/>
            <w:vAlign w:val="center"/>
          </w:tcPr>
          <w:p w14:paraId="113F60D6">
            <w:pPr>
              <w:jc w:val="center"/>
              <w:rPr>
                <w:rFonts w:ascii="宋体" w:hAnsi="宋体"/>
                <w:b/>
                <w:color w:val="FFFFFF"/>
                <w:sz w:val="21"/>
                <w:szCs w:val="21"/>
              </w:rPr>
            </w:pPr>
            <w:r>
              <w:rPr>
                <w:rFonts w:hint="eastAsia" w:ascii="宋体" w:hAnsi="宋体"/>
                <w:b/>
                <w:color w:val="FFFFFF"/>
                <w:sz w:val="21"/>
                <w:szCs w:val="21"/>
              </w:rPr>
              <w:t>时间段</w:t>
            </w:r>
          </w:p>
        </w:tc>
      </w:tr>
      <w:tr w14:paraId="22B6F6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9" w:hRule="atLeast"/>
          <w:tblHeader/>
          <w:jc w:val="center"/>
        </w:trPr>
        <w:tc>
          <w:tcPr>
            <w:tcW w:w="970" w:type="pct"/>
            <w:vMerge w:val="continue"/>
            <w:shd w:val="clear" w:color="auto" w:fill="938953"/>
            <w:vAlign w:val="center"/>
          </w:tcPr>
          <w:p w14:paraId="1275DB53">
            <w:pPr>
              <w:jc w:val="center"/>
              <w:rPr>
                <w:rFonts w:ascii="宋体" w:hAnsi="宋体"/>
                <w:b/>
                <w:color w:val="FFFFFF"/>
                <w:sz w:val="21"/>
                <w:szCs w:val="21"/>
              </w:rPr>
            </w:pPr>
          </w:p>
        </w:tc>
        <w:tc>
          <w:tcPr>
            <w:tcW w:w="489" w:type="pct"/>
            <w:vMerge w:val="continue"/>
            <w:shd w:val="clear" w:color="auto" w:fill="938953"/>
            <w:vAlign w:val="center"/>
          </w:tcPr>
          <w:p w14:paraId="4E6BAD02">
            <w:pPr>
              <w:jc w:val="center"/>
              <w:rPr>
                <w:rFonts w:ascii="宋体" w:hAnsi="宋体"/>
                <w:b/>
                <w:color w:val="FFFFFF"/>
                <w:sz w:val="21"/>
                <w:szCs w:val="21"/>
              </w:rPr>
            </w:pPr>
          </w:p>
        </w:tc>
        <w:tc>
          <w:tcPr>
            <w:tcW w:w="1938" w:type="pct"/>
            <w:vMerge w:val="continue"/>
            <w:shd w:val="clear" w:color="auto" w:fill="938953"/>
            <w:vAlign w:val="center"/>
          </w:tcPr>
          <w:p w14:paraId="13D905DD">
            <w:pPr>
              <w:jc w:val="center"/>
              <w:rPr>
                <w:rFonts w:ascii="宋体" w:hAnsi="宋体"/>
                <w:b/>
                <w:color w:val="FFFFFF"/>
                <w:sz w:val="21"/>
                <w:szCs w:val="21"/>
              </w:rPr>
            </w:pPr>
          </w:p>
        </w:tc>
        <w:tc>
          <w:tcPr>
            <w:tcW w:w="533" w:type="pct"/>
            <w:shd w:val="clear" w:color="auto" w:fill="938953"/>
            <w:vAlign w:val="center"/>
          </w:tcPr>
          <w:p w14:paraId="07C2A47D">
            <w:pPr>
              <w:jc w:val="center"/>
              <w:rPr>
                <w:rFonts w:hint="eastAsia" w:ascii="宋体" w:hAnsi="宋体" w:eastAsia="宋体"/>
                <w:b/>
                <w:color w:val="FFFFFF"/>
                <w:sz w:val="21"/>
                <w:szCs w:val="21"/>
                <w:lang w:eastAsia="zh-CN"/>
              </w:rPr>
            </w:pPr>
            <w:r>
              <w:rPr>
                <w:rFonts w:hint="eastAsia" w:ascii="宋体" w:hAnsi="宋体"/>
                <w:b/>
                <w:color w:val="FFFFFF"/>
                <w:sz w:val="21"/>
                <w:szCs w:val="21"/>
              </w:rPr>
              <w:t>2</w:t>
            </w:r>
            <w:r>
              <w:rPr>
                <w:rFonts w:ascii="宋体" w:hAnsi="宋体"/>
                <w:b/>
                <w:color w:val="FFFFFF"/>
                <w:sz w:val="21"/>
                <w:szCs w:val="21"/>
              </w:rPr>
              <w:t>02</w:t>
            </w:r>
            <w:r>
              <w:rPr>
                <w:rFonts w:hint="eastAsia" w:ascii="宋体" w:hAnsi="宋体"/>
                <w:b/>
                <w:color w:val="FFFFFF"/>
                <w:sz w:val="21"/>
                <w:szCs w:val="21"/>
                <w:lang w:val="en-US" w:eastAsia="zh-CN"/>
              </w:rPr>
              <w:t>3</w:t>
            </w:r>
          </w:p>
        </w:tc>
        <w:tc>
          <w:tcPr>
            <w:tcW w:w="533" w:type="pct"/>
            <w:shd w:val="clear" w:color="auto" w:fill="938953"/>
            <w:vAlign w:val="center"/>
          </w:tcPr>
          <w:p w14:paraId="512D0189">
            <w:pPr>
              <w:jc w:val="center"/>
              <w:rPr>
                <w:rFonts w:hint="eastAsia" w:ascii="宋体" w:hAnsi="宋体" w:eastAsia="宋体"/>
                <w:b/>
                <w:color w:val="FFFFFF"/>
                <w:sz w:val="21"/>
                <w:szCs w:val="21"/>
                <w:lang w:eastAsia="zh-CN"/>
              </w:rPr>
            </w:pPr>
            <w:r>
              <w:rPr>
                <w:rFonts w:hint="eastAsia" w:ascii="宋体" w:hAnsi="宋体"/>
                <w:b/>
                <w:color w:val="FFFFFF"/>
                <w:sz w:val="21"/>
                <w:szCs w:val="21"/>
              </w:rPr>
              <w:t>20</w:t>
            </w:r>
            <w:r>
              <w:rPr>
                <w:rFonts w:ascii="宋体" w:hAnsi="宋体"/>
                <w:b/>
                <w:color w:val="FFFFFF"/>
                <w:sz w:val="21"/>
                <w:szCs w:val="21"/>
              </w:rPr>
              <w:t>2</w:t>
            </w:r>
            <w:r>
              <w:rPr>
                <w:rFonts w:hint="eastAsia" w:ascii="宋体" w:hAnsi="宋体"/>
                <w:b/>
                <w:color w:val="FFFFFF"/>
                <w:sz w:val="21"/>
                <w:szCs w:val="21"/>
                <w:lang w:val="en-US" w:eastAsia="zh-CN"/>
              </w:rPr>
              <w:t>4</w:t>
            </w:r>
          </w:p>
        </w:tc>
        <w:tc>
          <w:tcPr>
            <w:tcW w:w="534" w:type="pct"/>
            <w:shd w:val="clear" w:color="auto" w:fill="938953"/>
            <w:vAlign w:val="center"/>
          </w:tcPr>
          <w:p w14:paraId="46A0D277">
            <w:pPr>
              <w:jc w:val="center"/>
              <w:rPr>
                <w:rFonts w:hint="eastAsia" w:ascii="宋体" w:hAnsi="宋体" w:eastAsia="宋体"/>
                <w:b/>
                <w:color w:val="FFFFFF"/>
                <w:sz w:val="21"/>
                <w:szCs w:val="21"/>
                <w:lang w:eastAsia="zh-CN"/>
              </w:rPr>
            </w:pPr>
            <w:r>
              <w:rPr>
                <w:rFonts w:hint="eastAsia" w:ascii="宋体" w:hAnsi="宋体"/>
                <w:b/>
                <w:color w:val="FFFFFF"/>
                <w:sz w:val="21"/>
                <w:szCs w:val="21"/>
              </w:rPr>
              <w:t>202</w:t>
            </w:r>
            <w:r>
              <w:rPr>
                <w:rFonts w:hint="eastAsia" w:ascii="宋体" w:hAnsi="宋体"/>
                <w:b/>
                <w:color w:val="FFFFFF"/>
                <w:sz w:val="21"/>
                <w:szCs w:val="21"/>
                <w:lang w:val="en-US" w:eastAsia="zh-CN"/>
              </w:rPr>
              <w:t>5</w:t>
            </w:r>
          </w:p>
        </w:tc>
      </w:tr>
      <w:tr w14:paraId="5A5C25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970" w:type="pct"/>
            <w:vMerge w:val="restart"/>
            <w:vAlign w:val="center"/>
          </w:tcPr>
          <w:p w14:paraId="600AFE62">
            <w:pPr>
              <w:jc w:val="center"/>
              <w:rPr>
                <w:rFonts w:ascii="宋体" w:hAnsi="宋体"/>
                <w:sz w:val="21"/>
                <w:szCs w:val="21"/>
              </w:rPr>
            </w:pPr>
            <w:r>
              <w:rPr>
                <w:rFonts w:hint="eastAsia" w:ascii="宋体" w:hAnsi="宋体"/>
                <w:sz w:val="21"/>
                <w:szCs w:val="21"/>
              </w:rPr>
              <w:t>财务与预算</w:t>
            </w:r>
          </w:p>
        </w:tc>
        <w:tc>
          <w:tcPr>
            <w:tcW w:w="489" w:type="pct"/>
            <w:vAlign w:val="center"/>
          </w:tcPr>
          <w:p w14:paraId="20CDDA62">
            <w:pPr>
              <w:jc w:val="center"/>
              <w:rPr>
                <w:rFonts w:ascii="宋体" w:hAnsi="宋体"/>
                <w:sz w:val="21"/>
                <w:szCs w:val="21"/>
              </w:rPr>
            </w:pPr>
            <w:r>
              <w:rPr>
                <w:rFonts w:hint="eastAsia" w:ascii="宋体" w:hAnsi="宋体"/>
                <w:sz w:val="21"/>
                <w:szCs w:val="21"/>
              </w:rPr>
              <w:t>1</w:t>
            </w:r>
          </w:p>
        </w:tc>
        <w:tc>
          <w:tcPr>
            <w:tcW w:w="1938" w:type="pct"/>
            <w:vAlign w:val="center"/>
          </w:tcPr>
          <w:p w14:paraId="143FA0D8">
            <w:pPr>
              <w:jc w:val="center"/>
              <w:rPr>
                <w:rFonts w:ascii="宋体" w:hAnsi="宋体"/>
                <w:sz w:val="21"/>
                <w:szCs w:val="21"/>
              </w:rPr>
            </w:pPr>
            <w:r>
              <w:rPr>
                <w:rFonts w:hint="eastAsia" w:ascii="宋体" w:hAnsi="宋体"/>
                <w:sz w:val="21"/>
                <w:szCs w:val="21"/>
              </w:rPr>
              <w:t>公司销售额（万元）</w:t>
            </w:r>
          </w:p>
        </w:tc>
        <w:tc>
          <w:tcPr>
            <w:tcW w:w="533" w:type="pct"/>
            <w:shd w:val="clear" w:color="auto" w:fill="auto"/>
            <w:vAlign w:val="center"/>
          </w:tcPr>
          <w:p w14:paraId="680A3DA2">
            <w:pPr>
              <w:spacing w:line="360" w:lineRule="auto"/>
              <w:jc w:val="center"/>
              <w:rPr>
                <w:rFonts w:hint="default" w:ascii="宋体" w:hAnsi="宋体" w:eastAsia="宋体" w:cs="宋体"/>
                <w:color w:val="000000"/>
                <w:sz w:val="24"/>
                <w:szCs w:val="21"/>
                <w:lang w:val="en-US" w:eastAsia="zh-CN" w:bidi="ar-SA"/>
              </w:rPr>
            </w:pPr>
            <w:r>
              <w:rPr>
                <w:rFonts w:hint="eastAsia" w:ascii="宋体" w:hAnsi="宋体" w:cs="宋体"/>
                <w:color w:val="000000"/>
                <w:szCs w:val="21"/>
                <w:lang w:val="en-US" w:eastAsia="zh-CN"/>
              </w:rPr>
              <w:t>2720</w:t>
            </w:r>
          </w:p>
        </w:tc>
        <w:tc>
          <w:tcPr>
            <w:tcW w:w="533" w:type="pct"/>
            <w:shd w:val="clear" w:color="auto" w:fill="auto"/>
            <w:vAlign w:val="center"/>
          </w:tcPr>
          <w:p w14:paraId="6BEB4E69">
            <w:pPr>
              <w:spacing w:line="360" w:lineRule="auto"/>
              <w:jc w:val="center"/>
              <w:rPr>
                <w:rFonts w:hint="default" w:ascii="宋体" w:hAnsi="宋体" w:eastAsia="宋体" w:cs="宋体"/>
                <w:color w:val="000000"/>
                <w:sz w:val="24"/>
                <w:szCs w:val="21"/>
                <w:lang w:val="en-US" w:eastAsia="zh-CN" w:bidi="ar-SA"/>
              </w:rPr>
            </w:pPr>
            <w:r>
              <w:rPr>
                <w:rFonts w:hint="eastAsia" w:ascii="宋体" w:hAnsi="宋体" w:cs="宋体"/>
                <w:color w:val="000000"/>
                <w:szCs w:val="21"/>
              </w:rPr>
              <w:t>21</w:t>
            </w:r>
            <w:r>
              <w:rPr>
                <w:rFonts w:hint="eastAsia" w:ascii="宋体" w:hAnsi="宋体" w:cs="宋体"/>
                <w:color w:val="000000"/>
                <w:szCs w:val="21"/>
                <w:lang w:val="en-US" w:eastAsia="zh-CN"/>
              </w:rPr>
              <w:t>98</w:t>
            </w:r>
          </w:p>
        </w:tc>
        <w:tc>
          <w:tcPr>
            <w:tcW w:w="534" w:type="pct"/>
            <w:vAlign w:val="center"/>
          </w:tcPr>
          <w:p w14:paraId="3D2BF4D3">
            <w:pPr>
              <w:spacing w:line="360" w:lineRule="auto"/>
              <w:jc w:val="center"/>
              <w:rPr>
                <w:rFonts w:hint="default"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2236</w:t>
            </w:r>
          </w:p>
        </w:tc>
      </w:tr>
      <w:tr w14:paraId="788AD0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970" w:type="pct"/>
            <w:vMerge w:val="continue"/>
            <w:vAlign w:val="center"/>
          </w:tcPr>
          <w:p w14:paraId="1C0590B4">
            <w:pPr>
              <w:jc w:val="center"/>
              <w:rPr>
                <w:rFonts w:ascii="宋体" w:hAnsi="宋体"/>
                <w:sz w:val="21"/>
                <w:szCs w:val="21"/>
              </w:rPr>
            </w:pPr>
          </w:p>
        </w:tc>
        <w:tc>
          <w:tcPr>
            <w:tcW w:w="489" w:type="pct"/>
            <w:vAlign w:val="center"/>
          </w:tcPr>
          <w:p w14:paraId="1C8D1957">
            <w:pPr>
              <w:jc w:val="center"/>
              <w:rPr>
                <w:rFonts w:ascii="宋体" w:hAnsi="宋体"/>
                <w:sz w:val="21"/>
                <w:szCs w:val="21"/>
              </w:rPr>
            </w:pPr>
            <w:r>
              <w:rPr>
                <w:rFonts w:hint="eastAsia" w:ascii="宋体" w:hAnsi="宋体"/>
                <w:sz w:val="21"/>
                <w:szCs w:val="21"/>
              </w:rPr>
              <w:t>2</w:t>
            </w:r>
          </w:p>
        </w:tc>
        <w:tc>
          <w:tcPr>
            <w:tcW w:w="1938" w:type="pct"/>
            <w:vAlign w:val="center"/>
          </w:tcPr>
          <w:p w14:paraId="6C11F12D">
            <w:pPr>
              <w:jc w:val="center"/>
              <w:rPr>
                <w:rFonts w:ascii="宋体" w:hAnsi="宋体"/>
                <w:sz w:val="21"/>
                <w:szCs w:val="21"/>
              </w:rPr>
            </w:pPr>
            <w:r>
              <w:rPr>
                <w:rFonts w:hint="eastAsia" w:ascii="宋体" w:hAnsi="宋体"/>
                <w:sz w:val="21"/>
                <w:szCs w:val="21"/>
              </w:rPr>
              <w:t>公司利润额（万元）</w:t>
            </w:r>
          </w:p>
        </w:tc>
        <w:tc>
          <w:tcPr>
            <w:tcW w:w="533" w:type="pct"/>
            <w:shd w:val="clear" w:color="auto" w:fill="auto"/>
            <w:vAlign w:val="center"/>
          </w:tcPr>
          <w:p w14:paraId="075E2BA2">
            <w:pPr>
              <w:spacing w:line="360" w:lineRule="auto"/>
              <w:jc w:val="center"/>
              <w:rPr>
                <w:rFonts w:hint="default" w:ascii="宋体" w:hAnsi="宋体" w:eastAsia="宋体" w:cs="Times New Roman"/>
                <w:sz w:val="21"/>
                <w:szCs w:val="21"/>
                <w:highlight w:val="yellow"/>
                <w:lang w:val="en-US" w:eastAsia="zh-CN" w:bidi="ar-SA"/>
              </w:rPr>
            </w:pPr>
            <w:r>
              <w:rPr>
                <w:rFonts w:hint="eastAsia" w:ascii="宋体" w:hAnsi="宋体" w:cs="宋体"/>
                <w:color w:val="000000"/>
                <w:szCs w:val="21"/>
                <w:lang w:val="en-US" w:eastAsia="zh-CN"/>
              </w:rPr>
              <w:t>89</w:t>
            </w:r>
          </w:p>
        </w:tc>
        <w:tc>
          <w:tcPr>
            <w:tcW w:w="533" w:type="pct"/>
            <w:shd w:val="clear" w:color="auto" w:fill="auto"/>
            <w:vAlign w:val="center"/>
          </w:tcPr>
          <w:p w14:paraId="42BCA910">
            <w:pPr>
              <w:spacing w:line="360" w:lineRule="auto"/>
              <w:jc w:val="center"/>
              <w:rPr>
                <w:rFonts w:hint="default" w:ascii="宋体" w:hAnsi="宋体" w:eastAsia="宋体" w:cs="Times New Roman"/>
                <w:sz w:val="21"/>
                <w:szCs w:val="21"/>
                <w:highlight w:val="yellow"/>
                <w:lang w:val="en-US" w:eastAsia="zh-CN" w:bidi="ar-SA"/>
              </w:rPr>
            </w:pPr>
            <w:r>
              <w:rPr>
                <w:rFonts w:hint="eastAsia" w:ascii="宋体" w:hAnsi="宋体" w:cs="Times New Roman"/>
                <w:sz w:val="21"/>
                <w:szCs w:val="21"/>
                <w:highlight w:val="none"/>
                <w:lang w:val="en-US" w:eastAsia="zh-CN" w:bidi="ar-SA"/>
              </w:rPr>
              <w:t>45</w:t>
            </w:r>
          </w:p>
        </w:tc>
        <w:tc>
          <w:tcPr>
            <w:tcW w:w="534" w:type="pct"/>
            <w:vAlign w:val="center"/>
          </w:tcPr>
          <w:p w14:paraId="5AAEA207">
            <w:pPr>
              <w:spacing w:line="360" w:lineRule="auto"/>
              <w:jc w:val="center"/>
              <w:rPr>
                <w:rFonts w:hint="default" w:ascii="宋体" w:hAnsi="宋体" w:eastAsia="宋体"/>
                <w:sz w:val="21"/>
                <w:szCs w:val="21"/>
                <w:highlight w:val="none"/>
                <w:lang w:val="en-US" w:eastAsia="zh-CN"/>
              </w:rPr>
            </w:pPr>
            <w:r>
              <w:rPr>
                <w:rFonts w:hint="eastAsia" w:ascii="宋体" w:hAnsi="宋体"/>
                <w:sz w:val="21"/>
                <w:szCs w:val="21"/>
                <w:highlight w:val="none"/>
                <w:lang w:val="en-US" w:eastAsia="zh-CN"/>
              </w:rPr>
              <w:t>90</w:t>
            </w:r>
          </w:p>
        </w:tc>
      </w:tr>
      <w:tr w14:paraId="3E35FB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970" w:type="pct"/>
            <w:vMerge w:val="restart"/>
            <w:vAlign w:val="center"/>
          </w:tcPr>
          <w:p w14:paraId="007BA4D3">
            <w:pPr>
              <w:jc w:val="center"/>
              <w:rPr>
                <w:rFonts w:ascii="宋体" w:hAnsi="宋体"/>
                <w:sz w:val="21"/>
                <w:szCs w:val="21"/>
              </w:rPr>
            </w:pPr>
            <w:r>
              <w:rPr>
                <w:rFonts w:hint="eastAsia" w:ascii="宋体" w:hAnsi="宋体"/>
                <w:sz w:val="21"/>
                <w:szCs w:val="21"/>
              </w:rPr>
              <w:t>顾客与市场</w:t>
            </w:r>
          </w:p>
        </w:tc>
        <w:tc>
          <w:tcPr>
            <w:tcW w:w="489" w:type="pct"/>
            <w:vAlign w:val="center"/>
          </w:tcPr>
          <w:p w14:paraId="226EF3EB">
            <w:pPr>
              <w:jc w:val="center"/>
              <w:rPr>
                <w:rFonts w:ascii="宋体" w:hAnsi="宋体"/>
                <w:sz w:val="21"/>
                <w:szCs w:val="21"/>
              </w:rPr>
            </w:pPr>
            <w:r>
              <w:rPr>
                <w:rFonts w:hint="eastAsia" w:ascii="宋体" w:hAnsi="宋体"/>
                <w:sz w:val="21"/>
                <w:szCs w:val="21"/>
              </w:rPr>
              <w:t>3</w:t>
            </w:r>
          </w:p>
        </w:tc>
        <w:tc>
          <w:tcPr>
            <w:tcW w:w="1938" w:type="pct"/>
            <w:vAlign w:val="center"/>
          </w:tcPr>
          <w:p w14:paraId="159039DE">
            <w:pPr>
              <w:jc w:val="center"/>
              <w:rPr>
                <w:rFonts w:ascii="宋体" w:hAnsi="宋体"/>
                <w:sz w:val="21"/>
                <w:szCs w:val="21"/>
              </w:rPr>
            </w:pPr>
            <w:r>
              <w:rPr>
                <w:rFonts w:hint="eastAsia" w:ascii="宋体" w:hAnsi="宋体"/>
                <w:sz w:val="21"/>
                <w:szCs w:val="21"/>
              </w:rPr>
              <w:t>顾客满意度（%）</w:t>
            </w:r>
          </w:p>
        </w:tc>
        <w:tc>
          <w:tcPr>
            <w:tcW w:w="533" w:type="pct"/>
            <w:shd w:val="clear" w:color="auto" w:fill="auto"/>
            <w:vAlign w:val="center"/>
          </w:tcPr>
          <w:p w14:paraId="5908C12B">
            <w:pPr>
              <w:spacing w:line="360" w:lineRule="auto"/>
              <w:jc w:val="center"/>
              <w:rPr>
                <w:rFonts w:ascii="宋体" w:hAnsi="宋体" w:eastAsia="宋体" w:cs="宋体"/>
                <w:color w:val="000000"/>
                <w:sz w:val="24"/>
                <w:szCs w:val="21"/>
                <w:lang w:val="en-US" w:eastAsia="zh-CN" w:bidi="ar-SA"/>
              </w:rPr>
            </w:pPr>
            <w:r>
              <w:rPr>
                <w:rFonts w:hint="eastAsia" w:ascii="宋体" w:hAnsi="宋体" w:cs="宋体"/>
                <w:color w:val="000000"/>
                <w:szCs w:val="21"/>
              </w:rPr>
              <w:t>98</w:t>
            </w:r>
          </w:p>
        </w:tc>
        <w:tc>
          <w:tcPr>
            <w:tcW w:w="533" w:type="pct"/>
            <w:shd w:val="clear" w:color="auto" w:fill="auto"/>
            <w:vAlign w:val="center"/>
          </w:tcPr>
          <w:p w14:paraId="3FE763B4">
            <w:pPr>
              <w:spacing w:line="360" w:lineRule="auto"/>
              <w:jc w:val="center"/>
              <w:rPr>
                <w:rFonts w:ascii="宋体" w:hAnsi="宋体" w:eastAsia="宋体" w:cs="宋体"/>
                <w:color w:val="000000"/>
                <w:sz w:val="24"/>
                <w:szCs w:val="21"/>
                <w:lang w:val="en-US" w:eastAsia="zh-CN" w:bidi="ar-SA"/>
              </w:rPr>
            </w:pPr>
            <w:r>
              <w:rPr>
                <w:rFonts w:hint="eastAsia" w:ascii="宋体" w:hAnsi="宋体" w:cs="宋体"/>
                <w:color w:val="000000"/>
                <w:szCs w:val="21"/>
              </w:rPr>
              <w:t>98</w:t>
            </w:r>
          </w:p>
        </w:tc>
        <w:tc>
          <w:tcPr>
            <w:tcW w:w="534" w:type="pct"/>
            <w:vAlign w:val="center"/>
          </w:tcPr>
          <w:p w14:paraId="2AE8C0B7">
            <w:pPr>
              <w:spacing w:line="360" w:lineRule="auto"/>
              <w:jc w:val="center"/>
              <w:rPr>
                <w:rFonts w:hint="default"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98</w:t>
            </w:r>
          </w:p>
        </w:tc>
      </w:tr>
      <w:tr w14:paraId="20C725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970" w:type="pct"/>
            <w:vMerge w:val="continue"/>
            <w:vAlign w:val="center"/>
          </w:tcPr>
          <w:p w14:paraId="37FF5C16">
            <w:pPr>
              <w:jc w:val="center"/>
              <w:rPr>
                <w:rFonts w:ascii="宋体" w:hAnsi="宋体"/>
                <w:sz w:val="21"/>
                <w:szCs w:val="21"/>
              </w:rPr>
            </w:pPr>
          </w:p>
        </w:tc>
        <w:tc>
          <w:tcPr>
            <w:tcW w:w="489" w:type="pct"/>
            <w:vAlign w:val="center"/>
          </w:tcPr>
          <w:p w14:paraId="5A7C7D00">
            <w:pPr>
              <w:jc w:val="center"/>
              <w:rPr>
                <w:rFonts w:ascii="宋体" w:hAnsi="宋体"/>
                <w:sz w:val="21"/>
                <w:szCs w:val="21"/>
              </w:rPr>
            </w:pPr>
            <w:r>
              <w:rPr>
                <w:rFonts w:hint="eastAsia" w:ascii="宋体" w:hAnsi="宋体"/>
                <w:sz w:val="21"/>
                <w:szCs w:val="21"/>
              </w:rPr>
              <w:t>4</w:t>
            </w:r>
          </w:p>
        </w:tc>
        <w:tc>
          <w:tcPr>
            <w:tcW w:w="1938" w:type="pct"/>
            <w:vAlign w:val="center"/>
          </w:tcPr>
          <w:p w14:paraId="74D44E00">
            <w:pPr>
              <w:jc w:val="center"/>
              <w:rPr>
                <w:rFonts w:ascii="宋体" w:hAnsi="宋体"/>
                <w:sz w:val="21"/>
                <w:szCs w:val="21"/>
              </w:rPr>
            </w:pPr>
            <w:r>
              <w:rPr>
                <w:rFonts w:hint="eastAsia" w:ascii="宋体" w:hAnsi="宋体"/>
                <w:sz w:val="21"/>
                <w:szCs w:val="21"/>
              </w:rPr>
              <w:t>目标市场占有率（%）</w:t>
            </w:r>
          </w:p>
        </w:tc>
        <w:tc>
          <w:tcPr>
            <w:tcW w:w="533" w:type="pct"/>
            <w:shd w:val="clear" w:color="auto" w:fill="auto"/>
            <w:vAlign w:val="center"/>
          </w:tcPr>
          <w:p w14:paraId="0FC15083">
            <w:pPr>
              <w:spacing w:line="360" w:lineRule="auto"/>
              <w:jc w:val="center"/>
              <w:rPr>
                <w:rFonts w:hint="eastAsia" w:ascii="宋体" w:hAnsi="宋体" w:eastAsia="宋体" w:cs="宋体"/>
                <w:color w:val="000000"/>
                <w:sz w:val="24"/>
                <w:szCs w:val="21"/>
                <w:lang w:val="en-US" w:eastAsia="zh-CN" w:bidi="ar-SA"/>
              </w:rPr>
            </w:pPr>
            <w:r>
              <w:rPr>
                <w:rFonts w:hint="eastAsia" w:ascii="宋体" w:hAnsi="宋体" w:cs="宋体"/>
                <w:color w:val="000000"/>
                <w:szCs w:val="21"/>
                <w:lang w:val="en-US" w:eastAsia="zh-CN"/>
              </w:rPr>
              <w:t>5</w:t>
            </w:r>
          </w:p>
        </w:tc>
        <w:tc>
          <w:tcPr>
            <w:tcW w:w="533" w:type="pct"/>
            <w:shd w:val="clear" w:color="auto" w:fill="auto"/>
            <w:vAlign w:val="center"/>
          </w:tcPr>
          <w:p w14:paraId="063A6478">
            <w:pPr>
              <w:spacing w:line="360" w:lineRule="auto"/>
              <w:jc w:val="center"/>
              <w:rPr>
                <w:rFonts w:hint="eastAsia" w:ascii="宋体" w:hAnsi="宋体" w:eastAsia="宋体" w:cs="宋体"/>
                <w:color w:val="000000"/>
                <w:sz w:val="24"/>
                <w:szCs w:val="21"/>
                <w:lang w:val="en-US" w:eastAsia="zh-CN" w:bidi="ar-SA"/>
              </w:rPr>
            </w:pPr>
            <w:r>
              <w:rPr>
                <w:rFonts w:hint="eastAsia" w:ascii="宋体" w:hAnsi="宋体" w:cs="宋体"/>
                <w:color w:val="000000"/>
                <w:szCs w:val="21"/>
                <w:lang w:val="en-US" w:eastAsia="zh-CN"/>
              </w:rPr>
              <w:t>5</w:t>
            </w:r>
          </w:p>
        </w:tc>
        <w:tc>
          <w:tcPr>
            <w:tcW w:w="534" w:type="pct"/>
            <w:vAlign w:val="center"/>
          </w:tcPr>
          <w:p w14:paraId="092D0FE3">
            <w:pPr>
              <w:spacing w:line="360" w:lineRule="auto"/>
              <w:jc w:val="center"/>
              <w:rPr>
                <w:rFonts w:hint="default"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5</w:t>
            </w:r>
          </w:p>
        </w:tc>
      </w:tr>
      <w:tr w14:paraId="480319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970" w:type="pct"/>
            <w:vMerge w:val="restart"/>
            <w:vAlign w:val="center"/>
          </w:tcPr>
          <w:p w14:paraId="12E6FB50">
            <w:pPr>
              <w:jc w:val="center"/>
              <w:rPr>
                <w:rFonts w:ascii="宋体" w:hAnsi="宋体"/>
                <w:sz w:val="21"/>
                <w:szCs w:val="21"/>
              </w:rPr>
            </w:pPr>
            <w:r>
              <w:rPr>
                <w:rFonts w:hint="eastAsia" w:ascii="宋体" w:hAnsi="宋体"/>
                <w:sz w:val="21"/>
                <w:szCs w:val="21"/>
              </w:rPr>
              <w:t>生产</w:t>
            </w:r>
          </w:p>
          <w:p w14:paraId="4243EDA0">
            <w:pPr>
              <w:jc w:val="center"/>
              <w:rPr>
                <w:rFonts w:ascii="宋体" w:hAnsi="宋体"/>
                <w:sz w:val="21"/>
                <w:szCs w:val="21"/>
              </w:rPr>
            </w:pPr>
            <w:r>
              <w:rPr>
                <w:rFonts w:hint="eastAsia" w:ascii="宋体" w:hAnsi="宋体"/>
                <w:sz w:val="21"/>
                <w:szCs w:val="21"/>
              </w:rPr>
              <w:t>运营</w:t>
            </w:r>
          </w:p>
        </w:tc>
        <w:tc>
          <w:tcPr>
            <w:tcW w:w="489" w:type="pct"/>
            <w:vAlign w:val="center"/>
          </w:tcPr>
          <w:p w14:paraId="42FFEA7E">
            <w:pPr>
              <w:jc w:val="center"/>
              <w:rPr>
                <w:rFonts w:ascii="宋体" w:hAnsi="宋体"/>
                <w:sz w:val="21"/>
                <w:szCs w:val="21"/>
              </w:rPr>
            </w:pPr>
            <w:r>
              <w:rPr>
                <w:rFonts w:hint="eastAsia" w:ascii="宋体" w:hAnsi="宋体"/>
                <w:sz w:val="21"/>
                <w:szCs w:val="21"/>
              </w:rPr>
              <w:t>5</w:t>
            </w:r>
          </w:p>
        </w:tc>
        <w:tc>
          <w:tcPr>
            <w:tcW w:w="1938" w:type="pct"/>
            <w:vAlign w:val="center"/>
          </w:tcPr>
          <w:p w14:paraId="6ED3B5AB">
            <w:pPr>
              <w:jc w:val="center"/>
              <w:rPr>
                <w:rFonts w:ascii="宋体" w:hAnsi="宋体"/>
                <w:sz w:val="21"/>
                <w:szCs w:val="21"/>
              </w:rPr>
            </w:pPr>
            <w:r>
              <w:rPr>
                <w:rFonts w:hint="eastAsia" w:ascii="宋体" w:hAnsi="宋体"/>
                <w:sz w:val="21"/>
                <w:szCs w:val="21"/>
              </w:rPr>
              <w:t>进货批合格率（%）</w:t>
            </w:r>
          </w:p>
        </w:tc>
        <w:tc>
          <w:tcPr>
            <w:tcW w:w="533" w:type="pct"/>
            <w:shd w:val="clear" w:color="auto" w:fill="auto"/>
            <w:vAlign w:val="center"/>
          </w:tcPr>
          <w:p w14:paraId="4AED4F6A">
            <w:pPr>
              <w:spacing w:line="360" w:lineRule="auto"/>
              <w:jc w:val="center"/>
              <w:rPr>
                <w:rFonts w:hint="eastAsia" w:ascii="宋体" w:hAnsi="宋体" w:eastAsia="宋体" w:cs="宋体"/>
                <w:color w:val="000000"/>
                <w:sz w:val="24"/>
                <w:szCs w:val="21"/>
                <w:lang w:val="en-US" w:eastAsia="zh-CN" w:bidi="ar-SA"/>
              </w:rPr>
            </w:pPr>
            <w:r>
              <w:rPr>
                <w:rFonts w:hint="eastAsia" w:ascii="宋体" w:hAnsi="宋体" w:cs="宋体"/>
                <w:color w:val="000000"/>
                <w:szCs w:val="21"/>
              </w:rPr>
              <w:t>9</w:t>
            </w:r>
            <w:r>
              <w:rPr>
                <w:rFonts w:hint="eastAsia" w:ascii="宋体" w:hAnsi="宋体" w:cs="宋体"/>
                <w:color w:val="000000"/>
                <w:szCs w:val="21"/>
                <w:lang w:val="en-US" w:eastAsia="zh-CN"/>
              </w:rPr>
              <w:t>8</w:t>
            </w:r>
          </w:p>
        </w:tc>
        <w:tc>
          <w:tcPr>
            <w:tcW w:w="533" w:type="pct"/>
            <w:shd w:val="clear" w:color="auto" w:fill="auto"/>
            <w:vAlign w:val="center"/>
          </w:tcPr>
          <w:p w14:paraId="0D0C7DBD">
            <w:pPr>
              <w:spacing w:line="360" w:lineRule="auto"/>
              <w:jc w:val="center"/>
              <w:rPr>
                <w:rFonts w:ascii="宋体" w:hAnsi="宋体" w:eastAsia="宋体" w:cs="宋体"/>
                <w:color w:val="000000"/>
                <w:sz w:val="24"/>
                <w:szCs w:val="21"/>
                <w:lang w:val="en-US" w:eastAsia="zh-CN" w:bidi="ar-SA"/>
              </w:rPr>
            </w:pPr>
            <w:r>
              <w:rPr>
                <w:rFonts w:hint="eastAsia" w:ascii="宋体" w:hAnsi="宋体" w:cs="宋体"/>
                <w:color w:val="000000"/>
                <w:szCs w:val="21"/>
              </w:rPr>
              <w:t>98</w:t>
            </w:r>
          </w:p>
        </w:tc>
        <w:tc>
          <w:tcPr>
            <w:tcW w:w="534" w:type="pct"/>
            <w:vAlign w:val="center"/>
          </w:tcPr>
          <w:p w14:paraId="3340622D">
            <w:pPr>
              <w:spacing w:line="360" w:lineRule="auto"/>
              <w:jc w:val="center"/>
              <w:rPr>
                <w:rFonts w:hint="default"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98</w:t>
            </w:r>
          </w:p>
        </w:tc>
      </w:tr>
      <w:tr w14:paraId="70B9E6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970" w:type="pct"/>
            <w:vMerge w:val="continue"/>
            <w:vAlign w:val="center"/>
          </w:tcPr>
          <w:p w14:paraId="3A001745">
            <w:pPr>
              <w:jc w:val="center"/>
              <w:rPr>
                <w:rFonts w:ascii="宋体" w:hAnsi="宋体"/>
                <w:sz w:val="21"/>
                <w:szCs w:val="21"/>
              </w:rPr>
            </w:pPr>
          </w:p>
        </w:tc>
        <w:tc>
          <w:tcPr>
            <w:tcW w:w="489" w:type="pct"/>
            <w:vAlign w:val="center"/>
          </w:tcPr>
          <w:p w14:paraId="30898C35">
            <w:pPr>
              <w:jc w:val="center"/>
              <w:rPr>
                <w:rFonts w:ascii="宋体" w:hAnsi="宋体"/>
                <w:sz w:val="21"/>
                <w:szCs w:val="21"/>
              </w:rPr>
            </w:pPr>
            <w:r>
              <w:rPr>
                <w:rFonts w:hint="eastAsia" w:ascii="宋体" w:hAnsi="宋体"/>
                <w:sz w:val="21"/>
                <w:szCs w:val="21"/>
              </w:rPr>
              <w:t>6</w:t>
            </w:r>
          </w:p>
        </w:tc>
        <w:tc>
          <w:tcPr>
            <w:tcW w:w="1938" w:type="pct"/>
            <w:vAlign w:val="center"/>
          </w:tcPr>
          <w:p w14:paraId="27D49470">
            <w:pPr>
              <w:jc w:val="center"/>
              <w:rPr>
                <w:rFonts w:ascii="宋体" w:hAnsi="宋体"/>
                <w:sz w:val="21"/>
                <w:szCs w:val="21"/>
              </w:rPr>
            </w:pPr>
            <w:r>
              <w:rPr>
                <w:rFonts w:hint="eastAsia" w:ascii="宋体" w:hAnsi="宋体"/>
                <w:sz w:val="21"/>
                <w:szCs w:val="21"/>
              </w:rPr>
              <w:t>设备完好率（%）</w:t>
            </w:r>
          </w:p>
        </w:tc>
        <w:tc>
          <w:tcPr>
            <w:tcW w:w="533" w:type="pct"/>
            <w:shd w:val="clear" w:color="auto" w:fill="auto"/>
            <w:vAlign w:val="center"/>
          </w:tcPr>
          <w:p w14:paraId="214F5598">
            <w:pPr>
              <w:spacing w:line="360" w:lineRule="auto"/>
              <w:jc w:val="center"/>
              <w:rPr>
                <w:rFonts w:hint="eastAsia" w:ascii="宋体" w:hAnsi="宋体" w:eastAsia="宋体" w:cs="宋体"/>
                <w:color w:val="000000"/>
                <w:sz w:val="24"/>
                <w:szCs w:val="21"/>
                <w:lang w:val="en-US" w:eastAsia="zh-CN" w:bidi="ar-SA"/>
              </w:rPr>
            </w:pPr>
            <w:r>
              <w:rPr>
                <w:rFonts w:hint="eastAsia" w:ascii="宋体" w:hAnsi="宋体" w:cs="宋体"/>
                <w:color w:val="000000"/>
                <w:szCs w:val="21"/>
              </w:rPr>
              <w:t>9</w:t>
            </w:r>
            <w:r>
              <w:rPr>
                <w:rFonts w:hint="eastAsia" w:ascii="宋体" w:hAnsi="宋体" w:cs="宋体"/>
                <w:color w:val="000000"/>
                <w:szCs w:val="21"/>
                <w:lang w:val="en-US" w:eastAsia="zh-CN"/>
              </w:rPr>
              <w:t>9</w:t>
            </w:r>
          </w:p>
        </w:tc>
        <w:tc>
          <w:tcPr>
            <w:tcW w:w="533" w:type="pct"/>
            <w:shd w:val="clear" w:color="auto" w:fill="auto"/>
            <w:vAlign w:val="center"/>
          </w:tcPr>
          <w:p w14:paraId="7B9377F0">
            <w:pPr>
              <w:spacing w:line="360" w:lineRule="auto"/>
              <w:jc w:val="center"/>
              <w:rPr>
                <w:rFonts w:hint="default" w:ascii="宋体" w:hAnsi="宋体" w:eastAsia="宋体" w:cs="宋体"/>
                <w:color w:val="000000"/>
                <w:sz w:val="24"/>
                <w:szCs w:val="21"/>
                <w:lang w:val="en-US" w:eastAsia="zh-CN" w:bidi="ar-SA"/>
              </w:rPr>
            </w:pPr>
            <w:r>
              <w:rPr>
                <w:rFonts w:hint="eastAsia" w:ascii="宋体" w:hAnsi="宋体" w:cs="宋体"/>
                <w:color w:val="000000"/>
                <w:szCs w:val="21"/>
                <w:lang w:val="en-US" w:eastAsia="zh-CN"/>
              </w:rPr>
              <w:t>100</w:t>
            </w:r>
          </w:p>
        </w:tc>
        <w:tc>
          <w:tcPr>
            <w:tcW w:w="534" w:type="pct"/>
            <w:vAlign w:val="center"/>
          </w:tcPr>
          <w:p w14:paraId="636D3C94">
            <w:pPr>
              <w:spacing w:line="360" w:lineRule="auto"/>
              <w:jc w:val="center"/>
              <w:rPr>
                <w:rFonts w:hint="default"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99</w:t>
            </w:r>
          </w:p>
        </w:tc>
      </w:tr>
      <w:tr w14:paraId="0CCEB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970" w:type="pct"/>
            <w:vMerge w:val="continue"/>
            <w:vAlign w:val="center"/>
          </w:tcPr>
          <w:p w14:paraId="26CC1264">
            <w:pPr>
              <w:jc w:val="center"/>
              <w:rPr>
                <w:rFonts w:ascii="宋体" w:hAnsi="宋体"/>
                <w:sz w:val="21"/>
                <w:szCs w:val="21"/>
              </w:rPr>
            </w:pPr>
          </w:p>
        </w:tc>
        <w:tc>
          <w:tcPr>
            <w:tcW w:w="489" w:type="pct"/>
            <w:vAlign w:val="center"/>
          </w:tcPr>
          <w:p w14:paraId="7DEA5D2B">
            <w:pPr>
              <w:jc w:val="center"/>
              <w:rPr>
                <w:rFonts w:ascii="宋体" w:hAnsi="宋体"/>
                <w:sz w:val="21"/>
                <w:szCs w:val="21"/>
              </w:rPr>
            </w:pPr>
            <w:r>
              <w:rPr>
                <w:rFonts w:hint="eastAsia" w:ascii="宋体" w:hAnsi="宋体"/>
                <w:sz w:val="21"/>
                <w:szCs w:val="21"/>
              </w:rPr>
              <w:t>7</w:t>
            </w:r>
          </w:p>
        </w:tc>
        <w:tc>
          <w:tcPr>
            <w:tcW w:w="1938" w:type="pct"/>
            <w:vAlign w:val="center"/>
          </w:tcPr>
          <w:p w14:paraId="23052878">
            <w:pPr>
              <w:jc w:val="center"/>
              <w:rPr>
                <w:rFonts w:ascii="宋体" w:hAnsi="宋体"/>
                <w:sz w:val="21"/>
                <w:szCs w:val="21"/>
              </w:rPr>
            </w:pPr>
            <w:r>
              <w:rPr>
                <w:rFonts w:hint="eastAsia" w:ascii="宋体" w:hAnsi="宋体"/>
                <w:sz w:val="21"/>
                <w:szCs w:val="21"/>
              </w:rPr>
              <w:t>产品合格率（%）</w:t>
            </w:r>
          </w:p>
        </w:tc>
        <w:tc>
          <w:tcPr>
            <w:tcW w:w="533" w:type="pct"/>
            <w:shd w:val="clear" w:color="auto" w:fill="auto"/>
            <w:vAlign w:val="center"/>
          </w:tcPr>
          <w:p w14:paraId="17EE4229">
            <w:pPr>
              <w:spacing w:line="360" w:lineRule="auto"/>
              <w:jc w:val="center"/>
              <w:rPr>
                <w:rFonts w:ascii="宋体" w:hAnsi="宋体" w:eastAsia="宋体" w:cs="宋体"/>
                <w:color w:val="000000"/>
                <w:sz w:val="24"/>
                <w:szCs w:val="21"/>
                <w:lang w:val="en-US" w:eastAsia="zh-CN" w:bidi="ar-SA"/>
              </w:rPr>
            </w:pPr>
            <w:r>
              <w:rPr>
                <w:rFonts w:hint="eastAsia" w:ascii="宋体" w:hAnsi="宋体" w:cs="宋体"/>
                <w:color w:val="000000"/>
                <w:szCs w:val="21"/>
              </w:rPr>
              <w:t>98</w:t>
            </w:r>
          </w:p>
        </w:tc>
        <w:tc>
          <w:tcPr>
            <w:tcW w:w="533" w:type="pct"/>
            <w:shd w:val="clear" w:color="auto" w:fill="auto"/>
            <w:vAlign w:val="center"/>
          </w:tcPr>
          <w:p w14:paraId="2A6CEC13">
            <w:pPr>
              <w:spacing w:line="360" w:lineRule="auto"/>
              <w:jc w:val="center"/>
              <w:rPr>
                <w:rFonts w:ascii="宋体" w:hAnsi="宋体" w:eastAsia="宋体" w:cs="宋体"/>
                <w:color w:val="000000"/>
                <w:sz w:val="24"/>
                <w:szCs w:val="21"/>
                <w:lang w:val="en-US" w:eastAsia="zh-CN" w:bidi="ar-SA"/>
              </w:rPr>
            </w:pPr>
            <w:r>
              <w:rPr>
                <w:rFonts w:hint="eastAsia" w:ascii="宋体" w:hAnsi="宋体" w:cs="宋体"/>
                <w:color w:val="000000"/>
                <w:szCs w:val="21"/>
              </w:rPr>
              <w:t>98</w:t>
            </w:r>
          </w:p>
        </w:tc>
        <w:tc>
          <w:tcPr>
            <w:tcW w:w="534" w:type="pct"/>
            <w:vAlign w:val="center"/>
          </w:tcPr>
          <w:p w14:paraId="2FA94BD3">
            <w:pPr>
              <w:spacing w:line="360" w:lineRule="auto"/>
              <w:jc w:val="center"/>
              <w:rPr>
                <w:rFonts w:hint="default"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98</w:t>
            </w:r>
          </w:p>
        </w:tc>
      </w:tr>
      <w:tr w14:paraId="76F687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970" w:type="pct"/>
            <w:vMerge w:val="restart"/>
            <w:vAlign w:val="center"/>
          </w:tcPr>
          <w:p w14:paraId="72340500">
            <w:pPr>
              <w:jc w:val="center"/>
              <w:rPr>
                <w:rFonts w:ascii="宋体" w:hAnsi="宋体"/>
                <w:sz w:val="21"/>
                <w:szCs w:val="21"/>
              </w:rPr>
            </w:pPr>
            <w:r>
              <w:rPr>
                <w:rFonts w:hint="eastAsia" w:ascii="宋体" w:hAnsi="宋体"/>
                <w:sz w:val="21"/>
                <w:szCs w:val="21"/>
              </w:rPr>
              <w:t>以人</w:t>
            </w:r>
          </w:p>
          <w:p w14:paraId="50B0D6D2">
            <w:pPr>
              <w:jc w:val="center"/>
              <w:rPr>
                <w:rFonts w:ascii="宋体" w:hAnsi="宋体"/>
                <w:sz w:val="21"/>
                <w:szCs w:val="21"/>
              </w:rPr>
            </w:pPr>
            <w:r>
              <w:rPr>
                <w:rFonts w:hint="eastAsia" w:ascii="宋体" w:hAnsi="宋体"/>
                <w:sz w:val="21"/>
                <w:szCs w:val="21"/>
              </w:rPr>
              <w:t>为本</w:t>
            </w:r>
          </w:p>
        </w:tc>
        <w:tc>
          <w:tcPr>
            <w:tcW w:w="489" w:type="pct"/>
            <w:vAlign w:val="center"/>
          </w:tcPr>
          <w:p w14:paraId="2B2E2004">
            <w:pPr>
              <w:jc w:val="center"/>
              <w:rPr>
                <w:rFonts w:ascii="宋体" w:hAnsi="宋体"/>
                <w:sz w:val="21"/>
                <w:szCs w:val="21"/>
              </w:rPr>
            </w:pPr>
            <w:r>
              <w:rPr>
                <w:rFonts w:hint="eastAsia" w:ascii="宋体" w:hAnsi="宋体"/>
                <w:sz w:val="21"/>
                <w:szCs w:val="21"/>
              </w:rPr>
              <w:t>8</w:t>
            </w:r>
          </w:p>
        </w:tc>
        <w:tc>
          <w:tcPr>
            <w:tcW w:w="1938" w:type="pct"/>
            <w:vAlign w:val="center"/>
          </w:tcPr>
          <w:p w14:paraId="238EF83F">
            <w:pPr>
              <w:jc w:val="center"/>
              <w:rPr>
                <w:rFonts w:ascii="宋体" w:hAnsi="宋体"/>
                <w:sz w:val="21"/>
                <w:szCs w:val="21"/>
              </w:rPr>
            </w:pPr>
            <w:r>
              <w:rPr>
                <w:rFonts w:hint="eastAsia" w:ascii="宋体" w:hAnsi="宋体"/>
                <w:sz w:val="21"/>
                <w:szCs w:val="21"/>
              </w:rPr>
              <w:t>员工满意度（%）</w:t>
            </w:r>
          </w:p>
        </w:tc>
        <w:tc>
          <w:tcPr>
            <w:tcW w:w="533" w:type="pct"/>
            <w:shd w:val="clear" w:color="auto" w:fill="auto"/>
            <w:vAlign w:val="center"/>
          </w:tcPr>
          <w:p w14:paraId="3ED6449B">
            <w:pPr>
              <w:spacing w:line="360" w:lineRule="auto"/>
              <w:jc w:val="center"/>
              <w:rPr>
                <w:rFonts w:hint="default" w:ascii="宋体" w:hAnsi="宋体" w:eastAsia="宋体" w:cs="宋体"/>
                <w:color w:val="000000"/>
                <w:sz w:val="24"/>
                <w:szCs w:val="21"/>
                <w:lang w:val="en-US" w:eastAsia="zh-CN" w:bidi="ar-SA"/>
              </w:rPr>
            </w:pPr>
            <w:r>
              <w:rPr>
                <w:rFonts w:hint="eastAsia" w:ascii="宋体" w:hAnsi="宋体" w:cs="宋体"/>
                <w:color w:val="000000"/>
                <w:szCs w:val="21"/>
                <w:lang w:val="en-US" w:eastAsia="zh-CN"/>
              </w:rPr>
              <w:t>100</w:t>
            </w:r>
          </w:p>
        </w:tc>
        <w:tc>
          <w:tcPr>
            <w:tcW w:w="533" w:type="pct"/>
            <w:shd w:val="clear" w:color="auto" w:fill="auto"/>
            <w:vAlign w:val="center"/>
          </w:tcPr>
          <w:p w14:paraId="3D12BF3B">
            <w:pPr>
              <w:spacing w:line="360" w:lineRule="auto"/>
              <w:jc w:val="center"/>
              <w:rPr>
                <w:rFonts w:hint="default" w:ascii="宋体" w:hAnsi="宋体" w:eastAsia="宋体" w:cs="宋体"/>
                <w:color w:val="000000"/>
                <w:sz w:val="24"/>
                <w:szCs w:val="21"/>
                <w:lang w:val="en-US" w:eastAsia="zh-CN" w:bidi="ar-SA"/>
              </w:rPr>
            </w:pPr>
            <w:r>
              <w:rPr>
                <w:rFonts w:hint="eastAsia" w:ascii="宋体" w:hAnsi="宋体" w:cs="宋体"/>
                <w:color w:val="000000"/>
                <w:szCs w:val="21"/>
                <w:lang w:val="en-US" w:eastAsia="zh-CN"/>
              </w:rPr>
              <w:t>100</w:t>
            </w:r>
          </w:p>
        </w:tc>
        <w:tc>
          <w:tcPr>
            <w:tcW w:w="534" w:type="pct"/>
            <w:vAlign w:val="center"/>
          </w:tcPr>
          <w:p w14:paraId="133F1ADF">
            <w:pPr>
              <w:spacing w:line="360" w:lineRule="auto"/>
              <w:jc w:val="center"/>
              <w:rPr>
                <w:rFonts w:hint="default"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100</w:t>
            </w:r>
          </w:p>
        </w:tc>
      </w:tr>
      <w:tr w14:paraId="707CD5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970" w:type="pct"/>
            <w:vMerge w:val="continue"/>
            <w:vAlign w:val="center"/>
          </w:tcPr>
          <w:p w14:paraId="6AC18C36">
            <w:pPr>
              <w:jc w:val="center"/>
              <w:rPr>
                <w:rFonts w:ascii="宋体" w:hAnsi="宋体"/>
                <w:sz w:val="21"/>
                <w:szCs w:val="21"/>
              </w:rPr>
            </w:pPr>
          </w:p>
        </w:tc>
        <w:tc>
          <w:tcPr>
            <w:tcW w:w="489" w:type="pct"/>
            <w:vAlign w:val="center"/>
          </w:tcPr>
          <w:p w14:paraId="1E2CE2E3">
            <w:pPr>
              <w:jc w:val="center"/>
              <w:rPr>
                <w:rFonts w:ascii="宋体" w:hAnsi="宋体"/>
                <w:sz w:val="21"/>
                <w:szCs w:val="21"/>
              </w:rPr>
            </w:pPr>
            <w:r>
              <w:rPr>
                <w:rFonts w:hint="eastAsia" w:ascii="宋体" w:hAnsi="宋体"/>
                <w:sz w:val="21"/>
                <w:szCs w:val="21"/>
              </w:rPr>
              <w:t>9</w:t>
            </w:r>
          </w:p>
        </w:tc>
        <w:tc>
          <w:tcPr>
            <w:tcW w:w="1938" w:type="pct"/>
            <w:vAlign w:val="center"/>
          </w:tcPr>
          <w:p w14:paraId="3B08EE30">
            <w:pPr>
              <w:jc w:val="center"/>
              <w:rPr>
                <w:rFonts w:ascii="宋体" w:hAnsi="宋体"/>
                <w:sz w:val="21"/>
                <w:szCs w:val="21"/>
              </w:rPr>
            </w:pPr>
            <w:r>
              <w:rPr>
                <w:rFonts w:hint="eastAsia" w:ascii="宋体" w:hAnsi="宋体"/>
                <w:sz w:val="21"/>
                <w:szCs w:val="21"/>
              </w:rPr>
              <w:t>关键员工流失个数（个）</w:t>
            </w:r>
          </w:p>
        </w:tc>
        <w:tc>
          <w:tcPr>
            <w:tcW w:w="533" w:type="pct"/>
            <w:shd w:val="clear" w:color="auto" w:fill="auto"/>
            <w:vAlign w:val="center"/>
          </w:tcPr>
          <w:p w14:paraId="60A68B77">
            <w:pPr>
              <w:spacing w:line="360" w:lineRule="auto"/>
              <w:jc w:val="center"/>
              <w:rPr>
                <w:rFonts w:ascii="宋体" w:hAnsi="宋体" w:eastAsia="宋体" w:cs="宋体"/>
                <w:color w:val="000000"/>
                <w:sz w:val="24"/>
                <w:szCs w:val="21"/>
                <w:lang w:val="en-US" w:eastAsia="zh-CN" w:bidi="ar-SA"/>
              </w:rPr>
            </w:pPr>
            <w:r>
              <w:rPr>
                <w:rFonts w:hint="eastAsia" w:ascii="宋体" w:hAnsi="宋体" w:cs="宋体"/>
                <w:color w:val="000000"/>
                <w:szCs w:val="21"/>
              </w:rPr>
              <w:t>≤1</w:t>
            </w:r>
          </w:p>
        </w:tc>
        <w:tc>
          <w:tcPr>
            <w:tcW w:w="533" w:type="pct"/>
            <w:shd w:val="clear" w:color="auto" w:fill="auto"/>
            <w:vAlign w:val="center"/>
          </w:tcPr>
          <w:p w14:paraId="704140E0">
            <w:pPr>
              <w:spacing w:line="360" w:lineRule="auto"/>
              <w:jc w:val="center"/>
              <w:rPr>
                <w:rFonts w:ascii="宋体" w:hAnsi="宋体" w:eastAsia="宋体" w:cs="宋体"/>
                <w:color w:val="000000"/>
                <w:sz w:val="24"/>
                <w:szCs w:val="21"/>
                <w:lang w:val="en-US" w:eastAsia="zh-CN" w:bidi="ar-SA"/>
              </w:rPr>
            </w:pPr>
            <w:r>
              <w:rPr>
                <w:rFonts w:hint="eastAsia" w:ascii="宋体" w:hAnsi="宋体" w:cs="宋体"/>
                <w:color w:val="000000"/>
                <w:szCs w:val="21"/>
              </w:rPr>
              <w:t>≤1</w:t>
            </w:r>
          </w:p>
        </w:tc>
        <w:tc>
          <w:tcPr>
            <w:tcW w:w="534" w:type="pct"/>
            <w:shd w:val="clear" w:color="auto" w:fill="auto"/>
            <w:vAlign w:val="center"/>
          </w:tcPr>
          <w:p w14:paraId="1262B9C1">
            <w:pPr>
              <w:spacing w:line="360" w:lineRule="auto"/>
              <w:jc w:val="center"/>
              <w:rPr>
                <w:rFonts w:ascii="宋体" w:hAnsi="宋体" w:eastAsia="宋体" w:cs="宋体"/>
                <w:color w:val="000000"/>
                <w:sz w:val="24"/>
                <w:szCs w:val="21"/>
                <w:highlight w:val="none"/>
                <w:lang w:val="en-US" w:eastAsia="zh-CN" w:bidi="ar-SA"/>
              </w:rPr>
            </w:pPr>
            <w:r>
              <w:rPr>
                <w:rFonts w:hint="eastAsia" w:ascii="宋体" w:hAnsi="宋体" w:cs="宋体"/>
                <w:color w:val="000000"/>
                <w:szCs w:val="21"/>
                <w:highlight w:val="none"/>
              </w:rPr>
              <w:t>≤1</w:t>
            </w:r>
          </w:p>
        </w:tc>
      </w:tr>
      <w:tr w14:paraId="7F23D7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970" w:type="pct"/>
            <w:vMerge w:val="restart"/>
            <w:vAlign w:val="center"/>
          </w:tcPr>
          <w:p w14:paraId="001CB4B9">
            <w:pPr>
              <w:jc w:val="center"/>
              <w:rPr>
                <w:rFonts w:ascii="宋体" w:hAnsi="宋体"/>
                <w:sz w:val="21"/>
                <w:szCs w:val="21"/>
              </w:rPr>
            </w:pPr>
            <w:r>
              <w:rPr>
                <w:rFonts w:hint="eastAsia" w:ascii="宋体" w:hAnsi="宋体"/>
                <w:sz w:val="21"/>
                <w:szCs w:val="21"/>
              </w:rPr>
              <w:t>社会</w:t>
            </w:r>
          </w:p>
          <w:p w14:paraId="684DBCE6">
            <w:pPr>
              <w:jc w:val="center"/>
              <w:rPr>
                <w:rFonts w:ascii="宋体" w:hAnsi="宋体"/>
                <w:sz w:val="21"/>
                <w:szCs w:val="21"/>
              </w:rPr>
            </w:pPr>
            <w:r>
              <w:rPr>
                <w:rFonts w:hint="eastAsia" w:ascii="宋体" w:hAnsi="宋体"/>
                <w:sz w:val="21"/>
                <w:szCs w:val="21"/>
              </w:rPr>
              <w:t>责任</w:t>
            </w:r>
          </w:p>
        </w:tc>
        <w:tc>
          <w:tcPr>
            <w:tcW w:w="489" w:type="pct"/>
            <w:vAlign w:val="center"/>
          </w:tcPr>
          <w:p w14:paraId="0954BD65">
            <w:pPr>
              <w:jc w:val="center"/>
              <w:rPr>
                <w:rFonts w:ascii="宋体" w:hAnsi="宋体"/>
                <w:sz w:val="21"/>
                <w:szCs w:val="21"/>
              </w:rPr>
            </w:pPr>
            <w:r>
              <w:rPr>
                <w:rFonts w:hint="eastAsia" w:ascii="宋体" w:hAnsi="宋体"/>
                <w:sz w:val="21"/>
                <w:szCs w:val="21"/>
              </w:rPr>
              <w:t>1</w:t>
            </w:r>
            <w:r>
              <w:rPr>
                <w:rFonts w:ascii="宋体" w:hAnsi="宋体"/>
                <w:sz w:val="21"/>
                <w:szCs w:val="21"/>
              </w:rPr>
              <w:t>0</w:t>
            </w:r>
          </w:p>
        </w:tc>
        <w:tc>
          <w:tcPr>
            <w:tcW w:w="1938" w:type="pct"/>
            <w:vAlign w:val="center"/>
          </w:tcPr>
          <w:p w14:paraId="12F27488">
            <w:pPr>
              <w:jc w:val="center"/>
              <w:rPr>
                <w:rFonts w:ascii="宋体" w:hAnsi="宋体"/>
                <w:sz w:val="21"/>
                <w:szCs w:val="21"/>
              </w:rPr>
            </w:pPr>
            <w:r>
              <w:rPr>
                <w:rFonts w:hint="eastAsia" w:ascii="宋体" w:hAnsi="宋体"/>
                <w:sz w:val="21"/>
                <w:szCs w:val="21"/>
              </w:rPr>
              <w:t>工伤率（%）</w:t>
            </w:r>
          </w:p>
        </w:tc>
        <w:tc>
          <w:tcPr>
            <w:tcW w:w="533" w:type="pct"/>
            <w:shd w:val="clear" w:color="auto" w:fill="auto"/>
            <w:vAlign w:val="center"/>
          </w:tcPr>
          <w:p w14:paraId="7A6D38A7">
            <w:pPr>
              <w:spacing w:line="360" w:lineRule="auto"/>
              <w:jc w:val="center"/>
              <w:rPr>
                <w:rFonts w:hint="eastAsia" w:ascii="宋体" w:hAnsi="宋体" w:eastAsia="宋体" w:cs="宋体"/>
                <w:color w:val="000000"/>
                <w:sz w:val="24"/>
                <w:szCs w:val="21"/>
                <w:lang w:val="en-US" w:eastAsia="zh-CN" w:bidi="ar-SA"/>
              </w:rPr>
            </w:pPr>
            <w:r>
              <w:rPr>
                <w:rFonts w:hint="eastAsia" w:ascii="宋体" w:hAnsi="宋体" w:cs="宋体"/>
                <w:color w:val="000000"/>
                <w:szCs w:val="21"/>
              </w:rPr>
              <w:t>≤</w:t>
            </w:r>
            <w:r>
              <w:rPr>
                <w:rFonts w:hint="eastAsia" w:ascii="宋体" w:hAnsi="宋体" w:cs="宋体"/>
                <w:color w:val="000000"/>
                <w:szCs w:val="21"/>
                <w:lang w:val="en-US" w:eastAsia="zh-CN"/>
              </w:rPr>
              <w:t>1</w:t>
            </w:r>
          </w:p>
        </w:tc>
        <w:tc>
          <w:tcPr>
            <w:tcW w:w="533" w:type="pct"/>
            <w:shd w:val="clear" w:color="auto" w:fill="auto"/>
            <w:vAlign w:val="center"/>
          </w:tcPr>
          <w:p w14:paraId="4B236829">
            <w:pPr>
              <w:spacing w:line="360" w:lineRule="auto"/>
              <w:jc w:val="center"/>
              <w:rPr>
                <w:rFonts w:ascii="宋体" w:hAnsi="宋体" w:eastAsia="宋体" w:cs="宋体"/>
                <w:color w:val="000000"/>
                <w:sz w:val="24"/>
                <w:szCs w:val="21"/>
                <w:lang w:val="en-US" w:eastAsia="zh-CN" w:bidi="ar-SA"/>
              </w:rPr>
            </w:pPr>
            <w:r>
              <w:rPr>
                <w:rFonts w:hint="eastAsia" w:ascii="宋体" w:hAnsi="宋体" w:cs="宋体"/>
                <w:color w:val="000000"/>
                <w:szCs w:val="21"/>
              </w:rPr>
              <w:t>≤1</w:t>
            </w:r>
          </w:p>
        </w:tc>
        <w:tc>
          <w:tcPr>
            <w:tcW w:w="534" w:type="pct"/>
            <w:shd w:val="clear" w:color="auto" w:fill="auto"/>
            <w:vAlign w:val="center"/>
          </w:tcPr>
          <w:p w14:paraId="285FD2B9">
            <w:pPr>
              <w:spacing w:line="360" w:lineRule="auto"/>
              <w:jc w:val="center"/>
              <w:rPr>
                <w:rFonts w:ascii="宋体" w:hAnsi="宋体" w:eastAsia="宋体" w:cs="宋体"/>
                <w:color w:val="000000"/>
                <w:sz w:val="24"/>
                <w:szCs w:val="21"/>
                <w:highlight w:val="none"/>
                <w:lang w:val="en-US" w:eastAsia="zh-CN" w:bidi="ar-SA"/>
              </w:rPr>
            </w:pPr>
            <w:r>
              <w:rPr>
                <w:rFonts w:hint="eastAsia" w:ascii="宋体" w:hAnsi="宋体" w:cs="宋体"/>
                <w:color w:val="000000"/>
                <w:szCs w:val="21"/>
                <w:highlight w:val="none"/>
              </w:rPr>
              <w:t>≤1</w:t>
            </w:r>
          </w:p>
        </w:tc>
      </w:tr>
      <w:tr w14:paraId="7FC743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970" w:type="pct"/>
            <w:vMerge w:val="continue"/>
            <w:vAlign w:val="center"/>
          </w:tcPr>
          <w:p w14:paraId="1D0690FE">
            <w:pPr>
              <w:jc w:val="center"/>
              <w:rPr>
                <w:rFonts w:ascii="宋体" w:hAnsi="宋体"/>
                <w:sz w:val="21"/>
                <w:szCs w:val="21"/>
              </w:rPr>
            </w:pPr>
          </w:p>
        </w:tc>
        <w:tc>
          <w:tcPr>
            <w:tcW w:w="489" w:type="pct"/>
            <w:vAlign w:val="center"/>
          </w:tcPr>
          <w:p w14:paraId="1FF51DCB">
            <w:pPr>
              <w:jc w:val="center"/>
              <w:rPr>
                <w:rFonts w:ascii="宋体" w:hAnsi="宋体"/>
                <w:sz w:val="21"/>
                <w:szCs w:val="21"/>
              </w:rPr>
            </w:pPr>
            <w:r>
              <w:rPr>
                <w:rFonts w:hint="eastAsia" w:ascii="宋体" w:hAnsi="宋体"/>
                <w:sz w:val="21"/>
                <w:szCs w:val="21"/>
              </w:rPr>
              <w:t>1</w:t>
            </w:r>
            <w:r>
              <w:rPr>
                <w:rFonts w:ascii="宋体" w:hAnsi="宋体"/>
                <w:sz w:val="21"/>
                <w:szCs w:val="21"/>
              </w:rPr>
              <w:t>1</w:t>
            </w:r>
          </w:p>
        </w:tc>
        <w:tc>
          <w:tcPr>
            <w:tcW w:w="1938" w:type="pct"/>
            <w:vAlign w:val="center"/>
          </w:tcPr>
          <w:p w14:paraId="1984AD18">
            <w:pPr>
              <w:jc w:val="center"/>
              <w:rPr>
                <w:rFonts w:ascii="宋体" w:hAnsi="宋体"/>
                <w:sz w:val="21"/>
                <w:szCs w:val="21"/>
              </w:rPr>
            </w:pPr>
            <w:r>
              <w:rPr>
                <w:rFonts w:hint="eastAsia" w:ascii="宋体" w:hAnsi="宋体"/>
                <w:sz w:val="21"/>
                <w:szCs w:val="21"/>
              </w:rPr>
              <w:t>纳税总额（万元）</w:t>
            </w:r>
          </w:p>
        </w:tc>
        <w:tc>
          <w:tcPr>
            <w:tcW w:w="533" w:type="pct"/>
            <w:shd w:val="clear" w:color="auto" w:fill="auto"/>
            <w:vAlign w:val="center"/>
          </w:tcPr>
          <w:p w14:paraId="11F13BFA">
            <w:pPr>
              <w:spacing w:line="360" w:lineRule="auto"/>
              <w:jc w:val="center"/>
              <w:rPr>
                <w:rFonts w:hint="default" w:ascii="宋体" w:hAnsi="宋体" w:eastAsia="宋体" w:cs="Times New Roman"/>
                <w:sz w:val="21"/>
                <w:szCs w:val="21"/>
                <w:highlight w:val="yellow"/>
                <w:lang w:val="en-US" w:eastAsia="zh-CN" w:bidi="ar-SA"/>
              </w:rPr>
            </w:pPr>
            <w:r>
              <w:rPr>
                <w:rFonts w:hint="eastAsia" w:ascii="宋体" w:hAnsi="宋体" w:cs="宋体"/>
                <w:color w:val="000000"/>
                <w:szCs w:val="21"/>
                <w:lang w:val="en-US" w:eastAsia="zh-CN"/>
              </w:rPr>
              <w:t>89</w:t>
            </w:r>
          </w:p>
        </w:tc>
        <w:tc>
          <w:tcPr>
            <w:tcW w:w="533" w:type="pct"/>
            <w:shd w:val="clear" w:color="auto" w:fill="auto"/>
            <w:vAlign w:val="center"/>
          </w:tcPr>
          <w:p w14:paraId="6E969985">
            <w:pPr>
              <w:spacing w:line="360" w:lineRule="auto"/>
              <w:jc w:val="center"/>
              <w:rPr>
                <w:rFonts w:hint="default" w:ascii="宋体" w:hAnsi="宋体" w:eastAsia="宋体" w:cs="Times New Roman"/>
                <w:sz w:val="21"/>
                <w:szCs w:val="21"/>
                <w:highlight w:val="yellow"/>
                <w:lang w:val="en-US" w:eastAsia="zh-CN" w:bidi="ar-SA"/>
              </w:rPr>
            </w:pPr>
            <w:r>
              <w:rPr>
                <w:rFonts w:hint="eastAsia" w:ascii="宋体" w:hAnsi="宋体" w:cs="宋体"/>
                <w:color w:val="000000"/>
                <w:szCs w:val="21"/>
                <w:lang w:val="en-US" w:eastAsia="zh-CN"/>
              </w:rPr>
              <w:t>98</w:t>
            </w:r>
          </w:p>
        </w:tc>
        <w:tc>
          <w:tcPr>
            <w:tcW w:w="534" w:type="pct"/>
            <w:shd w:val="clear" w:color="auto" w:fill="auto"/>
            <w:vAlign w:val="center"/>
          </w:tcPr>
          <w:p w14:paraId="228C69E5">
            <w:pPr>
              <w:spacing w:line="360" w:lineRule="auto"/>
              <w:jc w:val="center"/>
              <w:rPr>
                <w:rFonts w:hint="default" w:ascii="宋体" w:hAnsi="宋体" w:eastAsia="宋体" w:cs="Times New Roman"/>
                <w:sz w:val="21"/>
                <w:szCs w:val="21"/>
                <w:highlight w:val="none"/>
                <w:lang w:val="en-US" w:eastAsia="zh-CN" w:bidi="ar-SA"/>
              </w:rPr>
            </w:pPr>
            <w:r>
              <w:rPr>
                <w:rFonts w:hint="eastAsia" w:ascii="宋体" w:hAnsi="宋体" w:cs="宋体"/>
                <w:color w:val="000000"/>
                <w:szCs w:val="21"/>
                <w:highlight w:val="none"/>
                <w:lang w:val="en-US" w:eastAsia="zh-CN"/>
              </w:rPr>
              <w:t>120</w:t>
            </w:r>
          </w:p>
        </w:tc>
      </w:tr>
      <w:bookmarkEnd w:id="7"/>
    </w:tbl>
    <w:p w14:paraId="3412EC04">
      <w:pPr>
        <w:snapToGrid w:val="0"/>
        <w:spacing w:after="156" w:afterLines="50"/>
        <w:rPr>
          <w:rFonts w:ascii="黑体" w:hAnsi="黑体" w:eastAsia="黑体"/>
          <w:b/>
        </w:rPr>
      </w:pPr>
    </w:p>
    <w:p w14:paraId="51392ED9">
      <w:pPr>
        <w:snapToGrid w:val="0"/>
        <w:spacing w:after="156" w:afterLines="50"/>
        <w:jc w:val="center"/>
        <w:rPr>
          <w:rFonts w:ascii="黑体" w:hAnsi="黑体" w:eastAsia="黑体"/>
          <w:b/>
          <w:sz w:val="21"/>
          <w:szCs w:val="21"/>
        </w:rPr>
      </w:pPr>
      <w:r>
        <w:rPr>
          <w:rFonts w:hint="eastAsia" w:ascii="黑体" w:hAnsi="黑体" w:eastAsia="黑体"/>
          <w:b/>
          <w:sz w:val="21"/>
          <w:szCs w:val="21"/>
        </w:rPr>
        <w:t>图表4.1.2-5 评审发现及措施</w:t>
      </w:r>
    </w:p>
    <w:tbl>
      <w:tblPr>
        <w:tblStyle w:val="22"/>
        <w:tblW w:w="8582" w:type="dxa"/>
        <w:jc w:val="center"/>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Layout w:type="fixed"/>
        <w:tblCellMar>
          <w:top w:w="0" w:type="dxa"/>
          <w:left w:w="108" w:type="dxa"/>
          <w:bottom w:w="0" w:type="dxa"/>
          <w:right w:w="108" w:type="dxa"/>
        </w:tblCellMar>
      </w:tblPr>
      <w:tblGrid>
        <w:gridCol w:w="691"/>
        <w:gridCol w:w="2461"/>
        <w:gridCol w:w="1950"/>
        <w:gridCol w:w="3480"/>
      </w:tblGrid>
      <w:tr w14:paraId="449A2191">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420" w:hRule="atLeast"/>
          <w:tblHeader/>
          <w:jc w:val="center"/>
        </w:trPr>
        <w:tc>
          <w:tcPr>
            <w:tcW w:w="691" w:type="dxa"/>
            <w:shd w:val="clear" w:color="auto" w:fill="938953"/>
            <w:vAlign w:val="center"/>
          </w:tcPr>
          <w:p w14:paraId="19C70A69">
            <w:pPr>
              <w:jc w:val="center"/>
              <w:rPr>
                <w:b/>
                <w:bCs/>
                <w:color w:val="FFFFFF"/>
                <w:kern w:val="2"/>
                <w:sz w:val="21"/>
                <w:szCs w:val="21"/>
              </w:rPr>
            </w:pPr>
            <w:r>
              <w:rPr>
                <w:rFonts w:hint="eastAsia"/>
                <w:b/>
                <w:bCs/>
                <w:color w:val="FFFFFF"/>
                <w:kern w:val="2"/>
                <w:sz w:val="21"/>
                <w:szCs w:val="21"/>
              </w:rPr>
              <w:t>序号</w:t>
            </w:r>
          </w:p>
        </w:tc>
        <w:tc>
          <w:tcPr>
            <w:tcW w:w="2461" w:type="dxa"/>
            <w:shd w:val="clear" w:color="auto" w:fill="938953"/>
            <w:vAlign w:val="center"/>
          </w:tcPr>
          <w:p w14:paraId="03E70DE1">
            <w:pPr>
              <w:jc w:val="center"/>
              <w:rPr>
                <w:b/>
                <w:bCs/>
                <w:color w:val="FFFFFF"/>
                <w:kern w:val="2"/>
                <w:sz w:val="21"/>
                <w:szCs w:val="21"/>
              </w:rPr>
            </w:pPr>
            <w:r>
              <w:rPr>
                <w:rFonts w:hint="eastAsia"/>
                <w:b/>
                <w:bCs/>
                <w:color w:val="FFFFFF"/>
                <w:kern w:val="2"/>
                <w:sz w:val="21"/>
                <w:szCs w:val="21"/>
              </w:rPr>
              <w:t>评审发现</w:t>
            </w:r>
          </w:p>
        </w:tc>
        <w:tc>
          <w:tcPr>
            <w:tcW w:w="1950" w:type="dxa"/>
            <w:shd w:val="clear" w:color="auto" w:fill="938953"/>
            <w:vAlign w:val="center"/>
          </w:tcPr>
          <w:p w14:paraId="520C18E6">
            <w:pPr>
              <w:jc w:val="center"/>
              <w:rPr>
                <w:b/>
                <w:bCs/>
                <w:color w:val="FFFFFF"/>
                <w:kern w:val="2"/>
                <w:sz w:val="21"/>
                <w:szCs w:val="21"/>
              </w:rPr>
            </w:pPr>
            <w:r>
              <w:rPr>
                <w:rFonts w:hint="eastAsia"/>
                <w:b/>
                <w:bCs/>
                <w:color w:val="FFFFFF"/>
                <w:kern w:val="2"/>
                <w:sz w:val="21"/>
                <w:szCs w:val="21"/>
              </w:rPr>
              <w:t>影响</w:t>
            </w:r>
          </w:p>
        </w:tc>
        <w:tc>
          <w:tcPr>
            <w:tcW w:w="3480" w:type="dxa"/>
            <w:shd w:val="clear" w:color="auto" w:fill="938953"/>
          </w:tcPr>
          <w:p w14:paraId="3524172E">
            <w:pPr>
              <w:jc w:val="center"/>
              <w:rPr>
                <w:b/>
                <w:bCs/>
                <w:color w:val="FFFFFF"/>
                <w:kern w:val="2"/>
                <w:sz w:val="21"/>
                <w:szCs w:val="21"/>
              </w:rPr>
            </w:pPr>
            <w:r>
              <w:rPr>
                <w:rFonts w:hint="eastAsia"/>
                <w:b/>
                <w:bCs/>
                <w:color w:val="FFFFFF"/>
                <w:kern w:val="2"/>
                <w:sz w:val="21"/>
                <w:szCs w:val="21"/>
              </w:rPr>
              <w:t>措施</w:t>
            </w:r>
          </w:p>
        </w:tc>
      </w:tr>
      <w:tr w14:paraId="785D1F87">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1085" w:hRule="atLeast"/>
          <w:jc w:val="center"/>
        </w:trPr>
        <w:tc>
          <w:tcPr>
            <w:tcW w:w="691" w:type="dxa"/>
            <w:vAlign w:val="center"/>
          </w:tcPr>
          <w:p w14:paraId="68069A0E">
            <w:pPr>
              <w:spacing w:line="240" w:lineRule="exact"/>
              <w:jc w:val="center"/>
              <w:rPr>
                <w:rFonts w:ascii="宋体" w:hAnsi="宋体" w:cs="宋体"/>
                <w:color w:val="000000"/>
                <w:kern w:val="2"/>
                <w:sz w:val="22"/>
              </w:rPr>
            </w:pPr>
            <w:r>
              <w:rPr>
                <w:rFonts w:hint="eastAsia" w:ascii="宋体" w:hAnsi="宋体" w:cs="宋体"/>
                <w:color w:val="000000"/>
                <w:kern w:val="2"/>
                <w:sz w:val="22"/>
              </w:rPr>
              <w:t>1</w:t>
            </w:r>
          </w:p>
        </w:tc>
        <w:tc>
          <w:tcPr>
            <w:tcW w:w="2461" w:type="dxa"/>
            <w:vAlign w:val="center"/>
          </w:tcPr>
          <w:p w14:paraId="6050F7E1">
            <w:pPr>
              <w:spacing w:line="240" w:lineRule="exact"/>
              <w:rPr>
                <w:rFonts w:ascii="宋体" w:hAnsi="宋体" w:cs="宋体"/>
                <w:color w:val="000000"/>
                <w:kern w:val="2"/>
                <w:sz w:val="22"/>
              </w:rPr>
            </w:pPr>
            <w:r>
              <w:rPr>
                <w:rFonts w:hint="eastAsia" w:ascii="宋体" w:hAnsi="宋体" w:cs="宋体"/>
                <w:color w:val="000000"/>
                <w:kern w:val="2"/>
                <w:sz w:val="22"/>
              </w:rPr>
              <w:t>行业存在恶性竞争</w:t>
            </w:r>
          </w:p>
        </w:tc>
        <w:tc>
          <w:tcPr>
            <w:tcW w:w="1950" w:type="dxa"/>
            <w:vAlign w:val="center"/>
          </w:tcPr>
          <w:p w14:paraId="1D42690D">
            <w:pPr>
              <w:jc w:val="center"/>
              <w:rPr>
                <w:rFonts w:ascii="宋体" w:hAnsi="宋体"/>
                <w:kern w:val="2"/>
                <w:sz w:val="21"/>
                <w:szCs w:val="21"/>
              </w:rPr>
            </w:pPr>
            <w:r>
              <w:rPr>
                <w:rFonts w:hint="eastAsia" w:ascii="宋体" w:hAnsi="宋体"/>
                <w:kern w:val="2"/>
                <w:sz w:val="21"/>
                <w:szCs w:val="21"/>
              </w:rPr>
              <w:t>存在销售风险</w:t>
            </w:r>
          </w:p>
        </w:tc>
        <w:tc>
          <w:tcPr>
            <w:tcW w:w="3480" w:type="dxa"/>
            <w:vAlign w:val="center"/>
          </w:tcPr>
          <w:p w14:paraId="17C4EA4C">
            <w:pPr>
              <w:jc w:val="both"/>
              <w:rPr>
                <w:rFonts w:ascii="宋体" w:hAnsi="宋体"/>
                <w:kern w:val="2"/>
                <w:sz w:val="21"/>
                <w:szCs w:val="21"/>
              </w:rPr>
            </w:pPr>
            <w:r>
              <w:rPr>
                <w:rFonts w:hint="eastAsia" w:ascii="宋体" w:hAnsi="宋体" w:cs="宋体"/>
                <w:color w:val="000000"/>
                <w:kern w:val="2"/>
                <w:sz w:val="22"/>
              </w:rPr>
              <w:t>引入先进管理体系，不断开发新产品、应用新技术、采用新工艺，增强企业抗风险能力。</w:t>
            </w:r>
          </w:p>
        </w:tc>
      </w:tr>
      <w:tr w14:paraId="1F46D054">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1050" w:hRule="atLeast"/>
          <w:jc w:val="center"/>
        </w:trPr>
        <w:tc>
          <w:tcPr>
            <w:tcW w:w="691" w:type="dxa"/>
            <w:vAlign w:val="center"/>
          </w:tcPr>
          <w:p w14:paraId="278F678B">
            <w:pPr>
              <w:spacing w:line="240" w:lineRule="exact"/>
              <w:jc w:val="center"/>
              <w:rPr>
                <w:kern w:val="2"/>
                <w:sz w:val="21"/>
                <w:szCs w:val="21"/>
              </w:rPr>
            </w:pPr>
            <w:r>
              <w:rPr>
                <w:rFonts w:hint="eastAsia"/>
                <w:kern w:val="2"/>
                <w:sz w:val="21"/>
                <w:szCs w:val="21"/>
              </w:rPr>
              <w:t>2</w:t>
            </w:r>
          </w:p>
        </w:tc>
        <w:tc>
          <w:tcPr>
            <w:tcW w:w="2461" w:type="dxa"/>
            <w:vAlign w:val="center"/>
          </w:tcPr>
          <w:p w14:paraId="43840FBF">
            <w:pPr>
              <w:spacing w:line="240" w:lineRule="exact"/>
              <w:rPr>
                <w:rFonts w:ascii="宋体" w:hAnsi="宋体" w:cs="宋体"/>
                <w:color w:val="000000"/>
                <w:kern w:val="2"/>
                <w:sz w:val="22"/>
              </w:rPr>
            </w:pPr>
            <w:r>
              <w:rPr>
                <w:rFonts w:hint="eastAsia" w:ascii="宋体" w:hAnsi="宋体" w:cs="宋体"/>
                <w:color w:val="000000"/>
                <w:kern w:val="2"/>
                <w:sz w:val="22"/>
              </w:rPr>
              <w:t>人员工资增长、流动快</w:t>
            </w:r>
          </w:p>
        </w:tc>
        <w:tc>
          <w:tcPr>
            <w:tcW w:w="1950" w:type="dxa"/>
            <w:vAlign w:val="center"/>
          </w:tcPr>
          <w:p w14:paraId="3C5CDA78">
            <w:pPr>
              <w:jc w:val="center"/>
              <w:rPr>
                <w:rFonts w:ascii="宋体" w:hAnsi="宋体"/>
                <w:kern w:val="2"/>
                <w:sz w:val="21"/>
                <w:szCs w:val="21"/>
              </w:rPr>
            </w:pPr>
            <w:r>
              <w:rPr>
                <w:rFonts w:hint="eastAsia" w:ascii="宋体" w:hAnsi="宋体"/>
                <w:kern w:val="2"/>
                <w:sz w:val="21"/>
                <w:szCs w:val="21"/>
              </w:rPr>
              <w:t>成本增加</w:t>
            </w:r>
          </w:p>
        </w:tc>
        <w:tc>
          <w:tcPr>
            <w:tcW w:w="3480" w:type="dxa"/>
            <w:vAlign w:val="center"/>
          </w:tcPr>
          <w:p w14:paraId="5135FD64">
            <w:pPr>
              <w:jc w:val="both"/>
              <w:rPr>
                <w:rFonts w:ascii="宋体" w:hAnsi="宋体"/>
                <w:kern w:val="2"/>
                <w:sz w:val="21"/>
                <w:szCs w:val="21"/>
              </w:rPr>
            </w:pPr>
            <w:r>
              <w:rPr>
                <w:rFonts w:hint="eastAsia" w:ascii="宋体" w:hAnsi="宋体" w:cs="宋体"/>
                <w:color w:val="000000"/>
                <w:kern w:val="2"/>
                <w:sz w:val="22"/>
              </w:rPr>
              <w:t>加强人员培训和人文关怀管理；采用规范化、流程化作业，推进精益生产，降低成本。</w:t>
            </w:r>
          </w:p>
        </w:tc>
      </w:tr>
    </w:tbl>
    <w:p w14:paraId="7AB2E8AD">
      <w:pPr>
        <w:pStyle w:val="4"/>
        <w:spacing w:before="380" w:line="360" w:lineRule="auto"/>
      </w:pPr>
      <w:bookmarkStart w:id="8" w:name="_Toc339617460"/>
      <w:bookmarkStart w:id="9" w:name="_Toc401871369"/>
      <w:bookmarkStart w:id="10" w:name="_Toc99720416"/>
      <w:bookmarkStart w:id="11" w:name="_Toc26324"/>
      <w:bookmarkStart w:id="12" w:name="_Toc401871370"/>
      <w:bookmarkStart w:id="13" w:name="_Toc339617461"/>
      <w:r>
        <w:t>4.1.3</w:t>
      </w:r>
      <w:r>
        <w:rPr>
          <w:rFonts w:hint="eastAsia"/>
        </w:rPr>
        <w:t>组织治理</w:t>
      </w:r>
      <w:bookmarkEnd w:id="8"/>
      <w:bookmarkEnd w:id="9"/>
      <w:bookmarkEnd w:id="10"/>
    </w:p>
    <w:p w14:paraId="3C951D99">
      <w:pPr>
        <w:spacing w:line="360" w:lineRule="auto"/>
        <w:rPr>
          <w:rFonts w:ascii="宋体" w:hAnsi="宋体"/>
          <w:b/>
        </w:rPr>
      </w:pPr>
      <w:r>
        <w:rPr>
          <w:rFonts w:hint="eastAsia" w:ascii="宋体" w:hAnsi="宋体"/>
          <w:b/>
        </w:rPr>
        <w:t>a） 组织治理需考虑的关键因素</w:t>
      </w:r>
    </w:p>
    <w:p w14:paraId="3F9D4E06">
      <w:pPr>
        <w:autoSpaceDE w:val="0"/>
        <w:autoSpaceDN w:val="0"/>
        <w:adjustRightInd w:val="0"/>
        <w:spacing w:line="360" w:lineRule="auto"/>
        <w:rPr>
          <w:rFonts w:ascii="宋体" w:hAnsi="宋体" w:cs="宋体"/>
          <w:b/>
          <w:lang w:val="zh-CN"/>
        </w:rPr>
      </w:pPr>
      <w:r>
        <w:rPr>
          <w:rFonts w:hint="eastAsia" w:ascii="宋体" w:hAnsi="宋体" w:cs="宋体"/>
          <w:b/>
          <w:lang w:val="zh-CN"/>
        </w:rPr>
        <w:t>1)管理层所采取行动的责任</w:t>
      </w:r>
    </w:p>
    <w:p w14:paraId="10C7150C">
      <w:pPr>
        <w:spacing w:line="360" w:lineRule="auto"/>
        <w:ind w:firstLine="480" w:firstLineChars="200"/>
        <w:jc w:val="both"/>
        <w:rPr>
          <w:rFonts w:cs="宋体"/>
        </w:rPr>
      </w:pPr>
      <w:r>
        <w:t>公司成立后，依据《公司法》、《公司章程》的相关规定</w:t>
      </w:r>
      <w:r>
        <w:rPr>
          <w:rFonts w:hint="eastAsia"/>
        </w:rPr>
        <w:t>设立了股东大会、董事会和监事会，并</w:t>
      </w:r>
      <w:r>
        <w:t>逐步建立健全了股东大会、董事会、监事会和董事会秘书制度。</w:t>
      </w:r>
      <w:r>
        <w:rPr>
          <w:rFonts w:hint="eastAsia"/>
        </w:rPr>
        <w:t>公司</w:t>
      </w:r>
      <w:r>
        <w:t>参考上市公司要求及非上市公众公司的具体情况</w:t>
      </w:r>
      <w:r>
        <w:rPr>
          <w:rFonts w:hint="eastAsia"/>
        </w:rPr>
        <w:t>，于</w:t>
      </w:r>
      <w:r>
        <w:rPr>
          <w:rFonts w:hint="eastAsia"/>
          <w:color w:val="000000" w:themeColor="text1"/>
          <w:highlight w:val="none"/>
          <w:lang w:val="en-US" w:eastAsia="zh-CN"/>
          <w14:textFill>
            <w14:solidFill>
              <w14:schemeClr w14:val="tx1"/>
            </w14:solidFill>
          </w14:textFill>
        </w:rPr>
        <w:t>2020</w:t>
      </w:r>
      <w:r>
        <w:rPr>
          <w:rFonts w:hint="eastAsia"/>
        </w:rPr>
        <w:t>年年度</w:t>
      </w:r>
      <w:r>
        <w:rPr>
          <w:rFonts w:hint="eastAsia"/>
          <w:lang w:eastAsia="zh-CN"/>
        </w:rPr>
        <w:t>公司会议</w:t>
      </w:r>
      <w:r>
        <w:t>制</w:t>
      </w:r>
      <w:r>
        <w:rPr>
          <w:rFonts w:hint="eastAsia" w:cs="宋体"/>
        </w:rPr>
        <w:t>定通过了《关联交易决策制度》、《对外担保管理制度》、《</w:t>
      </w:r>
      <w:r>
        <w:rPr>
          <w:rFonts w:cs="宋体"/>
        </w:rPr>
        <w:t>投资管理制度》、</w:t>
      </w:r>
      <w:r>
        <w:rPr>
          <w:rFonts w:hint="eastAsia" w:cs="宋体"/>
        </w:rPr>
        <w:t>《投资者关系管理制度》、</w:t>
      </w:r>
      <w:r>
        <w:rPr>
          <w:rFonts w:cs="宋体"/>
        </w:rPr>
        <w:t>《总经理工作细则》、</w:t>
      </w:r>
      <w:r>
        <w:rPr>
          <w:rFonts w:hint="eastAsia" w:cs="宋体"/>
        </w:rPr>
        <w:t>《信息披露管理制度》</w:t>
      </w:r>
      <w:r>
        <w:rPr>
          <w:rFonts w:cs="宋体"/>
        </w:rPr>
        <w:t>等</w:t>
      </w:r>
      <w:r>
        <w:rPr>
          <w:rFonts w:hint="eastAsia" w:cs="宋体"/>
        </w:rPr>
        <w:t>制度。公司章程中明确了三会职责、权限等，并规定了会议通知、召集、召开、表决等程序。公司章程及三会议事规则的具体条款内容符合现行法律法规的要求。</w:t>
      </w:r>
    </w:p>
    <w:p w14:paraId="407F312B">
      <w:pPr>
        <w:autoSpaceDE w:val="0"/>
        <w:autoSpaceDN w:val="0"/>
        <w:adjustRightInd w:val="0"/>
        <w:spacing w:line="360" w:lineRule="auto"/>
        <w:ind w:firstLine="420"/>
        <w:rPr>
          <w:rFonts w:ascii="宋体" w:hAnsi="宋体"/>
          <w:b/>
          <w:bCs/>
          <w:color w:val="000000"/>
        </w:rPr>
      </w:pPr>
      <w:r>
        <w:rPr>
          <w:rFonts w:hint="eastAsia" w:ascii="宋体" w:hAnsi="宋体" w:cs="Arial"/>
          <w:b/>
          <w:bCs/>
        </w:rPr>
        <w:t xml:space="preserve">◆ </w:t>
      </w:r>
      <w:r>
        <w:rPr>
          <w:rFonts w:hint="eastAsia" w:ascii="宋体" w:hAnsi="宋体"/>
          <w:b/>
          <w:bCs/>
          <w:color w:val="000000"/>
        </w:rPr>
        <w:t>明确责任</w:t>
      </w:r>
    </w:p>
    <w:p w14:paraId="6A8E2738">
      <w:pPr>
        <w:spacing w:line="360" w:lineRule="auto"/>
        <w:ind w:firstLine="480" w:firstLineChars="200"/>
        <w:jc w:val="both"/>
        <w:rPr>
          <w:rFonts w:cs="宋体"/>
        </w:rPr>
      </w:pPr>
      <w:r>
        <w:rPr>
          <w:rFonts w:hint="eastAsia" w:cs="宋体"/>
        </w:rPr>
        <w:t>公司三会机构及其组成人员能够依照公司章程及三会议事规则履行职责，股东、董事、监事对各自职责有明确了解，有能力承担公司章程及其他管理制度所规定的义务，能够按照前述规章制度规定的权限参与决策，积极参与公司经营事务的讨论和表决，切实发挥各个机构的作用。</w:t>
      </w:r>
    </w:p>
    <w:p w14:paraId="6A837F0F">
      <w:pPr>
        <w:autoSpaceDE w:val="0"/>
        <w:autoSpaceDN w:val="0"/>
        <w:adjustRightInd w:val="0"/>
        <w:spacing w:line="360" w:lineRule="auto"/>
        <w:ind w:firstLine="420"/>
        <w:rPr>
          <w:rFonts w:ascii="宋体" w:hAnsi="宋体"/>
          <w:b/>
          <w:bCs/>
          <w:color w:val="000000"/>
        </w:rPr>
      </w:pPr>
      <w:r>
        <w:rPr>
          <w:rFonts w:hint="eastAsia" w:ascii="宋体" w:hAnsi="宋体" w:cs="Arial"/>
          <w:b/>
          <w:bCs/>
        </w:rPr>
        <w:t xml:space="preserve">◆ </w:t>
      </w:r>
      <w:r>
        <w:rPr>
          <w:rFonts w:hint="eastAsia" w:ascii="宋体" w:hAnsi="宋体"/>
          <w:b/>
          <w:bCs/>
          <w:color w:val="000000"/>
        </w:rPr>
        <w:t>道德责任</w:t>
      </w:r>
    </w:p>
    <w:p w14:paraId="51AE5BFB">
      <w:pPr>
        <w:spacing w:line="360" w:lineRule="auto"/>
        <w:ind w:firstLine="480" w:firstLineChars="200"/>
        <w:jc w:val="both"/>
      </w:pPr>
      <w:r>
        <w:rPr>
          <w:rFonts w:hint="eastAsia"/>
        </w:rPr>
        <w:t>公司恪守法律法规的要求，严格按照法律法规的要求办事，依法承担相应的责任。公司收集了法律法规，建立了技术标准、工作标准和管理标准，并形成企业标准体系等。公司重视组织行为和个人行为的道德责任，保护消费者，社会的权益及自然环境。</w:t>
      </w:r>
    </w:p>
    <w:p w14:paraId="290B9DDA">
      <w:pPr>
        <w:spacing w:line="360" w:lineRule="auto"/>
        <w:ind w:firstLine="480" w:firstLineChars="200"/>
        <w:rPr>
          <w:rFonts w:cs="宋体"/>
        </w:rPr>
      </w:pPr>
      <w:r>
        <w:rPr>
          <w:rFonts w:hint="eastAsia" w:cs="宋体"/>
        </w:rPr>
        <w:t>公司已经建立了健全的治理架构及决策机制，并得到有效的运行。</w:t>
      </w:r>
    </w:p>
    <w:p w14:paraId="3DB37CBA">
      <w:pPr>
        <w:autoSpaceDE w:val="0"/>
        <w:autoSpaceDN w:val="0"/>
        <w:adjustRightInd w:val="0"/>
        <w:spacing w:line="360" w:lineRule="auto"/>
        <w:rPr>
          <w:rFonts w:ascii="宋体" w:hAnsi="宋体" w:cs="宋体"/>
          <w:b/>
          <w:szCs w:val="32"/>
          <w:lang w:val="zh-CN"/>
        </w:rPr>
      </w:pPr>
      <w:r>
        <w:rPr>
          <w:rFonts w:hint="eastAsia" w:ascii="宋体" w:hAnsi="宋体" w:cs="宋体"/>
          <w:b/>
          <w:szCs w:val="32"/>
        </w:rPr>
        <w:t>2</w:t>
      </w:r>
      <w:r>
        <w:rPr>
          <w:rFonts w:hint="eastAsia" w:ascii="宋体" w:hAnsi="宋体" w:cs="宋体"/>
          <w:b/>
          <w:szCs w:val="32"/>
          <w:lang w:val="zh-CN"/>
        </w:rPr>
        <w:t>）财务方面的责任</w:t>
      </w:r>
    </w:p>
    <w:p w14:paraId="29C4BED1">
      <w:pPr>
        <w:autoSpaceDE w:val="0"/>
        <w:autoSpaceDN w:val="0"/>
        <w:adjustRightInd w:val="0"/>
        <w:spacing w:line="360" w:lineRule="auto"/>
        <w:ind w:firstLine="482"/>
        <w:rPr>
          <w:szCs w:val="40"/>
        </w:rPr>
      </w:pPr>
      <w:r>
        <w:rPr>
          <w:rFonts w:hint="eastAsia"/>
          <w:szCs w:val="40"/>
        </w:rPr>
        <w:t>董事会要求由核心领导层每月对财务绩效和行动计划进行详细的审核以确保持续的财务生存力。公司的财务管理严格执行国家相关的财务法律制度，并制定和完善企业的财务管理制度，建立以预算管理为中心的财务管理体系，规范财务行为。</w:t>
      </w:r>
    </w:p>
    <w:p w14:paraId="7BD92A32">
      <w:pPr>
        <w:autoSpaceDE w:val="0"/>
        <w:autoSpaceDN w:val="0"/>
        <w:adjustRightInd w:val="0"/>
        <w:spacing w:line="360" w:lineRule="auto"/>
        <w:ind w:firstLine="482"/>
        <w:rPr>
          <w:rFonts w:ascii="宋体" w:hAnsi="宋体" w:cs="宋体"/>
          <w:szCs w:val="32"/>
          <w:lang w:val="zh-CN"/>
        </w:rPr>
      </w:pPr>
      <w:r>
        <w:rPr>
          <w:rFonts w:hint="eastAsia"/>
          <w:szCs w:val="40"/>
        </w:rPr>
        <w:t>公司严格执行国家颁发的《中华人民共和国会计法》、《企业会计准则》、《企业财务通则》以及相关法律法规要求，建立健全了各项财务规章制度，强化内控制度，按季度组织编报财务报表。各项费用支出严格按审批程序进行。依法实行会计互相监督，建立了比较完善的会计核算机构与财务管理体系，规避财务管理的风险</w:t>
      </w:r>
      <w:r>
        <w:rPr>
          <w:rFonts w:hint="eastAsia" w:ascii="宋体" w:hAnsi="宋体" w:cs="宋体"/>
          <w:szCs w:val="32"/>
          <w:lang w:val="zh-CN"/>
        </w:rPr>
        <w:t>。</w:t>
      </w:r>
    </w:p>
    <w:p w14:paraId="5534AAF0">
      <w:pPr>
        <w:autoSpaceDE w:val="0"/>
        <w:autoSpaceDN w:val="0"/>
        <w:adjustRightInd w:val="0"/>
        <w:spacing w:line="360" w:lineRule="auto"/>
        <w:rPr>
          <w:rFonts w:ascii="宋体" w:hAnsi="宋体" w:cs="宋体"/>
          <w:b/>
          <w:szCs w:val="32"/>
          <w:lang w:val="zh-CN"/>
        </w:rPr>
      </w:pPr>
      <w:r>
        <w:rPr>
          <w:rFonts w:hint="eastAsia" w:ascii="宋体" w:hAnsi="宋体" w:cs="宋体"/>
          <w:b/>
          <w:szCs w:val="32"/>
          <w:lang w:val="zh-CN"/>
        </w:rPr>
        <w:t>3）确保运营的透明性</w:t>
      </w:r>
    </w:p>
    <w:p w14:paraId="608E8CE1">
      <w:pPr>
        <w:spacing w:line="360" w:lineRule="auto"/>
        <w:ind w:firstLine="480" w:firstLineChars="200"/>
        <w:rPr>
          <w:rFonts w:ascii="宋体" w:hAnsi="宋体" w:cs="宋体"/>
          <w:szCs w:val="32"/>
          <w:lang w:val="zh-CN"/>
        </w:rPr>
      </w:pPr>
      <w:r>
        <w:rPr>
          <w:rFonts w:hint="eastAsia" w:ascii="宋体" w:hAnsi="宋体" w:cs="宋体"/>
          <w:szCs w:val="32"/>
          <w:lang w:val="zh-CN"/>
        </w:rPr>
        <w:t>公司不断完善组织治理机构及保持经营管理透明性。公司每年聘请</w:t>
      </w:r>
      <w:r>
        <w:rPr>
          <w:rFonts w:hint="eastAsia" w:ascii="宋体" w:hAnsi="宋体" w:cs="宋体"/>
          <w:szCs w:val="32"/>
        </w:rPr>
        <w:t>专业</w:t>
      </w:r>
      <w:r>
        <w:rPr>
          <w:rFonts w:hint="eastAsia" w:ascii="宋体" w:hAnsi="宋体" w:cs="宋体"/>
          <w:szCs w:val="32"/>
          <w:lang w:val="zh-CN"/>
        </w:rPr>
        <w:t>会计师事务所对合法经营、规范管理等进行全面审计工作，以此保证公司经营管理的透明性。</w:t>
      </w:r>
    </w:p>
    <w:p w14:paraId="57BF8FD2">
      <w:pPr>
        <w:autoSpaceDE w:val="0"/>
        <w:autoSpaceDN w:val="0"/>
        <w:adjustRightInd w:val="0"/>
        <w:spacing w:line="360" w:lineRule="auto"/>
        <w:rPr>
          <w:rFonts w:ascii="宋体" w:hAnsi="宋体" w:cs="宋体"/>
          <w:b/>
          <w:szCs w:val="32"/>
          <w:lang w:val="zh-CN"/>
        </w:rPr>
      </w:pPr>
      <w:r>
        <w:rPr>
          <w:rFonts w:hint="eastAsia" w:ascii="宋体" w:hAnsi="宋体" w:cs="宋体"/>
          <w:b/>
          <w:szCs w:val="32"/>
        </w:rPr>
        <w:t>4</w:t>
      </w:r>
      <w:r>
        <w:rPr>
          <w:rFonts w:hint="eastAsia" w:ascii="宋体" w:hAnsi="宋体" w:cs="宋体"/>
          <w:b/>
          <w:szCs w:val="32"/>
          <w:lang w:val="zh-CN"/>
        </w:rPr>
        <w:t>）</w:t>
      </w:r>
      <w:r>
        <w:rPr>
          <w:rFonts w:hint="eastAsia" w:ascii="宋体" w:hAnsi="宋体" w:cs="宋体"/>
          <w:b/>
          <w:szCs w:val="32"/>
        </w:rPr>
        <w:t xml:space="preserve"> 确保审计的独立性</w:t>
      </w:r>
    </w:p>
    <w:p w14:paraId="6AFD3D55">
      <w:pPr>
        <w:autoSpaceDE w:val="0"/>
        <w:autoSpaceDN w:val="0"/>
        <w:adjustRightInd w:val="0"/>
        <w:spacing w:line="360" w:lineRule="auto"/>
        <w:ind w:firstLine="482"/>
        <w:rPr>
          <w:rFonts w:ascii="宋体" w:hAnsi="宋体" w:cs="宋体"/>
          <w:szCs w:val="32"/>
        </w:rPr>
      </w:pPr>
      <w:r>
        <w:rPr>
          <w:rFonts w:hint="eastAsia"/>
          <w:szCs w:val="40"/>
        </w:rPr>
        <w:t>公司委托专业会计师事务所对公司财务收支、经济效益以及内控制度的执行情况进行审计、咨询等服务，该事务所具备外部审计的独立条件</w:t>
      </w:r>
      <w:r>
        <w:rPr>
          <w:rFonts w:hint="eastAsia" w:ascii="宋体" w:hAnsi="宋体" w:cs="宋体"/>
          <w:szCs w:val="32"/>
          <w:lang w:val="zh-CN"/>
        </w:rPr>
        <w:t>。</w:t>
      </w:r>
      <w:r>
        <w:rPr>
          <w:rFonts w:hint="eastAsia" w:ascii="宋体" w:hAnsi="宋体" w:cs="宋体"/>
          <w:szCs w:val="32"/>
        </w:rPr>
        <w:t>具有相关专业的履职能力，与公司没有关联利益关系，确保了外部审计的独立性。</w:t>
      </w:r>
    </w:p>
    <w:p w14:paraId="1026E21D">
      <w:pPr>
        <w:autoSpaceDE w:val="0"/>
        <w:autoSpaceDN w:val="0"/>
        <w:adjustRightInd w:val="0"/>
        <w:spacing w:line="360" w:lineRule="auto"/>
        <w:ind w:firstLine="482"/>
        <w:rPr>
          <w:rFonts w:ascii="宋体" w:hAnsi="宋体" w:cs="宋体"/>
          <w:szCs w:val="32"/>
        </w:rPr>
      </w:pPr>
      <w:r>
        <w:rPr>
          <w:rFonts w:hint="eastAsia" w:ascii="宋体" w:hAnsi="宋体" w:cs="宋体"/>
          <w:szCs w:val="32"/>
        </w:rPr>
        <w:t>公司自成立以来，内部审核监督有力，各项工作合理合法。负责外部审核的会计事务所均</w:t>
      </w:r>
      <w:r>
        <w:rPr>
          <w:rFonts w:hint="eastAsia"/>
          <w:szCs w:val="40"/>
        </w:rPr>
        <w:t>出具了无保留意见的审计报告，对公司的组织治理给予高度肯定。</w:t>
      </w:r>
    </w:p>
    <w:p w14:paraId="3EBD2C4E">
      <w:pPr>
        <w:spacing w:line="360" w:lineRule="auto"/>
        <w:rPr>
          <w:rFonts w:ascii="宋体" w:hAnsi="宋体"/>
          <w:b/>
          <w:szCs w:val="32"/>
        </w:rPr>
      </w:pPr>
      <w:r>
        <w:rPr>
          <w:rFonts w:hint="eastAsia" w:ascii="宋体" w:hAnsi="宋体"/>
          <w:b/>
          <w:szCs w:val="32"/>
        </w:rPr>
        <w:t>5） 股东及其他相关方利益的保护</w:t>
      </w:r>
    </w:p>
    <w:p w14:paraId="7A5987E5">
      <w:pPr>
        <w:autoSpaceDE w:val="0"/>
        <w:autoSpaceDN w:val="0"/>
        <w:adjustRightInd w:val="0"/>
        <w:spacing w:line="360" w:lineRule="auto"/>
        <w:ind w:firstLine="456" w:firstLineChars="190"/>
        <w:rPr>
          <w:rFonts w:ascii="宋体" w:hAnsi="宋体"/>
          <w:szCs w:val="32"/>
        </w:rPr>
      </w:pPr>
      <w:r>
        <w:rPr>
          <w:rFonts w:hint="eastAsia" w:ascii="宋体" w:hAnsi="宋体"/>
          <w:szCs w:val="32"/>
        </w:rPr>
        <w:t>公司通过完善的监督管理体系，每一年请独立的第三方—会计事务所来公司进行全面审计，积极保护股东和相关方的利益。同时设立3人监事会，其中1人为职工代表，对公司的经营决策予以监督。每个董事会成员、公司高层执行管理团队成员的年度利益与股东或相关方的利益冲时必须做出声明，并且声明都要由监事会监事进行审核，以发现和处理问题。</w:t>
      </w:r>
    </w:p>
    <w:p w14:paraId="57BF5B0B">
      <w:pPr>
        <w:spacing w:line="360" w:lineRule="auto"/>
        <w:rPr>
          <w:rFonts w:ascii="宋体" w:hAnsi="宋体"/>
          <w:b/>
          <w:szCs w:val="32"/>
        </w:rPr>
      </w:pPr>
      <w:r>
        <w:rPr>
          <w:rFonts w:ascii="宋体" w:hAnsi="宋体"/>
          <w:b/>
          <w:szCs w:val="32"/>
        </w:rPr>
        <w:t>b</w:t>
      </w:r>
      <w:r>
        <w:rPr>
          <w:rFonts w:hint="eastAsia" w:ascii="宋体" w:hAnsi="宋体"/>
          <w:b/>
          <w:szCs w:val="32"/>
        </w:rPr>
        <w:t>） 开展监督评价高层领导的绩效，保持领导体系的高效性</w:t>
      </w:r>
    </w:p>
    <w:p w14:paraId="6314A2C4">
      <w:pPr>
        <w:spacing w:line="360" w:lineRule="auto"/>
        <w:rPr>
          <w:rFonts w:ascii="宋体" w:hAnsi="宋体"/>
          <w:b/>
          <w:szCs w:val="32"/>
        </w:rPr>
      </w:pPr>
      <w:r>
        <w:rPr>
          <w:rFonts w:hint="eastAsia" w:ascii="宋体" w:hAnsi="宋体"/>
          <w:b/>
          <w:szCs w:val="32"/>
        </w:rPr>
        <w:t>1）对高层领导的绩效评价</w:t>
      </w:r>
    </w:p>
    <w:p w14:paraId="29B51704">
      <w:pPr>
        <w:spacing w:line="360" w:lineRule="auto"/>
        <w:ind w:firstLine="495"/>
        <w:rPr>
          <w:szCs w:val="32"/>
        </w:rPr>
      </w:pPr>
      <w:r>
        <w:rPr>
          <w:rFonts w:hint="eastAsia"/>
          <w:szCs w:val="32"/>
        </w:rPr>
        <w:t>公司高层领导在公司内建立分管领导目标考核体系、各部门关键指标考核体系来确保公司年度指标的完成，公司每年组织一次管理体系评审会。</w:t>
      </w:r>
    </w:p>
    <w:p w14:paraId="2340B7D1">
      <w:pPr>
        <w:snapToGrid w:val="0"/>
        <w:spacing w:after="156" w:afterLines="50"/>
        <w:jc w:val="center"/>
        <w:rPr>
          <w:rFonts w:ascii="黑体" w:hAnsi="黑体" w:eastAsia="黑体"/>
          <w:b/>
          <w:sz w:val="21"/>
          <w:szCs w:val="21"/>
        </w:rPr>
      </w:pPr>
    </w:p>
    <w:p w14:paraId="04D88BB8">
      <w:pPr>
        <w:snapToGrid w:val="0"/>
        <w:spacing w:after="156" w:afterLines="50"/>
        <w:jc w:val="center"/>
        <w:rPr>
          <w:rFonts w:ascii="黑体" w:hAnsi="黑体" w:eastAsia="黑体"/>
          <w:b/>
          <w:sz w:val="21"/>
          <w:szCs w:val="21"/>
        </w:rPr>
      </w:pPr>
      <w:r>
        <w:rPr>
          <w:rFonts w:hint="eastAsia" w:ascii="黑体" w:hAnsi="黑体" w:eastAsia="黑体"/>
          <w:b/>
          <w:sz w:val="21"/>
          <w:szCs w:val="21"/>
        </w:rPr>
        <w:t>图表4.1.3-1 评审发现及措施</w:t>
      </w:r>
    </w:p>
    <w:tbl>
      <w:tblPr>
        <w:tblStyle w:val="22"/>
        <w:tblW w:w="8743" w:type="dxa"/>
        <w:jc w:val="center"/>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Layout w:type="fixed"/>
        <w:tblCellMar>
          <w:top w:w="0" w:type="dxa"/>
          <w:left w:w="108" w:type="dxa"/>
          <w:bottom w:w="0" w:type="dxa"/>
          <w:right w:w="108" w:type="dxa"/>
        </w:tblCellMar>
      </w:tblPr>
      <w:tblGrid>
        <w:gridCol w:w="1594"/>
        <w:gridCol w:w="3605"/>
        <w:gridCol w:w="992"/>
        <w:gridCol w:w="2552"/>
      </w:tblGrid>
      <w:tr w14:paraId="7CDC6787">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420" w:hRule="atLeast"/>
          <w:tblHeader/>
          <w:jc w:val="center"/>
        </w:trPr>
        <w:tc>
          <w:tcPr>
            <w:tcW w:w="1594" w:type="dxa"/>
            <w:shd w:val="clear" w:color="auto" w:fill="938953"/>
            <w:vAlign w:val="center"/>
          </w:tcPr>
          <w:p w14:paraId="0274CD91">
            <w:pPr>
              <w:jc w:val="center"/>
              <w:rPr>
                <w:b/>
                <w:bCs/>
                <w:color w:val="FFFFFF"/>
                <w:kern w:val="2"/>
                <w:sz w:val="21"/>
                <w:szCs w:val="21"/>
              </w:rPr>
            </w:pPr>
            <w:r>
              <w:rPr>
                <w:rFonts w:hint="eastAsia"/>
                <w:b/>
                <w:bCs/>
                <w:color w:val="FFFFFF"/>
                <w:kern w:val="2"/>
                <w:sz w:val="21"/>
                <w:szCs w:val="21"/>
              </w:rPr>
              <w:t>评审方式</w:t>
            </w:r>
          </w:p>
        </w:tc>
        <w:tc>
          <w:tcPr>
            <w:tcW w:w="3605" w:type="dxa"/>
            <w:shd w:val="clear" w:color="auto" w:fill="938953"/>
            <w:vAlign w:val="center"/>
          </w:tcPr>
          <w:p w14:paraId="55FEDE3C">
            <w:pPr>
              <w:jc w:val="center"/>
              <w:rPr>
                <w:b/>
                <w:bCs/>
                <w:color w:val="FFFFFF"/>
                <w:kern w:val="2"/>
                <w:sz w:val="21"/>
                <w:szCs w:val="21"/>
              </w:rPr>
            </w:pPr>
            <w:r>
              <w:rPr>
                <w:rFonts w:hint="eastAsia"/>
                <w:b/>
                <w:bCs/>
                <w:color w:val="FFFFFF"/>
                <w:kern w:val="2"/>
                <w:sz w:val="21"/>
                <w:szCs w:val="21"/>
              </w:rPr>
              <w:t>评审关键绩效指标</w:t>
            </w:r>
          </w:p>
        </w:tc>
        <w:tc>
          <w:tcPr>
            <w:tcW w:w="992" w:type="dxa"/>
            <w:shd w:val="clear" w:color="auto" w:fill="938953"/>
            <w:vAlign w:val="center"/>
          </w:tcPr>
          <w:p w14:paraId="2DA0843C">
            <w:pPr>
              <w:jc w:val="center"/>
              <w:rPr>
                <w:b/>
                <w:bCs/>
                <w:color w:val="FFFFFF"/>
                <w:kern w:val="2"/>
                <w:sz w:val="21"/>
                <w:szCs w:val="21"/>
              </w:rPr>
            </w:pPr>
            <w:r>
              <w:rPr>
                <w:rFonts w:hint="eastAsia"/>
                <w:b/>
                <w:bCs/>
                <w:color w:val="FFFFFF"/>
                <w:kern w:val="2"/>
                <w:sz w:val="21"/>
                <w:szCs w:val="21"/>
              </w:rPr>
              <w:t>频次</w:t>
            </w:r>
          </w:p>
        </w:tc>
        <w:tc>
          <w:tcPr>
            <w:tcW w:w="2552" w:type="dxa"/>
            <w:shd w:val="clear" w:color="auto" w:fill="938953"/>
          </w:tcPr>
          <w:p w14:paraId="01FDB383">
            <w:pPr>
              <w:jc w:val="center"/>
              <w:rPr>
                <w:b/>
                <w:bCs/>
                <w:color w:val="FFFFFF"/>
                <w:kern w:val="2"/>
                <w:sz w:val="21"/>
                <w:szCs w:val="21"/>
              </w:rPr>
            </w:pPr>
            <w:r>
              <w:rPr>
                <w:rFonts w:hint="eastAsia"/>
                <w:b/>
                <w:bCs/>
                <w:color w:val="FFFFFF"/>
                <w:kern w:val="2"/>
                <w:sz w:val="21"/>
                <w:szCs w:val="21"/>
              </w:rPr>
              <w:t>参与人员</w:t>
            </w:r>
          </w:p>
        </w:tc>
      </w:tr>
      <w:tr w14:paraId="6729D7AD">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555" w:hRule="atLeast"/>
          <w:jc w:val="center"/>
        </w:trPr>
        <w:tc>
          <w:tcPr>
            <w:tcW w:w="1594" w:type="dxa"/>
            <w:vAlign w:val="center"/>
          </w:tcPr>
          <w:p w14:paraId="2E7C9611">
            <w:pPr>
              <w:rPr>
                <w:rFonts w:ascii="宋体" w:hAnsi="宋体"/>
                <w:kern w:val="2"/>
                <w:sz w:val="21"/>
                <w:szCs w:val="21"/>
              </w:rPr>
            </w:pPr>
            <w:r>
              <w:rPr>
                <w:rFonts w:hint="eastAsia" w:ascii="宋体" w:hAnsi="宋体"/>
                <w:kern w:val="2"/>
                <w:sz w:val="21"/>
                <w:szCs w:val="21"/>
              </w:rPr>
              <w:t>战略研讨会</w:t>
            </w:r>
          </w:p>
        </w:tc>
        <w:tc>
          <w:tcPr>
            <w:tcW w:w="3605" w:type="dxa"/>
            <w:vAlign w:val="center"/>
          </w:tcPr>
          <w:p w14:paraId="7C95C37E">
            <w:pPr>
              <w:rPr>
                <w:rFonts w:ascii="宋体" w:hAnsi="宋体" w:cs="宋体"/>
                <w:color w:val="000000"/>
                <w:kern w:val="2"/>
                <w:sz w:val="21"/>
                <w:szCs w:val="21"/>
              </w:rPr>
            </w:pPr>
            <w:r>
              <w:rPr>
                <w:rFonts w:hint="eastAsia" w:ascii="宋体" w:hAnsi="宋体"/>
                <w:kern w:val="2"/>
                <w:sz w:val="21"/>
                <w:szCs w:val="21"/>
              </w:rPr>
              <w:t>战略目标和公司级关键绩效指标</w:t>
            </w:r>
          </w:p>
        </w:tc>
        <w:tc>
          <w:tcPr>
            <w:tcW w:w="992" w:type="dxa"/>
            <w:vAlign w:val="center"/>
          </w:tcPr>
          <w:p w14:paraId="1879B741">
            <w:pPr>
              <w:jc w:val="center"/>
              <w:rPr>
                <w:rFonts w:ascii="宋体" w:hAnsi="宋体"/>
                <w:kern w:val="2"/>
                <w:sz w:val="21"/>
                <w:szCs w:val="21"/>
              </w:rPr>
            </w:pPr>
            <w:r>
              <w:rPr>
                <w:rFonts w:hint="eastAsia" w:ascii="宋体" w:hAnsi="宋体"/>
                <w:kern w:val="2"/>
                <w:sz w:val="21"/>
                <w:szCs w:val="21"/>
              </w:rPr>
              <w:t>次/年</w:t>
            </w:r>
          </w:p>
        </w:tc>
        <w:tc>
          <w:tcPr>
            <w:tcW w:w="2552" w:type="dxa"/>
            <w:vAlign w:val="center"/>
          </w:tcPr>
          <w:p w14:paraId="10780378">
            <w:pPr>
              <w:rPr>
                <w:rFonts w:ascii="宋体" w:hAnsi="宋体"/>
                <w:kern w:val="2"/>
                <w:sz w:val="21"/>
                <w:szCs w:val="21"/>
              </w:rPr>
            </w:pPr>
            <w:r>
              <w:rPr>
                <w:rFonts w:hint="eastAsia" w:ascii="宋体" w:hAnsi="宋体"/>
                <w:kern w:val="2"/>
                <w:sz w:val="21"/>
                <w:szCs w:val="21"/>
              </w:rPr>
              <w:t>核心高层、部门经理</w:t>
            </w:r>
          </w:p>
        </w:tc>
      </w:tr>
      <w:tr w14:paraId="3498F6AF">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705" w:hRule="atLeast"/>
          <w:jc w:val="center"/>
        </w:trPr>
        <w:tc>
          <w:tcPr>
            <w:tcW w:w="1594" w:type="dxa"/>
            <w:vAlign w:val="center"/>
          </w:tcPr>
          <w:p w14:paraId="4B43F3D2">
            <w:pPr>
              <w:rPr>
                <w:rFonts w:ascii="宋体" w:hAnsi="宋体"/>
                <w:kern w:val="2"/>
                <w:sz w:val="21"/>
                <w:szCs w:val="21"/>
              </w:rPr>
            </w:pPr>
            <w:r>
              <w:rPr>
                <w:rFonts w:hint="eastAsia" w:ascii="宋体" w:hAnsi="宋体"/>
                <w:kern w:val="2"/>
                <w:sz w:val="21"/>
                <w:szCs w:val="21"/>
              </w:rPr>
              <w:t>营销会议</w:t>
            </w:r>
          </w:p>
        </w:tc>
        <w:tc>
          <w:tcPr>
            <w:tcW w:w="3605" w:type="dxa"/>
            <w:vAlign w:val="center"/>
          </w:tcPr>
          <w:p w14:paraId="08ED8F51">
            <w:pPr>
              <w:rPr>
                <w:rFonts w:ascii="宋体" w:hAnsi="宋体" w:cs="宋体"/>
                <w:color w:val="000000"/>
                <w:kern w:val="2"/>
                <w:sz w:val="21"/>
                <w:szCs w:val="21"/>
              </w:rPr>
            </w:pPr>
            <w:r>
              <w:rPr>
                <w:rFonts w:hint="eastAsia" w:ascii="宋体" w:hAnsi="宋体"/>
                <w:kern w:val="2"/>
                <w:sz w:val="21"/>
                <w:szCs w:val="21"/>
              </w:rPr>
              <w:t>考核当年的销售、服务等各项指标以及下年度的目标和任务</w:t>
            </w:r>
          </w:p>
        </w:tc>
        <w:tc>
          <w:tcPr>
            <w:tcW w:w="992" w:type="dxa"/>
            <w:vAlign w:val="center"/>
          </w:tcPr>
          <w:p w14:paraId="1C9FC99B">
            <w:pPr>
              <w:jc w:val="center"/>
              <w:rPr>
                <w:rFonts w:ascii="宋体" w:hAnsi="宋体"/>
                <w:kern w:val="2"/>
                <w:sz w:val="21"/>
                <w:szCs w:val="21"/>
              </w:rPr>
            </w:pPr>
            <w:r>
              <w:rPr>
                <w:rFonts w:hint="eastAsia" w:ascii="宋体" w:hAnsi="宋体"/>
                <w:kern w:val="2"/>
                <w:sz w:val="21"/>
                <w:szCs w:val="21"/>
              </w:rPr>
              <w:t>次/年</w:t>
            </w:r>
          </w:p>
        </w:tc>
        <w:tc>
          <w:tcPr>
            <w:tcW w:w="2552" w:type="dxa"/>
            <w:vAlign w:val="center"/>
          </w:tcPr>
          <w:p w14:paraId="3905F51C">
            <w:pPr>
              <w:rPr>
                <w:rFonts w:ascii="宋体" w:hAnsi="宋体"/>
                <w:kern w:val="2"/>
                <w:sz w:val="21"/>
                <w:szCs w:val="21"/>
              </w:rPr>
            </w:pPr>
            <w:r>
              <w:rPr>
                <w:rFonts w:hint="eastAsia" w:ascii="宋体" w:hAnsi="宋体"/>
                <w:kern w:val="2"/>
                <w:sz w:val="21"/>
                <w:szCs w:val="21"/>
              </w:rPr>
              <w:t>核心高层、销售部经理、相关部门经理等</w:t>
            </w:r>
          </w:p>
        </w:tc>
      </w:tr>
      <w:tr w14:paraId="36E1BCB4">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689" w:hRule="atLeast"/>
          <w:jc w:val="center"/>
        </w:trPr>
        <w:tc>
          <w:tcPr>
            <w:tcW w:w="1594" w:type="dxa"/>
            <w:vAlign w:val="center"/>
          </w:tcPr>
          <w:p w14:paraId="6B3C644C">
            <w:pPr>
              <w:rPr>
                <w:rFonts w:ascii="宋体" w:hAnsi="宋体"/>
                <w:kern w:val="2"/>
                <w:sz w:val="21"/>
                <w:szCs w:val="21"/>
              </w:rPr>
            </w:pPr>
            <w:r>
              <w:rPr>
                <w:rFonts w:hint="eastAsia" w:ascii="宋体" w:hAnsi="宋体"/>
                <w:kern w:val="2"/>
                <w:sz w:val="21"/>
                <w:szCs w:val="21"/>
              </w:rPr>
              <w:t>预算年会</w:t>
            </w:r>
          </w:p>
        </w:tc>
        <w:tc>
          <w:tcPr>
            <w:tcW w:w="3605" w:type="dxa"/>
            <w:vAlign w:val="center"/>
          </w:tcPr>
          <w:p w14:paraId="06E0B7D1">
            <w:pPr>
              <w:rPr>
                <w:rFonts w:ascii="宋体" w:hAnsi="宋体" w:cs="宋体"/>
                <w:color w:val="000000"/>
                <w:kern w:val="2"/>
                <w:sz w:val="21"/>
                <w:szCs w:val="21"/>
              </w:rPr>
            </w:pPr>
            <w:r>
              <w:rPr>
                <w:rFonts w:hint="eastAsia" w:ascii="宋体" w:hAnsi="宋体"/>
                <w:kern w:val="2"/>
                <w:sz w:val="21"/>
                <w:szCs w:val="21"/>
              </w:rPr>
              <w:t>各部门、各分公司年度工作指标与财务预算指标的分解</w:t>
            </w:r>
          </w:p>
        </w:tc>
        <w:tc>
          <w:tcPr>
            <w:tcW w:w="992" w:type="dxa"/>
            <w:vAlign w:val="center"/>
          </w:tcPr>
          <w:p w14:paraId="75F8784E">
            <w:pPr>
              <w:jc w:val="center"/>
              <w:rPr>
                <w:rFonts w:ascii="宋体" w:hAnsi="宋体"/>
                <w:kern w:val="2"/>
                <w:sz w:val="21"/>
                <w:szCs w:val="21"/>
              </w:rPr>
            </w:pPr>
            <w:r>
              <w:rPr>
                <w:rFonts w:hint="eastAsia" w:ascii="宋体" w:hAnsi="宋体"/>
                <w:kern w:val="2"/>
                <w:sz w:val="21"/>
                <w:szCs w:val="21"/>
              </w:rPr>
              <w:t>次/年</w:t>
            </w:r>
          </w:p>
        </w:tc>
        <w:tc>
          <w:tcPr>
            <w:tcW w:w="2552" w:type="dxa"/>
            <w:vAlign w:val="center"/>
          </w:tcPr>
          <w:p w14:paraId="582C4F0E">
            <w:pPr>
              <w:rPr>
                <w:rFonts w:ascii="宋体" w:hAnsi="宋体"/>
                <w:kern w:val="2"/>
                <w:sz w:val="21"/>
                <w:szCs w:val="21"/>
              </w:rPr>
            </w:pPr>
            <w:r>
              <w:rPr>
                <w:rFonts w:hint="eastAsia" w:ascii="宋体" w:hAnsi="宋体"/>
                <w:kern w:val="2"/>
                <w:sz w:val="21"/>
                <w:szCs w:val="21"/>
              </w:rPr>
              <w:t>核心高层、各部门经理</w:t>
            </w:r>
          </w:p>
        </w:tc>
      </w:tr>
      <w:tr w14:paraId="4FA2110C">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761" w:hRule="atLeast"/>
          <w:jc w:val="center"/>
        </w:trPr>
        <w:tc>
          <w:tcPr>
            <w:tcW w:w="1594" w:type="dxa"/>
            <w:vAlign w:val="center"/>
          </w:tcPr>
          <w:p w14:paraId="0D111F75">
            <w:pPr>
              <w:rPr>
                <w:rFonts w:ascii="宋体" w:hAnsi="宋体"/>
                <w:kern w:val="2"/>
                <w:sz w:val="21"/>
                <w:szCs w:val="21"/>
              </w:rPr>
            </w:pPr>
            <w:r>
              <w:rPr>
                <w:rFonts w:hint="eastAsia" w:ascii="宋体" w:hAnsi="宋体"/>
                <w:kern w:val="2"/>
                <w:sz w:val="21"/>
                <w:szCs w:val="21"/>
              </w:rPr>
              <w:t>经理以上人员、技术专家述职评审会</w:t>
            </w:r>
          </w:p>
        </w:tc>
        <w:tc>
          <w:tcPr>
            <w:tcW w:w="3605" w:type="dxa"/>
            <w:vAlign w:val="center"/>
          </w:tcPr>
          <w:p w14:paraId="64F08BB7">
            <w:pPr>
              <w:rPr>
                <w:rFonts w:ascii="宋体" w:hAnsi="宋体" w:cs="宋体"/>
                <w:color w:val="000000"/>
                <w:kern w:val="2"/>
                <w:sz w:val="21"/>
                <w:szCs w:val="21"/>
              </w:rPr>
            </w:pPr>
            <w:r>
              <w:rPr>
                <w:rFonts w:hint="eastAsia" w:ascii="宋体" w:hAnsi="宋体"/>
                <w:kern w:val="2"/>
                <w:sz w:val="21"/>
                <w:szCs w:val="21"/>
              </w:rPr>
              <w:t>核心技术、管理创新及部门绩效</w:t>
            </w:r>
          </w:p>
        </w:tc>
        <w:tc>
          <w:tcPr>
            <w:tcW w:w="992" w:type="dxa"/>
            <w:vAlign w:val="center"/>
          </w:tcPr>
          <w:p w14:paraId="7B2CDEDE">
            <w:pPr>
              <w:jc w:val="center"/>
              <w:rPr>
                <w:rFonts w:ascii="宋体" w:hAnsi="宋体"/>
                <w:kern w:val="2"/>
                <w:sz w:val="21"/>
                <w:szCs w:val="21"/>
              </w:rPr>
            </w:pPr>
            <w:r>
              <w:rPr>
                <w:rFonts w:hint="eastAsia" w:ascii="宋体" w:hAnsi="宋体"/>
                <w:kern w:val="2"/>
                <w:sz w:val="21"/>
                <w:szCs w:val="21"/>
              </w:rPr>
              <w:t>次/半年</w:t>
            </w:r>
          </w:p>
        </w:tc>
        <w:tc>
          <w:tcPr>
            <w:tcW w:w="2552" w:type="dxa"/>
            <w:vAlign w:val="center"/>
          </w:tcPr>
          <w:p w14:paraId="036EE05D">
            <w:pPr>
              <w:rPr>
                <w:rFonts w:ascii="宋体" w:hAnsi="宋体"/>
                <w:kern w:val="2"/>
                <w:sz w:val="21"/>
                <w:szCs w:val="21"/>
              </w:rPr>
            </w:pPr>
            <w:r>
              <w:rPr>
                <w:rFonts w:hint="eastAsia" w:ascii="宋体" w:hAnsi="宋体"/>
                <w:kern w:val="2"/>
                <w:sz w:val="21"/>
                <w:szCs w:val="21"/>
              </w:rPr>
              <w:t>核心高层、经理及技术</w:t>
            </w:r>
          </w:p>
        </w:tc>
      </w:tr>
      <w:tr w14:paraId="54C844D1">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709" w:hRule="atLeast"/>
          <w:jc w:val="center"/>
        </w:trPr>
        <w:tc>
          <w:tcPr>
            <w:tcW w:w="1594" w:type="dxa"/>
            <w:vAlign w:val="center"/>
          </w:tcPr>
          <w:p w14:paraId="1774DB38">
            <w:pPr>
              <w:rPr>
                <w:rFonts w:ascii="宋体" w:hAnsi="宋体"/>
                <w:kern w:val="2"/>
                <w:sz w:val="21"/>
                <w:szCs w:val="21"/>
              </w:rPr>
            </w:pPr>
            <w:r>
              <w:rPr>
                <w:rFonts w:hint="eastAsia" w:ascii="宋体" w:hAnsi="宋体"/>
                <w:kern w:val="2"/>
                <w:sz w:val="21"/>
                <w:szCs w:val="21"/>
              </w:rPr>
              <w:t>人事行政例会</w:t>
            </w:r>
          </w:p>
        </w:tc>
        <w:tc>
          <w:tcPr>
            <w:tcW w:w="3605" w:type="dxa"/>
            <w:vAlign w:val="center"/>
          </w:tcPr>
          <w:p w14:paraId="790AAF5C">
            <w:pPr>
              <w:rPr>
                <w:rFonts w:ascii="宋体" w:hAnsi="宋体" w:cs="宋体"/>
                <w:color w:val="000000"/>
                <w:kern w:val="2"/>
                <w:sz w:val="21"/>
                <w:szCs w:val="21"/>
              </w:rPr>
            </w:pPr>
            <w:r>
              <w:rPr>
                <w:rFonts w:hint="eastAsia" w:ascii="宋体" w:hAnsi="宋体"/>
                <w:kern w:val="2"/>
                <w:sz w:val="21"/>
                <w:szCs w:val="21"/>
              </w:rPr>
              <w:t>人事行政相关绩效指标，如培训计划完成率、员工流失率、员工满意度等</w:t>
            </w:r>
          </w:p>
        </w:tc>
        <w:tc>
          <w:tcPr>
            <w:tcW w:w="992" w:type="dxa"/>
            <w:vAlign w:val="center"/>
          </w:tcPr>
          <w:p w14:paraId="29F64938">
            <w:pPr>
              <w:jc w:val="center"/>
              <w:rPr>
                <w:rFonts w:ascii="宋体" w:hAnsi="宋体"/>
                <w:kern w:val="2"/>
                <w:sz w:val="21"/>
                <w:szCs w:val="21"/>
              </w:rPr>
            </w:pPr>
            <w:r>
              <w:rPr>
                <w:rFonts w:hint="eastAsia" w:ascii="宋体" w:hAnsi="宋体"/>
                <w:kern w:val="2"/>
                <w:sz w:val="21"/>
                <w:szCs w:val="21"/>
              </w:rPr>
              <w:t>次/半年</w:t>
            </w:r>
          </w:p>
        </w:tc>
        <w:tc>
          <w:tcPr>
            <w:tcW w:w="2552" w:type="dxa"/>
            <w:vAlign w:val="center"/>
          </w:tcPr>
          <w:p w14:paraId="6863B94A">
            <w:pPr>
              <w:rPr>
                <w:rFonts w:ascii="宋体" w:hAnsi="宋体"/>
                <w:kern w:val="2"/>
                <w:sz w:val="21"/>
                <w:szCs w:val="21"/>
              </w:rPr>
            </w:pPr>
            <w:r>
              <w:rPr>
                <w:rFonts w:hint="eastAsia" w:ascii="宋体" w:hAnsi="宋体"/>
                <w:kern w:val="2"/>
                <w:sz w:val="21"/>
                <w:szCs w:val="21"/>
              </w:rPr>
              <w:t>核心高层、各部门经理</w:t>
            </w:r>
          </w:p>
        </w:tc>
      </w:tr>
      <w:tr w14:paraId="50DF3399">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564" w:hRule="atLeast"/>
          <w:jc w:val="center"/>
        </w:trPr>
        <w:tc>
          <w:tcPr>
            <w:tcW w:w="1594" w:type="dxa"/>
            <w:vAlign w:val="center"/>
          </w:tcPr>
          <w:p w14:paraId="2204E636">
            <w:pPr>
              <w:widowControl w:val="0"/>
              <w:adjustRightInd w:val="0"/>
              <w:snapToGrid w:val="0"/>
              <w:rPr>
                <w:rFonts w:ascii="宋体" w:hAnsi="宋体"/>
                <w:kern w:val="2"/>
                <w:sz w:val="21"/>
                <w:szCs w:val="21"/>
              </w:rPr>
            </w:pPr>
            <w:r>
              <w:rPr>
                <w:rFonts w:hint="eastAsia" w:ascii="宋体" w:hAnsi="宋体"/>
                <w:kern w:val="2"/>
                <w:sz w:val="21"/>
                <w:szCs w:val="21"/>
              </w:rPr>
              <w:t>市场工作会议</w:t>
            </w:r>
          </w:p>
        </w:tc>
        <w:tc>
          <w:tcPr>
            <w:tcW w:w="3605" w:type="dxa"/>
            <w:vAlign w:val="center"/>
          </w:tcPr>
          <w:p w14:paraId="310068C1">
            <w:pPr>
              <w:rPr>
                <w:rFonts w:ascii="宋体" w:hAnsi="宋体" w:cs="宋体"/>
                <w:color w:val="000000"/>
                <w:kern w:val="2"/>
                <w:sz w:val="21"/>
                <w:szCs w:val="21"/>
              </w:rPr>
            </w:pPr>
            <w:r>
              <w:rPr>
                <w:rFonts w:hint="eastAsia" w:ascii="宋体" w:hAnsi="宋体"/>
                <w:kern w:val="2"/>
                <w:sz w:val="21"/>
                <w:szCs w:val="21"/>
              </w:rPr>
              <w:t>销售、应收账款情况</w:t>
            </w:r>
          </w:p>
        </w:tc>
        <w:tc>
          <w:tcPr>
            <w:tcW w:w="992" w:type="dxa"/>
            <w:vAlign w:val="center"/>
          </w:tcPr>
          <w:p w14:paraId="77BF845C">
            <w:pPr>
              <w:jc w:val="center"/>
              <w:rPr>
                <w:rFonts w:ascii="宋体" w:hAnsi="宋体"/>
                <w:kern w:val="2"/>
                <w:sz w:val="21"/>
                <w:szCs w:val="21"/>
              </w:rPr>
            </w:pPr>
            <w:r>
              <w:rPr>
                <w:rFonts w:hint="eastAsia" w:ascii="宋体" w:hAnsi="宋体"/>
                <w:kern w:val="2"/>
                <w:sz w:val="21"/>
                <w:szCs w:val="21"/>
              </w:rPr>
              <w:t>次/季度</w:t>
            </w:r>
          </w:p>
        </w:tc>
        <w:tc>
          <w:tcPr>
            <w:tcW w:w="2552" w:type="dxa"/>
            <w:vAlign w:val="center"/>
          </w:tcPr>
          <w:p w14:paraId="0945ABDF">
            <w:pPr>
              <w:rPr>
                <w:rFonts w:ascii="宋体" w:hAnsi="宋体"/>
                <w:kern w:val="2"/>
                <w:sz w:val="21"/>
                <w:szCs w:val="21"/>
              </w:rPr>
            </w:pPr>
            <w:r>
              <w:rPr>
                <w:rFonts w:hint="eastAsia" w:ascii="宋体" w:hAnsi="宋体"/>
                <w:kern w:val="2"/>
                <w:sz w:val="21"/>
                <w:szCs w:val="21"/>
              </w:rPr>
              <w:t>核心高层、各部门经理</w:t>
            </w:r>
          </w:p>
        </w:tc>
      </w:tr>
      <w:tr w14:paraId="606B2E13">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1050" w:hRule="atLeast"/>
          <w:jc w:val="center"/>
        </w:trPr>
        <w:tc>
          <w:tcPr>
            <w:tcW w:w="1594" w:type="dxa"/>
            <w:vAlign w:val="center"/>
          </w:tcPr>
          <w:p w14:paraId="1DCB4728">
            <w:pPr>
              <w:rPr>
                <w:rFonts w:ascii="宋体" w:hAnsi="宋体"/>
                <w:kern w:val="2"/>
                <w:sz w:val="21"/>
                <w:szCs w:val="21"/>
              </w:rPr>
            </w:pPr>
            <w:r>
              <w:rPr>
                <w:rFonts w:hint="eastAsia" w:ascii="宋体" w:hAnsi="宋体"/>
                <w:kern w:val="2"/>
                <w:sz w:val="21"/>
                <w:szCs w:val="21"/>
              </w:rPr>
              <w:t>业务回顾会</w:t>
            </w:r>
          </w:p>
        </w:tc>
        <w:tc>
          <w:tcPr>
            <w:tcW w:w="3605" w:type="dxa"/>
            <w:vAlign w:val="center"/>
          </w:tcPr>
          <w:p w14:paraId="1A758374">
            <w:pPr>
              <w:widowControl w:val="0"/>
              <w:adjustRightInd w:val="0"/>
              <w:snapToGrid w:val="0"/>
              <w:rPr>
                <w:rFonts w:ascii="宋体" w:hAnsi="宋体"/>
                <w:kern w:val="2"/>
                <w:sz w:val="21"/>
                <w:szCs w:val="21"/>
              </w:rPr>
            </w:pPr>
            <w:r>
              <w:rPr>
                <w:rFonts w:hint="eastAsia" w:ascii="宋体" w:hAnsi="宋体"/>
                <w:kern w:val="2"/>
                <w:sz w:val="21"/>
                <w:szCs w:val="21"/>
              </w:rPr>
              <w:t>公司及各部门绩效指标完成情况及差异原因分析，如，销售收入、市场占有率、产量、质量、成本、利润、顾客满意度等</w:t>
            </w:r>
          </w:p>
        </w:tc>
        <w:tc>
          <w:tcPr>
            <w:tcW w:w="992" w:type="dxa"/>
            <w:vAlign w:val="center"/>
          </w:tcPr>
          <w:p w14:paraId="2940BC47">
            <w:pPr>
              <w:widowControl w:val="0"/>
              <w:adjustRightInd w:val="0"/>
              <w:snapToGrid w:val="0"/>
              <w:jc w:val="center"/>
              <w:rPr>
                <w:rFonts w:ascii="宋体" w:hAnsi="宋体"/>
                <w:kern w:val="2"/>
                <w:sz w:val="21"/>
                <w:szCs w:val="21"/>
              </w:rPr>
            </w:pPr>
            <w:r>
              <w:rPr>
                <w:rFonts w:hint="eastAsia" w:ascii="宋体" w:hAnsi="宋体"/>
                <w:kern w:val="2"/>
                <w:sz w:val="21"/>
                <w:szCs w:val="21"/>
              </w:rPr>
              <w:t>次/月</w:t>
            </w:r>
          </w:p>
        </w:tc>
        <w:tc>
          <w:tcPr>
            <w:tcW w:w="2552" w:type="dxa"/>
            <w:vAlign w:val="center"/>
          </w:tcPr>
          <w:p w14:paraId="3383C00B">
            <w:pPr>
              <w:rPr>
                <w:rFonts w:ascii="宋体" w:hAnsi="宋体"/>
                <w:kern w:val="2"/>
                <w:sz w:val="21"/>
                <w:szCs w:val="21"/>
              </w:rPr>
            </w:pPr>
            <w:r>
              <w:rPr>
                <w:rFonts w:hint="eastAsia" w:ascii="宋体" w:hAnsi="宋体"/>
                <w:kern w:val="2"/>
                <w:sz w:val="21"/>
                <w:szCs w:val="21"/>
              </w:rPr>
              <w:t>核心高层、各部门经理</w:t>
            </w:r>
          </w:p>
        </w:tc>
      </w:tr>
      <w:tr w14:paraId="1652252B">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715" w:hRule="atLeast"/>
          <w:jc w:val="center"/>
        </w:trPr>
        <w:tc>
          <w:tcPr>
            <w:tcW w:w="1594" w:type="dxa"/>
            <w:vAlign w:val="center"/>
          </w:tcPr>
          <w:p w14:paraId="0AD38511">
            <w:pPr>
              <w:rPr>
                <w:rFonts w:ascii="宋体" w:hAnsi="宋体"/>
                <w:kern w:val="2"/>
                <w:sz w:val="21"/>
                <w:szCs w:val="21"/>
              </w:rPr>
            </w:pPr>
            <w:r>
              <w:rPr>
                <w:rFonts w:hint="eastAsia" w:ascii="宋体" w:hAnsi="宋体"/>
                <w:kern w:val="2"/>
                <w:sz w:val="21"/>
                <w:szCs w:val="21"/>
              </w:rPr>
              <w:t>预算例会</w:t>
            </w:r>
          </w:p>
        </w:tc>
        <w:tc>
          <w:tcPr>
            <w:tcW w:w="3605" w:type="dxa"/>
            <w:vAlign w:val="center"/>
          </w:tcPr>
          <w:p w14:paraId="6FA4A1CF">
            <w:pPr>
              <w:rPr>
                <w:rFonts w:ascii="宋体" w:hAnsi="宋体" w:cs="宋体"/>
                <w:color w:val="000000"/>
                <w:kern w:val="2"/>
                <w:sz w:val="21"/>
                <w:szCs w:val="21"/>
              </w:rPr>
            </w:pPr>
            <w:r>
              <w:rPr>
                <w:rFonts w:hint="eastAsia" w:ascii="宋体" w:hAnsi="宋体"/>
                <w:kern w:val="2"/>
                <w:sz w:val="21"/>
                <w:szCs w:val="21"/>
              </w:rPr>
              <w:t>月度预算执行情况，销售收入、成本、费用、现金流、利润等</w:t>
            </w:r>
          </w:p>
        </w:tc>
        <w:tc>
          <w:tcPr>
            <w:tcW w:w="992" w:type="dxa"/>
            <w:vAlign w:val="center"/>
          </w:tcPr>
          <w:p w14:paraId="19E06ABA">
            <w:pPr>
              <w:widowControl w:val="0"/>
              <w:adjustRightInd w:val="0"/>
              <w:snapToGrid w:val="0"/>
              <w:jc w:val="center"/>
              <w:rPr>
                <w:rFonts w:ascii="宋体" w:hAnsi="宋体"/>
                <w:kern w:val="2"/>
                <w:sz w:val="21"/>
                <w:szCs w:val="21"/>
              </w:rPr>
            </w:pPr>
            <w:r>
              <w:rPr>
                <w:rFonts w:hint="eastAsia" w:ascii="宋体" w:hAnsi="宋体"/>
                <w:kern w:val="2"/>
                <w:sz w:val="21"/>
                <w:szCs w:val="21"/>
              </w:rPr>
              <w:t>次/月</w:t>
            </w:r>
          </w:p>
        </w:tc>
        <w:tc>
          <w:tcPr>
            <w:tcW w:w="2552" w:type="dxa"/>
            <w:vAlign w:val="center"/>
          </w:tcPr>
          <w:p w14:paraId="516B2408">
            <w:pPr>
              <w:rPr>
                <w:rFonts w:ascii="宋体" w:hAnsi="宋体"/>
                <w:kern w:val="2"/>
                <w:sz w:val="21"/>
                <w:szCs w:val="21"/>
              </w:rPr>
            </w:pPr>
            <w:r>
              <w:rPr>
                <w:rFonts w:hint="eastAsia" w:ascii="宋体" w:hAnsi="宋体"/>
                <w:kern w:val="2"/>
                <w:sz w:val="21"/>
                <w:szCs w:val="21"/>
              </w:rPr>
              <w:t>核心高层、各部门经理</w:t>
            </w:r>
          </w:p>
        </w:tc>
      </w:tr>
      <w:tr w14:paraId="47D3F54F">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697" w:hRule="atLeast"/>
          <w:jc w:val="center"/>
        </w:trPr>
        <w:tc>
          <w:tcPr>
            <w:tcW w:w="1594" w:type="dxa"/>
            <w:vAlign w:val="center"/>
          </w:tcPr>
          <w:p w14:paraId="6868A96D">
            <w:pPr>
              <w:rPr>
                <w:rFonts w:ascii="宋体" w:hAnsi="宋体"/>
                <w:kern w:val="2"/>
                <w:sz w:val="21"/>
                <w:szCs w:val="21"/>
              </w:rPr>
            </w:pPr>
            <w:r>
              <w:rPr>
                <w:rFonts w:hint="eastAsia" w:ascii="宋体" w:hAnsi="宋体"/>
                <w:kern w:val="2"/>
                <w:sz w:val="21"/>
                <w:szCs w:val="21"/>
              </w:rPr>
              <w:t>社会责任例会</w:t>
            </w:r>
          </w:p>
        </w:tc>
        <w:tc>
          <w:tcPr>
            <w:tcW w:w="3605" w:type="dxa"/>
            <w:vAlign w:val="center"/>
          </w:tcPr>
          <w:p w14:paraId="1238AD64">
            <w:pPr>
              <w:rPr>
                <w:rFonts w:ascii="宋体" w:hAnsi="宋体" w:cs="宋体"/>
                <w:color w:val="000000"/>
                <w:kern w:val="2"/>
                <w:sz w:val="21"/>
                <w:szCs w:val="21"/>
              </w:rPr>
            </w:pPr>
            <w:r>
              <w:rPr>
                <w:rFonts w:hint="eastAsia" w:ascii="宋体" w:hAnsi="宋体"/>
                <w:kern w:val="2"/>
                <w:sz w:val="21"/>
                <w:szCs w:val="21"/>
              </w:rPr>
              <w:t>安全生产、环境保护、供应商社会责任、慈善公益等方面的绩效</w:t>
            </w:r>
          </w:p>
        </w:tc>
        <w:tc>
          <w:tcPr>
            <w:tcW w:w="992" w:type="dxa"/>
            <w:vAlign w:val="center"/>
          </w:tcPr>
          <w:p w14:paraId="2360934C">
            <w:pPr>
              <w:jc w:val="center"/>
              <w:rPr>
                <w:rFonts w:ascii="宋体" w:hAnsi="宋体"/>
                <w:kern w:val="2"/>
                <w:sz w:val="21"/>
                <w:szCs w:val="21"/>
              </w:rPr>
            </w:pPr>
            <w:r>
              <w:rPr>
                <w:rFonts w:hint="eastAsia" w:ascii="宋体" w:hAnsi="宋体"/>
                <w:kern w:val="2"/>
                <w:sz w:val="21"/>
                <w:szCs w:val="21"/>
              </w:rPr>
              <w:t>有时</w:t>
            </w:r>
          </w:p>
        </w:tc>
        <w:tc>
          <w:tcPr>
            <w:tcW w:w="2552" w:type="dxa"/>
            <w:vAlign w:val="center"/>
          </w:tcPr>
          <w:p w14:paraId="4AFF8667">
            <w:pPr>
              <w:rPr>
                <w:rFonts w:ascii="宋体" w:hAnsi="宋体"/>
                <w:kern w:val="2"/>
                <w:sz w:val="21"/>
                <w:szCs w:val="21"/>
              </w:rPr>
            </w:pPr>
            <w:r>
              <w:rPr>
                <w:rFonts w:hint="eastAsia" w:ascii="宋体" w:hAnsi="宋体"/>
                <w:kern w:val="2"/>
                <w:sz w:val="21"/>
                <w:szCs w:val="21"/>
              </w:rPr>
              <w:t>核心高层、各部门经理</w:t>
            </w:r>
          </w:p>
        </w:tc>
      </w:tr>
    </w:tbl>
    <w:p w14:paraId="2976B403">
      <w:pPr>
        <w:spacing w:line="360" w:lineRule="auto"/>
        <w:ind w:firstLine="495"/>
        <w:rPr>
          <w:rFonts w:ascii="宋体" w:hAnsi="宋体"/>
          <w:szCs w:val="32"/>
        </w:rPr>
      </w:pPr>
    </w:p>
    <w:p w14:paraId="49E4A889">
      <w:pPr>
        <w:autoSpaceDE w:val="0"/>
        <w:autoSpaceDN w:val="0"/>
        <w:adjustRightInd w:val="0"/>
        <w:spacing w:line="360" w:lineRule="auto"/>
        <w:ind w:firstLine="480" w:firstLineChars="200"/>
        <w:rPr>
          <w:rFonts w:ascii="宋体" w:hAnsi="宋体"/>
          <w:szCs w:val="32"/>
        </w:rPr>
      </w:pPr>
      <w:r>
        <w:rPr>
          <w:rFonts w:hint="eastAsia" w:ascii="宋体" w:hAnsi="宋体"/>
          <w:szCs w:val="32"/>
        </w:rPr>
        <w:t>高层领导定期对公司的绩效情况进行检查考核，了解企业长、短期目标的实现情况，并与竞争者及标杆企业进行对比，找出企业的优势及不足，保证各项绩效指标不断提升。</w:t>
      </w:r>
    </w:p>
    <w:p w14:paraId="64227A9E">
      <w:pPr>
        <w:spacing w:line="360" w:lineRule="auto"/>
        <w:rPr>
          <w:rFonts w:ascii="宋体" w:hAnsi="宋体"/>
          <w:b/>
        </w:rPr>
      </w:pPr>
      <w:r>
        <w:rPr>
          <w:rFonts w:hint="eastAsia" w:ascii="宋体" w:hAnsi="宋体"/>
          <w:b/>
          <w:szCs w:val="32"/>
        </w:rPr>
        <w:t>2）运用绩效评价结果改进高层领导及领导体系的效率</w:t>
      </w:r>
    </w:p>
    <w:p w14:paraId="19C6D9FD">
      <w:pPr>
        <w:autoSpaceDE w:val="0"/>
        <w:autoSpaceDN w:val="0"/>
        <w:adjustRightInd w:val="0"/>
        <w:spacing w:line="360" w:lineRule="auto"/>
        <w:ind w:firstLine="456" w:firstLineChars="190"/>
        <w:rPr>
          <w:rFonts w:ascii="宋体" w:hAnsi="宋体"/>
          <w:szCs w:val="32"/>
        </w:rPr>
      </w:pPr>
      <w:r>
        <w:rPr>
          <w:rFonts w:hint="eastAsia" w:ascii="宋体" w:hAnsi="宋体"/>
          <w:szCs w:val="32"/>
        </w:rPr>
        <w:t>公司采用360度评价方法，对高层领导的绩效进行全方位评价，同时识别和落实改进机会、提高其有效性。公司将顾客及供方对公司的满意度评价等结果输入对公司领导层的绩效评审，从两个横向角度评价公司领导层在保障顾客及供方利益方面工作绩效。根据评价结果，由董事会负责安排和监督领导层采取应对措施，改进领导体系的有效性。</w:t>
      </w:r>
    </w:p>
    <w:p w14:paraId="7CA58989">
      <w:pPr>
        <w:snapToGrid w:val="0"/>
        <w:spacing w:after="156" w:afterLines="50"/>
        <w:jc w:val="center"/>
        <w:rPr>
          <w:rFonts w:ascii="黑体" w:hAnsi="黑体" w:eastAsia="黑体"/>
          <w:b/>
          <w:sz w:val="21"/>
          <w:szCs w:val="21"/>
        </w:rPr>
      </w:pPr>
      <w:r>
        <w:rPr>
          <w:rFonts w:hint="eastAsia" w:ascii="黑体" w:hAnsi="黑体" w:eastAsia="黑体"/>
          <w:b/>
          <w:sz w:val="21"/>
          <w:szCs w:val="21"/>
        </w:rPr>
        <w:t>图表4.1.3-2 评审发现及措施</w:t>
      </w:r>
    </w:p>
    <w:tbl>
      <w:tblPr>
        <w:tblStyle w:val="22"/>
        <w:tblW w:w="9724" w:type="dxa"/>
        <w:jc w:val="center"/>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Layout w:type="fixed"/>
        <w:tblCellMar>
          <w:top w:w="0" w:type="dxa"/>
          <w:left w:w="108" w:type="dxa"/>
          <w:bottom w:w="0" w:type="dxa"/>
          <w:right w:w="108" w:type="dxa"/>
        </w:tblCellMar>
      </w:tblPr>
      <w:tblGrid>
        <w:gridCol w:w="1116"/>
        <w:gridCol w:w="1417"/>
        <w:gridCol w:w="1134"/>
        <w:gridCol w:w="1134"/>
        <w:gridCol w:w="1379"/>
        <w:gridCol w:w="2118"/>
        <w:gridCol w:w="1426"/>
      </w:tblGrid>
      <w:tr w14:paraId="5E40FF6C">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420" w:hRule="atLeast"/>
          <w:tblHeader/>
          <w:jc w:val="center"/>
        </w:trPr>
        <w:tc>
          <w:tcPr>
            <w:tcW w:w="1116" w:type="dxa"/>
            <w:shd w:val="clear" w:color="auto" w:fill="938953"/>
            <w:vAlign w:val="center"/>
          </w:tcPr>
          <w:p w14:paraId="759A49AC">
            <w:pPr>
              <w:jc w:val="center"/>
              <w:rPr>
                <w:b/>
                <w:bCs/>
                <w:color w:val="FFFFFF"/>
                <w:kern w:val="2"/>
                <w:sz w:val="21"/>
                <w:szCs w:val="21"/>
              </w:rPr>
            </w:pPr>
            <w:r>
              <w:rPr>
                <w:rFonts w:hint="eastAsia"/>
                <w:b/>
                <w:bCs/>
                <w:color w:val="FFFFFF"/>
                <w:kern w:val="2"/>
                <w:sz w:val="21"/>
                <w:szCs w:val="21"/>
              </w:rPr>
              <w:t>评价层次</w:t>
            </w:r>
          </w:p>
        </w:tc>
        <w:tc>
          <w:tcPr>
            <w:tcW w:w="1417" w:type="dxa"/>
            <w:tcBorders>
              <w:right w:val="single" w:color="auto" w:sz="4" w:space="0"/>
            </w:tcBorders>
            <w:shd w:val="clear" w:color="auto" w:fill="938953"/>
            <w:vAlign w:val="center"/>
          </w:tcPr>
          <w:p w14:paraId="3B0943E5">
            <w:pPr>
              <w:rPr>
                <w:b/>
                <w:bCs/>
                <w:color w:val="FFFFFF"/>
                <w:kern w:val="2"/>
                <w:sz w:val="21"/>
                <w:szCs w:val="21"/>
              </w:rPr>
            </w:pPr>
            <w:r>
              <w:rPr>
                <w:rFonts w:hint="eastAsia"/>
                <w:b/>
                <w:bCs/>
                <w:color w:val="FFFFFF"/>
                <w:kern w:val="2"/>
                <w:sz w:val="21"/>
                <w:szCs w:val="21"/>
              </w:rPr>
              <w:t>评价方式</w:t>
            </w:r>
          </w:p>
        </w:tc>
        <w:tc>
          <w:tcPr>
            <w:tcW w:w="1134" w:type="dxa"/>
            <w:tcBorders>
              <w:left w:val="single" w:color="auto" w:sz="4" w:space="0"/>
              <w:right w:val="single" w:color="auto" w:sz="4" w:space="0"/>
            </w:tcBorders>
            <w:shd w:val="clear" w:color="auto" w:fill="938953"/>
            <w:vAlign w:val="center"/>
          </w:tcPr>
          <w:p w14:paraId="6D7E7E22">
            <w:pPr>
              <w:rPr>
                <w:b/>
                <w:bCs/>
                <w:color w:val="FFFFFF"/>
                <w:kern w:val="2"/>
                <w:sz w:val="21"/>
                <w:szCs w:val="21"/>
              </w:rPr>
            </w:pPr>
            <w:r>
              <w:rPr>
                <w:rFonts w:hint="eastAsia"/>
                <w:b/>
                <w:bCs/>
                <w:color w:val="FFFFFF"/>
                <w:kern w:val="2"/>
                <w:sz w:val="21"/>
                <w:szCs w:val="21"/>
              </w:rPr>
              <w:t>评价方法</w:t>
            </w:r>
          </w:p>
        </w:tc>
        <w:tc>
          <w:tcPr>
            <w:tcW w:w="1134" w:type="dxa"/>
            <w:tcBorders>
              <w:left w:val="single" w:color="auto" w:sz="4" w:space="0"/>
            </w:tcBorders>
            <w:shd w:val="clear" w:color="auto" w:fill="938953"/>
            <w:vAlign w:val="center"/>
          </w:tcPr>
          <w:p w14:paraId="28B9C54E">
            <w:pPr>
              <w:rPr>
                <w:b/>
                <w:bCs/>
                <w:color w:val="FFFFFF"/>
                <w:kern w:val="2"/>
                <w:sz w:val="21"/>
                <w:szCs w:val="21"/>
              </w:rPr>
            </w:pPr>
            <w:r>
              <w:rPr>
                <w:rFonts w:hint="eastAsia"/>
                <w:b/>
                <w:bCs/>
                <w:color w:val="FFFFFF"/>
                <w:kern w:val="2"/>
                <w:sz w:val="21"/>
                <w:szCs w:val="21"/>
              </w:rPr>
              <w:t>评价指标</w:t>
            </w:r>
          </w:p>
        </w:tc>
        <w:tc>
          <w:tcPr>
            <w:tcW w:w="1379" w:type="dxa"/>
            <w:shd w:val="clear" w:color="auto" w:fill="938953"/>
          </w:tcPr>
          <w:p w14:paraId="79D30AFD">
            <w:pPr>
              <w:rPr>
                <w:b/>
                <w:bCs/>
                <w:color w:val="FFFFFF"/>
                <w:kern w:val="2"/>
                <w:sz w:val="21"/>
                <w:szCs w:val="21"/>
              </w:rPr>
            </w:pPr>
            <w:r>
              <w:rPr>
                <w:rFonts w:hint="eastAsia"/>
                <w:b/>
                <w:bCs/>
                <w:color w:val="FFFFFF"/>
                <w:kern w:val="2"/>
                <w:sz w:val="21"/>
                <w:szCs w:val="21"/>
              </w:rPr>
              <w:t>评价结果</w:t>
            </w:r>
          </w:p>
        </w:tc>
        <w:tc>
          <w:tcPr>
            <w:tcW w:w="2118" w:type="dxa"/>
            <w:shd w:val="clear" w:color="auto" w:fill="938953"/>
            <w:vAlign w:val="center"/>
          </w:tcPr>
          <w:p w14:paraId="30597AF5">
            <w:pPr>
              <w:jc w:val="center"/>
              <w:rPr>
                <w:b/>
                <w:bCs/>
                <w:color w:val="FFFFFF"/>
                <w:kern w:val="2"/>
                <w:sz w:val="21"/>
                <w:szCs w:val="21"/>
              </w:rPr>
            </w:pPr>
            <w:r>
              <w:rPr>
                <w:rFonts w:hint="eastAsia"/>
                <w:b/>
                <w:bCs/>
                <w:color w:val="FFFFFF"/>
                <w:kern w:val="2"/>
                <w:sz w:val="21"/>
                <w:szCs w:val="21"/>
              </w:rPr>
              <w:t>识别薄弱环节</w:t>
            </w:r>
          </w:p>
        </w:tc>
        <w:tc>
          <w:tcPr>
            <w:tcW w:w="1426" w:type="dxa"/>
            <w:shd w:val="clear" w:color="auto" w:fill="938953"/>
          </w:tcPr>
          <w:p w14:paraId="73CEC3F8">
            <w:pPr>
              <w:rPr>
                <w:b/>
                <w:bCs/>
                <w:color w:val="FFFFFF"/>
                <w:kern w:val="2"/>
                <w:sz w:val="21"/>
                <w:szCs w:val="21"/>
              </w:rPr>
            </w:pPr>
            <w:r>
              <w:rPr>
                <w:rFonts w:hint="eastAsia"/>
                <w:b/>
                <w:bCs/>
                <w:color w:val="FFFFFF"/>
                <w:kern w:val="2"/>
                <w:sz w:val="21"/>
                <w:szCs w:val="21"/>
              </w:rPr>
              <w:t>改进机会</w:t>
            </w:r>
          </w:p>
        </w:tc>
      </w:tr>
      <w:tr w14:paraId="7B4A23EF">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555" w:hRule="atLeast"/>
          <w:jc w:val="center"/>
        </w:trPr>
        <w:tc>
          <w:tcPr>
            <w:tcW w:w="1116" w:type="dxa"/>
            <w:vAlign w:val="center"/>
          </w:tcPr>
          <w:p w14:paraId="7E93B5A9">
            <w:pPr>
              <w:jc w:val="center"/>
              <w:rPr>
                <w:rFonts w:ascii="宋体" w:hAnsi="宋体"/>
                <w:kern w:val="2"/>
                <w:sz w:val="21"/>
                <w:szCs w:val="21"/>
              </w:rPr>
            </w:pPr>
            <w:r>
              <w:rPr>
                <w:rFonts w:hint="eastAsia" w:ascii="宋体" w:hAnsi="宋体"/>
                <w:kern w:val="2"/>
                <w:sz w:val="21"/>
                <w:szCs w:val="21"/>
              </w:rPr>
              <w:t>董事长</w:t>
            </w:r>
          </w:p>
        </w:tc>
        <w:tc>
          <w:tcPr>
            <w:tcW w:w="1417" w:type="dxa"/>
            <w:tcBorders>
              <w:right w:val="single" w:color="auto" w:sz="4" w:space="0"/>
            </w:tcBorders>
            <w:vAlign w:val="center"/>
          </w:tcPr>
          <w:p w14:paraId="03AD1606">
            <w:pPr>
              <w:jc w:val="center"/>
              <w:rPr>
                <w:rFonts w:ascii="宋体" w:hAnsi="宋体"/>
                <w:kern w:val="2"/>
                <w:sz w:val="21"/>
                <w:szCs w:val="21"/>
              </w:rPr>
            </w:pPr>
            <w:r>
              <w:rPr>
                <w:rFonts w:hint="eastAsia" w:ascii="宋体" w:hAnsi="宋体"/>
                <w:kern w:val="2"/>
                <w:sz w:val="21"/>
                <w:szCs w:val="21"/>
              </w:rPr>
              <w:t>年终奖业绩考评</w:t>
            </w:r>
          </w:p>
        </w:tc>
        <w:tc>
          <w:tcPr>
            <w:tcW w:w="1134" w:type="dxa"/>
            <w:tcBorders>
              <w:left w:val="single" w:color="auto" w:sz="4" w:space="0"/>
              <w:right w:val="single" w:color="auto" w:sz="4" w:space="0"/>
            </w:tcBorders>
            <w:vAlign w:val="center"/>
          </w:tcPr>
          <w:p w14:paraId="2232A0F3">
            <w:pPr>
              <w:jc w:val="center"/>
              <w:rPr>
                <w:rFonts w:ascii="宋体" w:hAnsi="宋体"/>
                <w:kern w:val="2"/>
                <w:sz w:val="21"/>
                <w:szCs w:val="21"/>
              </w:rPr>
            </w:pPr>
            <w:r>
              <w:rPr>
                <w:rFonts w:hint="eastAsia" w:ascii="宋体" w:hAnsi="宋体"/>
                <w:kern w:val="2"/>
                <w:sz w:val="21"/>
                <w:szCs w:val="21"/>
              </w:rPr>
              <w:t>定量评价</w:t>
            </w:r>
          </w:p>
        </w:tc>
        <w:tc>
          <w:tcPr>
            <w:tcW w:w="1134" w:type="dxa"/>
            <w:tcBorders>
              <w:left w:val="single" w:color="auto" w:sz="4" w:space="0"/>
            </w:tcBorders>
            <w:vAlign w:val="center"/>
          </w:tcPr>
          <w:p w14:paraId="0B5549AC">
            <w:pPr>
              <w:widowControl w:val="0"/>
              <w:jc w:val="center"/>
              <w:rPr>
                <w:rFonts w:ascii="宋体" w:hAnsi="宋体"/>
                <w:kern w:val="2"/>
                <w:sz w:val="21"/>
                <w:szCs w:val="21"/>
              </w:rPr>
            </w:pPr>
            <w:r>
              <w:rPr>
                <w:rFonts w:hint="eastAsia" w:ascii="宋体" w:hAnsi="宋体"/>
                <w:kern w:val="2"/>
                <w:sz w:val="21"/>
                <w:szCs w:val="21"/>
              </w:rPr>
              <w:t>高管绩效指标</w:t>
            </w:r>
          </w:p>
        </w:tc>
        <w:tc>
          <w:tcPr>
            <w:tcW w:w="1379" w:type="dxa"/>
            <w:vAlign w:val="center"/>
          </w:tcPr>
          <w:p w14:paraId="61F7F238">
            <w:pPr>
              <w:widowControl w:val="0"/>
              <w:jc w:val="center"/>
              <w:rPr>
                <w:rFonts w:ascii="宋体" w:hAnsi="宋体"/>
                <w:kern w:val="2"/>
                <w:sz w:val="21"/>
                <w:szCs w:val="21"/>
              </w:rPr>
            </w:pPr>
            <w:r>
              <w:rPr>
                <w:rFonts w:hint="eastAsia" w:ascii="宋体" w:hAnsi="宋体"/>
                <w:kern w:val="2"/>
                <w:sz w:val="21"/>
                <w:szCs w:val="21"/>
              </w:rPr>
              <w:t>按考评结果计发年薪续聘依据</w:t>
            </w:r>
          </w:p>
        </w:tc>
        <w:tc>
          <w:tcPr>
            <w:tcW w:w="2118" w:type="dxa"/>
            <w:vAlign w:val="center"/>
          </w:tcPr>
          <w:p w14:paraId="00144B07">
            <w:pPr>
              <w:jc w:val="center"/>
              <w:rPr>
                <w:rFonts w:ascii="宋体" w:hAnsi="宋体"/>
                <w:kern w:val="2"/>
                <w:sz w:val="21"/>
                <w:szCs w:val="21"/>
              </w:rPr>
            </w:pPr>
            <w:r>
              <w:rPr>
                <w:rFonts w:hint="eastAsia" w:ascii="宋体" w:hAnsi="宋体"/>
                <w:kern w:val="2"/>
                <w:sz w:val="21"/>
                <w:szCs w:val="21"/>
              </w:rPr>
              <w:t>识别经营管理中所存在的问题</w:t>
            </w:r>
          </w:p>
        </w:tc>
        <w:tc>
          <w:tcPr>
            <w:tcW w:w="1426" w:type="dxa"/>
            <w:vAlign w:val="center"/>
          </w:tcPr>
          <w:p w14:paraId="258F089D">
            <w:pPr>
              <w:jc w:val="center"/>
              <w:rPr>
                <w:rFonts w:ascii="宋体" w:hAnsi="宋体"/>
                <w:kern w:val="2"/>
                <w:sz w:val="21"/>
                <w:szCs w:val="21"/>
              </w:rPr>
            </w:pPr>
            <w:r>
              <w:rPr>
                <w:rFonts w:hint="eastAsia" w:ascii="宋体" w:hAnsi="宋体"/>
                <w:kern w:val="2"/>
                <w:sz w:val="21"/>
                <w:szCs w:val="21"/>
              </w:rPr>
              <w:t>改进；领导效率</w:t>
            </w:r>
          </w:p>
        </w:tc>
      </w:tr>
      <w:tr w14:paraId="0872BF22">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705" w:hRule="atLeast"/>
          <w:jc w:val="center"/>
        </w:trPr>
        <w:tc>
          <w:tcPr>
            <w:tcW w:w="1116" w:type="dxa"/>
            <w:vAlign w:val="center"/>
          </w:tcPr>
          <w:p w14:paraId="66517870">
            <w:pPr>
              <w:jc w:val="center"/>
              <w:rPr>
                <w:rFonts w:ascii="宋体" w:hAnsi="宋体"/>
                <w:kern w:val="2"/>
                <w:sz w:val="21"/>
                <w:szCs w:val="21"/>
              </w:rPr>
            </w:pPr>
            <w:r>
              <w:rPr>
                <w:rFonts w:ascii="宋体" w:hAnsi="宋体"/>
                <w:kern w:val="2"/>
                <w:sz w:val="21"/>
                <w:szCs w:val="21"/>
              </w:rPr>
              <w:t>同级领导</w:t>
            </w:r>
          </w:p>
        </w:tc>
        <w:tc>
          <w:tcPr>
            <w:tcW w:w="1417" w:type="dxa"/>
            <w:tcBorders>
              <w:right w:val="single" w:color="auto" w:sz="4" w:space="0"/>
            </w:tcBorders>
            <w:vAlign w:val="center"/>
          </w:tcPr>
          <w:p w14:paraId="5E866130">
            <w:pPr>
              <w:jc w:val="center"/>
              <w:rPr>
                <w:rFonts w:ascii="宋体" w:hAnsi="宋体"/>
                <w:kern w:val="2"/>
                <w:sz w:val="21"/>
                <w:szCs w:val="21"/>
              </w:rPr>
            </w:pPr>
            <w:r>
              <w:rPr>
                <w:rFonts w:hint="eastAsia" w:ascii="宋体" w:hAnsi="宋体"/>
                <w:kern w:val="2"/>
                <w:sz w:val="21"/>
                <w:szCs w:val="21"/>
              </w:rPr>
              <w:t>同级评议定性评价</w:t>
            </w:r>
          </w:p>
        </w:tc>
        <w:tc>
          <w:tcPr>
            <w:tcW w:w="1134" w:type="dxa"/>
            <w:tcBorders>
              <w:left w:val="single" w:color="auto" w:sz="4" w:space="0"/>
              <w:right w:val="single" w:color="auto" w:sz="4" w:space="0"/>
            </w:tcBorders>
            <w:vAlign w:val="center"/>
          </w:tcPr>
          <w:p w14:paraId="644B5BFB">
            <w:pPr>
              <w:jc w:val="center"/>
              <w:rPr>
                <w:rFonts w:ascii="宋体" w:hAnsi="宋体"/>
                <w:kern w:val="2"/>
                <w:sz w:val="21"/>
                <w:szCs w:val="21"/>
              </w:rPr>
            </w:pPr>
            <w:r>
              <w:rPr>
                <w:rFonts w:hint="eastAsia" w:ascii="宋体" w:hAnsi="宋体"/>
                <w:kern w:val="2"/>
                <w:sz w:val="21"/>
                <w:szCs w:val="21"/>
              </w:rPr>
              <w:t>定性评价</w:t>
            </w:r>
          </w:p>
        </w:tc>
        <w:tc>
          <w:tcPr>
            <w:tcW w:w="1134" w:type="dxa"/>
            <w:tcBorders>
              <w:left w:val="single" w:color="auto" w:sz="4" w:space="0"/>
            </w:tcBorders>
            <w:vAlign w:val="center"/>
          </w:tcPr>
          <w:p w14:paraId="3A149B74">
            <w:pPr>
              <w:widowControl w:val="0"/>
              <w:jc w:val="center"/>
              <w:rPr>
                <w:rFonts w:ascii="宋体" w:hAnsi="宋体"/>
                <w:kern w:val="2"/>
                <w:sz w:val="21"/>
                <w:szCs w:val="21"/>
              </w:rPr>
            </w:pPr>
            <w:r>
              <w:rPr>
                <w:rFonts w:hint="eastAsia" w:ascii="宋体" w:hAnsi="宋体"/>
                <w:kern w:val="2"/>
                <w:sz w:val="21"/>
                <w:szCs w:val="21"/>
              </w:rPr>
              <w:t>团队精神</w:t>
            </w:r>
          </w:p>
        </w:tc>
        <w:tc>
          <w:tcPr>
            <w:tcW w:w="1379" w:type="dxa"/>
            <w:vAlign w:val="center"/>
          </w:tcPr>
          <w:p w14:paraId="439C80DD">
            <w:pPr>
              <w:widowControl w:val="0"/>
              <w:jc w:val="center"/>
              <w:rPr>
                <w:rFonts w:ascii="宋体" w:hAnsi="宋体"/>
                <w:kern w:val="2"/>
                <w:sz w:val="21"/>
                <w:szCs w:val="21"/>
              </w:rPr>
            </w:pPr>
            <w:r>
              <w:rPr>
                <w:rFonts w:hint="eastAsia" w:ascii="宋体" w:hAnsi="宋体"/>
                <w:kern w:val="2"/>
                <w:sz w:val="21"/>
                <w:szCs w:val="21"/>
              </w:rPr>
              <w:t>优秀、称职、不称职</w:t>
            </w:r>
          </w:p>
        </w:tc>
        <w:tc>
          <w:tcPr>
            <w:tcW w:w="2118" w:type="dxa"/>
            <w:vAlign w:val="center"/>
          </w:tcPr>
          <w:p w14:paraId="66088250">
            <w:pPr>
              <w:jc w:val="center"/>
              <w:rPr>
                <w:rFonts w:ascii="宋体" w:hAnsi="宋体"/>
                <w:kern w:val="2"/>
                <w:sz w:val="21"/>
                <w:szCs w:val="21"/>
              </w:rPr>
            </w:pPr>
            <w:r>
              <w:rPr>
                <w:rFonts w:hint="eastAsia" w:ascii="宋体" w:hAnsi="宋体"/>
                <w:kern w:val="2"/>
                <w:sz w:val="21"/>
                <w:szCs w:val="21"/>
              </w:rPr>
              <w:t>沟通、相互协作方面存在的问题</w:t>
            </w:r>
          </w:p>
        </w:tc>
        <w:tc>
          <w:tcPr>
            <w:tcW w:w="1426" w:type="dxa"/>
            <w:vAlign w:val="center"/>
          </w:tcPr>
          <w:p w14:paraId="6F7C23B5">
            <w:pPr>
              <w:jc w:val="center"/>
              <w:rPr>
                <w:rFonts w:ascii="宋体" w:hAnsi="宋体"/>
                <w:kern w:val="2"/>
                <w:sz w:val="21"/>
                <w:szCs w:val="21"/>
              </w:rPr>
            </w:pPr>
            <w:r>
              <w:rPr>
                <w:rFonts w:hint="eastAsia" w:ascii="宋体" w:hAnsi="宋体"/>
                <w:kern w:val="2"/>
                <w:sz w:val="21"/>
                <w:szCs w:val="21"/>
              </w:rPr>
              <w:t>提高效率</w:t>
            </w:r>
          </w:p>
        </w:tc>
      </w:tr>
      <w:tr w14:paraId="181D9CF6">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689" w:hRule="atLeast"/>
          <w:jc w:val="center"/>
        </w:trPr>
        <w:tc>
          <w:tcPr>
            <w:tcW w:w="1116" w:type="dxa"/>
            <w:vAlign w:val="center"/>
          </w:tcPr>
          <w:p w14:paraId="351B2FE1">
            <w:pPr>
              <w:jc w:val="center"/>
              <w:rPr>
                <w:rFonts w:ascii="宋体" w:hAnsi="宋体"/>
                <w:kern w:val="2"/>
                <w:sz w:val="21"/>
                <w:szCs w:val="21"/>
              </w:rPr>
            </w:pPr>
            <w:r>
              <w:rPr>
                <w:rFonts w:ascii="宋体" w:hAnsi="宋体"/>
                <w:kern w:val="2"/>
                <w:sz w:val="21"/>
                <w:szCs w:val="21"/>
              </w:rPr>
              <w:t>员工</w:t>
            </w:r>
          </w:p>
        </w:tc>
        <w:tc>
          <w:tcPr>
            <w:tcW w:w="1417" w:type="dxa"/>
            <w:tcBorders>
              <w:right w:val="single" w:color="auto" w:sz="4" w:space="0"/>
            </w:tcBorders>
            <w:vAlign w:val="center"/>
          </w:tcPr>
          <w:p w14:paraId="6F088AE0">
            <w:pPr>
              <w:jc w:val="center"/>
              <w:rPr>
                <w:rFonts w:ascii="宋体" w:hAnsi="宋体"/>
                <w:kern w:val="2"/>
                <w:sz w:val="21"/>
                <w:szCs w:val="21"/>
              </w:rPr>
            </w:pPr>
            <w:r>
              <w:rPr>
                <w:rFonts w:hint="eastAsia" w:ascii="宋体" w:hAnsi="宋体"/>
                <w:kern w:val="2"/>
                <w:sz w:val="21"/>
                <w:szCs w:val="21"/>
              </w:rPr>
              <w:t>民主评议</w:t>
            </w:r>
          </w:p>
        </w:tc>
        <w:tc>
          <w:tcPr>
            <w:tcW w:w="1134" w:type="dxa"/>
            <w:tcBorders>
              <w:left w:val="single" w:color="auto" w:sz="4" w:space="0"/>
              <w:right w:val="single" w:color="auto" w:sz="4" w:space="0"/>
            </w:tcBorders>
            <w:vAlign w:val="center"/>
          </w:tcPr>
          <w:p w14:paraId="35C49FCC">
            <w:pPr>
              <w:widowControl w:val="0"/>
              <w:jc w:val="center"/>
              <w:rPr>
                <w:rFonts w:ascii="宋体" w:hAnsi="宋体"/>
                <w:kern w:val="2"/>
                <w:sz w:val="21"/>
                <w:szCs w:val="21"/>
              </w:rPr>
            </w:pPr>
            <w:r>
              <w:rPr>
                <w:rFonts w:hint="eastAsia" w:ascii="宋体" w:hAnsi="宋体"/>
                <w:kern w:val="2"/>
                <w:sz w:val="21"/>
                <w:szCs w:val="21"/>
              </w:rPr>
              <w:t>定性评价</w:t>
            </w:r>
          </w:p>
        </w:tc>
        <w:tc>
          <w:tcPr>
            <w:tcW w:w="1134" w:type="dxa"/>
            <w:tcBorders>
              <w:left w:val="single" w:color="auto" w:sz="4" w:space="0"/>
            </w:tcBorders>
            <w:vAlign w:val="center"/>
          </w:tcPr>
          <w:p w14:paraId="533328A7">
            <w:pPr>
              <w:widowControl w:val="0"/>
              <w:jc w:val="center"/>
              <w:rPr>
                <w:rFonts w:ascii="宋体" w:hAnsi="宋体"/>
                <w:kern w:val="2"/>
                <w:sz w:val="21"/>
                <w:szCs w:val="21"/>
              </w:rPr>
            </w:pPr>
            <w:r>
              <w:rPr>
                <w:rFonts w:hint="eastAsia" w:ascii="宋体" w:hAnsi="宋体"/>
                <w:kern w:val="2"/>
                <w:sz w:val="21"/>
                <w:szCs w:val="21"/>
              </w:rPr>
              <w:t>述职报告、德、能、勤、绩</w:t>
            </w:r>
          </w:p>
        </w:tc>
        <w:tc>
          <w:tcPr>
            <w:tcW w:w="1379" w:type="dxa"/>
            <w:vAlign w:val="center"/>
          </w:tcPr>
          <w:p w14:paraId="6CAB7CCF">
            <w:pPr>
              <w:widowControl w:val="0"/>
              <w:jc w:val="center"/>
              <w:rPr>
                <w:rFonts w:ascii="宋体" w:hAnsi="宋体"/>
                <w:kern w:val="2"/>
                <w:sz w:val="21"/>
                <w:szCs w:val="21"/>
              </w:rPr>
            </w:pPr>
            <w:r>
              <w:rPr>
                <w:rFonts w:hint="eastAsia" w:ascii="宋体" w:hAnsi="宋体"/>
                <w:kern w:val="2"/>
                <w:sz w:val="21"/>
                <w:szCs w:val="21"/>
              </w:rPr>
              <w:t>优秀、称职、不称职</w:t>
            </w:r>
          </w:p>
        </w:tc>
        <w:tc>
          <w:tcPr>
            <w:tcW w:w="2118" w:type="dxa"/>
            <w:vAlign w:val="center"/>
          </w:tcPr>
          <w:p w14:paraId="09E011DB">
            <w:pPr>
              <w:jc w:val="center"/>
              <w:rPr>
                <w:rFonts w:ascii="宋体" w:hAnsi="宋体"/>
                <w:kern w:val="2"/>
                <w:sz w:val="21"/>
                <w:szCs w:val="21"/>
              </w:rPr>
            </w:pPr>
            <w:r>
              <w:rPr>
                <w:rFonts w:hint="eastAsia" w:ascii="宋体" w:hAnsi="宋体"/>
                <w:kern w:val="2"/>
                <w:sz w:val="21"/>
                <w:szCs w:val="21"/>
              </w:rPr>
              <w:t>分管业务存在的问题</w:t>
            </w:r>
          </w:p>
        </w:tc>
        <w:tc>
          <w:tcPr>
            <w:tcW w:w="1426" w:type="dxa"/>
            <w:vAlign w:val="center"/>
          </w:tcPr>
          <w:p w14:paraId="7419AD63">
            <w:pPr>
              <w:jc w:val="center"/>
              <w:rPr>
                <w:rFonts w:ascii="宋体" w:hAnsi="宋体"/>
                <w:kern w:val="2"/>
                <w:sz w:val="21"/>
                <w:szCs w:val="21"/>
              </w:rPr>
            </w:pPr>
            <w:r>
              <w:rPr>
                <w:rFonts w:hint="eastAsia" w:ascii="宋体" w:hAnsi="宋体"/>
                <w:kern w:val="2"/>
                <w:sz w:val="21"/>
                <w:szCs w:val="21"/>
              </w:rPr>
              <w:t>改进意见</w:t>
            </w:r>
          </w:p>
        </w:tc>
      </w:tr>
      <w:tr w14:paraId="0D8D7F7D">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697" w:hRule="atLeast"/>
          <w:jc w:val="center"/>
        </w:trPr>
        <w:tc>
          <w:tcPr>
            <w:tcW w:w="1116" w:type="dxa"/>
            <w:vAlign w:val="center"/>
          </w:tcPr>
          <w:p w14:paraId="431B55B8">
            <w:pPr>
              <w:jc w:val="center"/>
              <w:rPr>
                <w:rFonts w:ascii="宋体" w:hAnsi="宋体"/>
                <w:kern w:val="2"/>
                <w:sz w:val="21"/>
                <w:szCs w:val="21"/>
              </w:rPr>
            </w:pPr>
            <w:r>
              <w:rPr>
                <w:rFonts w:ascii="宋体" w:hAnsi="宋体"/>
                <w:kern w:val="2"/>
                <w:sz w:val="21"/>
                <w:szCs w:val="21"/>
              </w:rPr>
              <w:t>顾客</w:t>
            </w:r>
          </w:p>
        </w:tc>
        <w:tc>
          <w:tcPr>
            <w:tcW w:w="1417" w:type="dxa"/>
            <w:tcBorders>
              <w:right w:val="single" w:color="auto" w:sz="4" w:space="0"/>
            </w:tcBorders>
            <w:vAlign w:val="center"/>
          </w:tcPr>
          <w:p w14:paraId="0AB45135">
            <w:pPr>
              <w:jc w:val="center"/>
              <w:rPr>
                <w:rFonts w:ascii="宋体" w:hAnsi="宋体"/>
                <w:kern w:val="2"/>
                <w:sz w:val="21"/>
                <w:szCs w:val="21"/>
              </w:rPr>
            </w:pPr>
            <w:r>
              <w:rPr>
                <w:rFonts w:hint="eastAsia" w:ascii="宋体" w:hAnsi="宋体"/>
                <w:kern w:val="2"/>
                <w:sz w:val="21"/>
                <w:szCs w:val="21"/>
              </w:rPr>
              <w:t>满意度评价</w:t>
            </w:r>
          </w:p>
        </w:tc>
        <w:tc>
          <w:tcPr>
            <w:tcW w:w="1134" w:type="dxa"/>
            <w:tcBorders>
              <w:left w:val="single" w:color="auto" w:sz="4" w:space="0"/>
              <w:right w:val="single" w:color="auto" w:sz="4" w:space="0"/>
            </w:tcBorders>
            <w:vAlign w:val="center"/>
          </w:tcPr>
          <w:p w14:paraId="429C1E2B">
            <w:pPr>
              <w:widowControl w:val="0"/>
              <w:jc w:val="center"/>
              <w:rPr>
                <w:rFonts w:ascii="宋体" w:hAnsi="宋体"/>
                <w:kern w:val="2"/>
                <w:sz w:val="21"/>
                <w:szCs w:val="21"/>
              </w:rPr>
            </w:pPr>
            <w:r>
              <w:rPr>
                <w:rFonts w:hint="eastAsia" w:ascii="宋体" w:hAnsi="宋体"/>
                <w:kern w:val="2"/>
                <w:sz w:val="21"/>
                <w:szCs w:val="21"/>
              </w:rPr>
              <w:t>趋势对比</w:t>
            </w:r>
          </w:p>
        </w:tc>
        <w:tc>
          <w:tcPr>
            <w:tcW w:w="1134" w:type="dxa"/>
            <w:tcBorders>
              <w:left w:val="single" w:color="auto" w:sz="4" w:space="0"/>
            </w:tcBorders>
            <w:vAlign w:val="center"/>
          </w:tcPr>
          <w:p w14:paraId="7A3E2F22">
            <w:pPr>
              <w:widowControl w:val="0"/>
              <w:jc w:val="center"/>
              <w:rPr>
                <w:rFonts w:ascii="宋体" w:hAnsi="宋体"/>
                <w:kern w:val="2"/>
                <w:sz w:val="21"/>
                <w:szCs w:val="21"/>
              </w:rPr>
            </w:pPr>
            <w:r>
              <w:rPr>
                <w:rFonts w:hint="eastAsia" w:ascii="宋体" w:hAnsi="宋体"/>
                <w:kern w:val="2"/>
                <w:sz w:val="21"/>
                <w:szCs w:val="21"/>
              </w:rPr>
              <w:t>顾客满意度指标</w:t>
            </w:r>
          </w:p>
        </w:tc>
        <w:tc>
          <w:tcPr>
            <w:tcW w:w="1379" w:type="dxa"/>
            <w:vAlign w:val="center"/>
          </w:tcPr>
          <w:p w14:paraId="3EA3318C">
            <w:pPr>
              <w:jc w:val="center"/>
              <w:rPr>
                <w:rFonts w:ascii="宋体" w:hAnsi="宋体"/>
                <w:kern w:val="2"/>
                <w:sz w:val="21"/>
                <w:szCs w:val="21"/>
              </w:rPr>
            </w:pPr>
            <w:r>
              <w:rPr>
                <w:rFonts w:hint="eastAsia" w:ascii="宋体" w:hAnsi="宋体"/>
                <w:kern w:val="2"/>
                <w:sz w:val="21"/>
                <w:szCs w:val="21"/>
              </w:rPr>
              <w:t>调查报告</w:t>
            </w:r>
          </w:p>
        </w:tc>
        <w:tc>
          <w:tcPr>
            <w:tcW w:w="2118" w:type="dxa"/>
            <w:vAlign w:val="center"/>
          </w:tcPr>
          <w:p w14:paraId="15B0ADFD">
            <w:pPr>
              <w:jc w:val="center"/>
              <w:rPr>
                <w:rFonts w:ascii="宋体" w:hAnsi="宋体"/>
                <w:kern w:val="2"/>
                <w:sz w:val="21"/>
                <w:szCs w:val="21"/>
              </w:rPr>
            </w:pPr>
            <w:r>
              <w:rPr>
                <w:rFonts w:hint="eastAsia" w:ascii="宋体" w:hAnsi="宋体"/>
                <w:kern w:val="2"/>
                <w:sz w:val="21"/>
                <w:szCs w:val="21"/>
              </w:rPr>
              <w:t>公司业务存在的问题</w:t>
            </w:r>
          </w:p>
        </w:tc>
        <w:tc>
          <w:tcPr>
            <w:tcW w:w="1426" w:type="dxa"/>
            <w:vAlign w:val="center"/>
          </w:tcPr>
          <w:p w14:paraId="360F8C7E">
            <w:pPr>
              <w:jc w:val="center"/>
              <w:rPr>
                <w:rFonts w:ascii="宋体" w:hAnsi="宋体"/>
                <w:kern w:val="2"/>
                <w:sz w:val="21"/>
                <w:szCs w:val="21"/>
              </w:rPr>
            </w:pPr>
            <w:r>
              <w:rPr>
                <w:rFonts w:hint="eastAsia" w:ascii="宋体" w:hAnsi="宋体"/>
                <w:kern w:val="2"/>
                <w:sz w:val="21"/>
                <w:szCs w:val="21"/>
              </w:rPr>
              <w:t>建议反馈</w:t>
            </w:r>
          </w:p>
        </w:tc>
      </w:tr>
    </w:tbl>
    <w:p w14:paraId="08609D5B">
      <w:pPr>
        <w:pStyle w:val="4"/>
      </w:pPr>
      <w:bookmarkStart w:id="14" w:name="_Toc99720417"/>
      <w:r>
        <w:t>4.1.</w:t>
      </w:r>
      <w:r>
        <w:rPr>
          <w:rFonts w:hint="eastAsia"/>
        </w:rPr>
        <w:t>4社会责任</w:t>
      </w:r>
      <w:bookmarkEnd w:id="11"/>
      <w:bookmarkEnd w:id="12"/>
      <w:bookmarkEnd w:id="13"/>
      <w:bookmarkEnd w:id="14"/>
    </w:p>
    <w:p w14:paraId="7D814F59">
      <w:pPr>
        <w:pStyle w:val="5"/>
      </w:pPr>
      <w:r>
        <w:rPr>
          <w:rFonts w:hint="eastAsia"/>
        </w:rPr>
        <w:t>4.1.4.1提要</w:t>
      </w:r>
    </w:p>
    <w:p w14:paraId="64CDF860">
      <w:pPr>
        <w:autoSpaceDE w:val="0"/>
        <w:autoSpaceDN w:val="0"/>
        <w:adjustRightInd w:val="0"/>
        <w:spacing w:line="360" w:lineRule="auto"/>
        <w:ind w:firstLine="456" w:firstLineChars="190"/>
        <w:rPr>
          <w:rFonts w:ascii="宋体" w:hAnsi="宋体"/>
          <w:szCs w:val="32"/>
        </w:rPr>
      </w:pPr>
      <w:r>
        <w:rPr>
          <w:rFonts w:hint="eastAsia" w:ascii="宋体" w:hAnsi="宋体"/>
          <w:szCs w:val="32"/>
        </w:rPr>
        <w:t>公司在追求经济效益、保护股东利益的同时，积极保护职工的合法权益，诚信对待供方、客户，积极从事环境保护、社区建设等公益事业。在经营活动中，遵循自愿、公平、等价有偿、诚信信用的原则，遵守社会公德、商业道德，接受政府和社会公众的监督，处处体现亘古“回报员工、奉献社会”的理念。</w:t>
      </w:r>
    </w:p>
    <w:p w14:paraId="4CBE5C35">
      <w:pPr>
        <w:pStyle w:val="5"/>
      </w:pPr>
      <w:r>
        <w:rPr>
          <w:rFonts w:hint="eastAsia"/>
        </w:rPr>
        <w:t>4.1.4.2公共责任</w:t>
      </w:r>
    </w:p>
    <w:p w14:paraId="3DE43538">
      <w:pPr>
        <w:autoSpaceDE w:val="0"/>
        <w:autoSpaceDN w:val="0"/>
        <w:adjustRightInd w:val="0"/>
        <w:spacing w:line="360" w:lineRule="auto"/>
        <w:ind w:firstLine="456" w:firstLineChars="190"/>
        <w:rPr>
          <w:rFonts w:ascii="宋体" w:hAnsi="宋体"/>
          <w:szCs w:val="32"/>
        </w:rPr>
      </w:pPr>
      <w:r>
        <w:rPr>
          <w:rFonts w:hint="eastAsia" w:ascii="宋体" w:hAnsi="宋体"/>
          <w:szCs w:val="32"/>
        </w:rPr>
        <w:t>公司谋求企业与环境的和谐发展，在取得合理利润与经济效益之下，积极投入先进设备和技术。通过对公司在企业运营中可能给社会造成的危害影响进行风险识别，并严格遵守各种相关的法律和法规，采取各种有效的治理措施，使之达到法律法规要求，维护社会公共利益。</w:t>
      </w:r>
    </w:p>
    <w:p w14:paraId="76DA889F">
      <w:pPr>
        <w:spacing w:line="360" w:lineRule="auto"/>
        <w:ind w:firstLine="480" w:firstLineChars="200"/>
        <w:rPr>
          <w:szCs w:val="32"/>
        </w:rPr>
      </w:pPr>
      <w:r>
        <w:rPr>
          <w:rFonts w:hint="eastAsia"/>
          <w:szCs w:val="32"/>
        </w:rPr>
        <w:t>公司针对各个环节对社会带来的潜在影响，建立完善了工艺纪律、工艺规程、安全生产管理、产品质量、环境预防治理、员工职业健康安全等系列制度和系统的作业指导书以及相关考核标准，对工艺纪律、生产过程、安全生产、环境污染、节能降耗、食品安全等定期进行对生产各环节的监督检查和考核，及时发现、及时解决处理生产过程中存在的问题。公司贯彻预防为主的原则，针对防火防爆、污水外溢、防汛管理等突发事故制定了应急预案，每年定期组织有效演练，做到制度到位、人员到位、组织到位。</w:t>
      </w:r>
    </w:p>
    <w:p w14:paraId="38B82F74">
      <w:pPr>
        <w:spacing w:line="360" w:lineRule="auto"/>
        <w:ind w:firstLine="480" w:firstLineChars="200"/>
        <w:rPr>
          <w:rFonts w:ascii="黑体" w:hAnsi="黑体" w:eastAsia="黑体"/>
          <w:b/>
          <w:szCs w:val="32"/>
        </w:rPr>
      </w:pPr>
      <w:r>
        <w:rPr>
          <w:rFonts w:hint="eastAsia"/>
          <w:szCs w:val="32"/>
        </w:rPr>
        <w:t>公司通过对顾客及相关方的市场调研，数据分析，政府访谈及顾客满意度调查等深入研究得出目前公众关注的主要是环保、节能、节水、节电、节地。其中环保越来越受到公众的关注点。采取的主要措施是大力推行绿色生产。公众隐忧、产生原因及措施见表4.1.4-1。</w:t>
      </w:r>
    </w:p>
    <w:p w14:paraId="0D013A01">
      <w:pPr>
        <w:spacing w:after="156" w:afterLines="50"/>
        <w:jc w:val="center"/>
        <w:rPr>
          <w:rFonts w:ascii="黑体" w:hAnsi="黑体" w:eastAsia="黑体"/>
          <w:b/>
          <w:sz w:val="21"/>
          <w:szCs w:val="21"/>
        </w:rPr>
      </w:pPr>
      <w:r>
        <w:rPr>
          <w:rFonts w:hint="eastAsia" w:ascii="黑体" w:hAnsi="黑体" w:eastAsia="黑体" w:cs="宋体"/>
          <w:b/>
          <w:sz w:val="21"/>
          <w:szCs w:val="21"/>
        </w:rPr>
        <w:t>表4.1.4-1  公众隐忧产生原因及措施</w:t>
      </w:r>
    </w:p>
    <w:tbl>
      <w:tblPr>
        <w:tblStyle w:val="22"/>
        <w:tblW w:w="9287" w:type="dxa"/>
        <w:jc w:val="center"/>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Layout w:type="fixed"/>
        <w:tblCellMar>
          <w:top w:w="0" w:type="dxa"/>
          <w:left w:w="108" w:type="dxa"/>
          <w:bottom w:w="0" w:type="dxa"/>
          <w:right w:w="108" w:type="dxa"/>
        </w:tblCellMar>
      </w:tblPr>
      <w:tblGrid>
        <w:gridCol w:w="1694"/>
        <w:gridCol w:w="2446"/>
        <w:gridCol w:w="5147"/>
      </w:tblGrid>
      <w:tr w14:paraId="6A214E4C">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cantSplit/>
          <w:trHeight w:val="351" w:hRule="atLeast"/>
          <w:tblHeader/>
          <w:jc w:val="center"/>
        </w:trPr>
        <w:tc>
          <w:tcPr>
            <w:tcW w:w="1694" w:type="dxa"/>
            <w:tcBorders>
              <w:top w:val="threeDEngrave" w:color="4F6228" w:sz="12" w:space="0"/>
              <w:bottom w:val="single" w:color="4F6228" w:sz="6" w:space="0"/>
            </w:tcBorders>
            <w:shd w:val="clear" w:color="auto" w:fill="948A54"/>
            <w:vAlign w:val="center"/>
          </w:tcPr>
          <w:p w14:paraId="031AE912">
            <w:pPr>
              <w:jc w:val="center"/>
              <w:rPr>
                <w:rFonts w:ascii="宋体" w:hAnsi="宋体"/>
                <w:b/>
                <w:kern w:val="2"/>
                <w:sz w:val="21"/>
                <w:szCs w:val="21"/>
              </w:rPr>
            </w:pPr>
            <w:r>
              <w:rPr>
                <w:rFonts w:hint="eastAsia" w:ascii="宋体" w:hAnsi="宋体"/>
                <w:b/>
                <w:kern w:val="2"/>
                <w:sz w:val="21"/>
                <w:szCs w:val="21"/>
              </w:rPr>
              <w:t>公众隐忧原因</w:t>
            </w:r>
          </w:p>
        </w:tc>
        <w:tc>
          <w:tcPr>
            <w:tcW w:w="2446" w:type="dxa"/>
            <w:tcBorders>
              <w:top w:val="threeDEngrave" w:color="4F6228" w:sz="12" w:space="0"/>
              <w:bottom w:val="single" w:color="4F6228" w:sz="6" w:space="0"/>
            </w:tcBorders>
            <w:shd w:val="clear" w:color="auto" w:fill="948A54"/>
            <w:vAlign w:val="center"/>
          </w:tcPr>
          <w:p w14:paraId="3A6C0D90">
            <w:pPr>
              <w:keepNext/>
              <w:keepLines/>
              <w:jc w:val="center"/>
              <w:rPr>
                <w:rFonts w:ascii="宋体" w:hAnsi="宋体"/>
                <w:b/>
                <w:bCs/>
                <w:kern w:val="2"/>
                <w:sz w:val="21"/>
                <w:szCs w:val="21"/>
              </w:rPr>
            </w:pPr>
            <w:r>
              <w:rPr>
                <w:rFonts w:hint="eastAsia" w:ascii="宋体" w:hAnsi="宋体"/>
                <w:b/>
                <w:bCs/>
                <w:kern w:val="2"/>
                <w:sz w:val="21"/>
                <w:szCs w:val="21"/>
              </w:rPr>
              <w:t>产生原因</w:t>
            </w:r>
          </w:p>
        </w:tc>
        <w:tc>
          <w:tcPr>
            <w:tcW w:w="5147" w:type="dxa"/>
            <w:tcBorders>
              <w:top w:val="threeDEngrave" w:color="4F6228" w:sz="12" w:space="0"/>
              <w:bottom w:val="single" w:color="4F6228" w:sz="6" w:space="0"/>
            </w:tcBorders>
            <w:shd w:val="clear" w:color="auto" w:fill="948A54"/>
            <w:vAlign w:val="center"/>
          </w:tcPr>
          <w:p w14:paraId="5E5125BB">
            <w:pPr>
              <w:keepNext/>
              <w:keepLines/>
              <w:ind w:firstLine="1265" w:firstLineChars="600"/>
              <w:rPr>
                <w:rFonts w:ascii="宋体" w:hAnsi="宋体"/>
                <w:b/>
                <w:bCs/>
                <w:kern w:val="2"/>
                <w:sz w:val="21"/>
                <w:szCs w:val="21"/>
              </w:rPr>
            </w:pPr>
            <w:r>
              <w:rPr>
                <w:rFonts w:hint="eastAsia" w:ascii="宋体" w:hAnsi="宋体"/>
                <w:b/>
                <w:bCs/>
                <w:kern w:val="2"/>
                <w:sz w:val="21"/>
                <w:szCs w:val="21"/>
              </w:rPr>
              <w:t>应对措施</w:t>
            </w:r>
          </w:p>
        </w:tc>
      </w:tr>
      <w:tr w14:paraId="42939D30">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787" w:hRule="atLeast"/>
          <w:jc w:val="center"/>
        </w:trPr>
        <w:tc>
          <w:tcPr>
            <w:tcW w:w="1694" w:type="dxa"/>
            <w:tcBorders>
              <w:top w:val="single" w:color="4F6228" w:sz="6" w:space="0"/>
            </w:tcBorders>
            <w:vAlign w:val="center"/>
          </w:tcPr>
          <w:p w14:paraId="1AC5B1DF">
            <w:pPr>
              <w:jc w:val="center"/>
              <w:rPr>
                <w:rFonts w:ascii="宋体" w:hAnsi="宋体"/>
                <w:b/>
                <w:kern w:val="2"/>
              </w:rPr>
            </w:pPr>
            <w:r>
              <w:rPr>
                <w:rFonts w:hint="eastAsia" w:ascii="宋体" w:hAnsi="宋体"/>
                <w:b/>
                <w:kern w:val="2"/>
              </w:rPr>
              <w:t>环境污染</w:t>
            </w:r>
          </w:p>
        </w:tc>
        <w:tc>
          <w:tcPr>
            <w:tcW w:w="2446" w:type="dxa"/>
            <w:tcBorders>
              <w:top w:val="single" w:color="4F6228" w:sz="6" w:space="0"/>
            </w:tcBorders>
            <w:vAlign w:val="center"/>
          </w:tcPr>
          <w:p w14:paraId="2D457FF2">
            <w:pPr>
              <w:keepNext/>
              <w:keepLines/>
              <w:jc w:val="center"/>
              <w:rPr>
                <w:rFonts w:ascii="宋体" w:hAnsi="宋体"/>
                <w:bCs/>
                <w:kern w:val="2"/>
              </w:rPr>
            </w:pPr>
            <w:r>
              <w:rPr>
                <w:rFonts w:hint="eastAsia" w:ascii="宋体" w:hAnsi="宋体"/>
                <w:bCs/>
                <w:kern w:val="2"/>
              </w:rPr>
              <w:t>噪声、粉尘、固体废弃物、水污染、光污染</w:t>
            </w:r>
          </w:p>
        </w:tc>
        <w:tc>
          <w:tcPr>
            <w:tcW w:w="5147" w:type="dxa"/>
            <w:tcBorders>
              <w:top w:val="single" w:color="4F6228" w:sz="6" w:space="0"/>
            </w:tcBorders>
          </w:tcPr>
          <w:p w14:paraId="573423C9">
            <w:pPr>
              <w:keepNext/>
              <w:keepLines/>
              <w:rPr>
                <w:rFonts w:hint="eastAsia" w:ascii="宋体" w:hAnsi="宋体" w:eastAsia="宋体"/>
                <w:bCs/>
                <w:kern w:val="2"/>
                <w:lang w:eastAsia="zh-CN"/>
              </w:rPr>
            </w:pPr>
            <w:r>
              <w:rPr>
                <w:rFonts w:hint="eastAsia" w:ascii="宋体" w:hAnsi="宋体"/>
                <w:bCs/>
                <w:kern w:val="2"/>
              </w:rPr>
              <w:t>1. 建立《环境管理制度》《污染物排放管控细则》《危废固废分类处置管理办法》</w:t>
            </w:r>
            <w:r>
              <w:rPr>
                <w:rFonts w:hint="eastAsia" w:ascii="宋体" w:hAnsi="宋体"/>
                <w:bCs/>
                <w:kern w:val="2"/>
                <w:lang w:eastAsia="zh-CN"/>
              </w:rPr>
              <w:t>。</w:t>
            </w:r>
          </w:p>
          <w:p w14:paraId="7B302A40">
            <w:pPr>
              <w:keepNext/>
              <w:keepLines/>
              <w:rPr>
                <w:rFonts w:hint="eastAsia" w:ascii="宋体" w:hAnsi="宋体" w:eastAsia="宋体"/>
                <w:bCs/>
                <w:kern w:val="2"/>
                <w:lang w:eastAsia="zh-CN"/>
              </w:rPr>
            </w:pPr>
            <w:r>
              <w:rPr>
                <w:rFonts w:hint="eastAsia" w:ascii="宋体" w:hAnsi="宋体"/>
                <w:bCs/>
                <w:kern w:val="2"/>
              </w:rPr>
              <w:t>2. 落实环保岗位专人责任制，定期开展环保合规自查与隐患排查</w:t>
            </w:r>
            <w:r>
              <w:rPr>
                <w:rFonts w:hint="eastAsia" w:ascii="宋体" w:hAnsi="宋体"/>
                <w:bCs/>
                <w:kern w:val="2"/>
                <w:lang w:eastAsia="zh-CN"/>
              </w:rPr>
              <w:t>。</w:t>
            </w:r>
          </w:p>
          <w:p w14:paraId="18773F31">
            <w:pPr>
              <w:keepNext/>
              <w:keepLines/>
              <w:rPr>
                <w:rFonts w:hint="eastAsia" w:ascii="宋体" w:hAnsi="宋体" w:eastAsia="宋体"/>
                <w:bCs/>
                <w:kern w:val="2"/>
                <w:lang w:eastAsia="zh-CN"/>
              </w:rPr>
            </w:pPr>
            <w:r>
              <w:rPr>
                <w:rFonts w:hint="eastAsia" w:ascii="宋体" w:hAnsi="宋体"/>
                <w:bCs/>
                <w:kern w:val="2"/>
              </w:rPr>
              <w:t>3. 严格执行排污许可管理，建立污染物台账，定期委托第三方机构开展环境检测</w:t>
            </w:r>
            <w:r>
              <w:rPr>
                <w:rFonts w:hint="eastAsia" w:ascii="宋体" w:hAnsi="宋体"/>
                <w:bCs/>
                <w:kern w:val="2"/>
                <w:lang w:eastAsia="zh-CN"/>
              </w:rPr>
              <w:t>。</w:t>
            </w:r>
          </w:p>
          <w:p w14:paraId="32A1A1DE">
            <w:pPr>
              <w:keepNext/>
              <w:keepLines/>
              <w:rPr>
                <w:rFonts w:hint="eastAsia" w:ascii="宋体" w:hAnsi="宋体" w:eastAsia="宋体"/>
                <w:bCs/>
                <w:kern w:val="2"/>
                <w:lang w:eastAsia="zh-CN"/>
              </w:rPr>
            </w:pPr>
            <w:r>
              <w:rPr>
                <w:rFonts w:hint="eastAsia" w:ascii="宋体" w:hAnsi="宋体"/>
                <w:bCs/>
                <w:kern w:val="2"/>
                <w:lang w:val="en-US" w:eastAsia="zh-CN"/>
              </w:rPr>
              <w:t>4</w:t>
            </w:r>
            <w:r>
              <w:rPr>
                <w:rFonts w:hint="eastAsia" w:ascii="宋体" w:hAnsi="宋体"/>
                <w:bCs/>
                <w:kern w:val="2"/>
              </w:rPr>
              <w:t>.设置分类专属存放区域，一般固废定期合规清运回收，危险废弃物密封专人单独管理、交由有资质单位处置</w:t>
            </w:r>
            <w:r>
              <w:rPr>
                <w:rFonts w:hint="eastAsia" w:ascii="宋体" w:hAnsi="宋体"/>
                <w:bCs/>
                <w:kern w:val="2"/>
                <w:lang w:eastAsia="zh-CN"/>
              </w:rPr>
              <w:t>。</w:t>
            </w:r>
          </w:p>
          <w:p w14:paraId="7BE6067B">
            <w:pPr>
              <w:keepNext/>
              <w:keepLines/>
              <w:rPr>
                <w:rFonts w:hint="eastAsia" w:ascii="宋体" w:hAnsi="宋体" w:eastAsia="宋体"/>
                <w:bCs/>
                <w:kern w:val="2"/>
                <w:lang w:eastAsia="zh-CN"/>
              </w:rPr>
            </w:pPr>
            <w:r>
              <w:rPr>
                <w:rFonts w:hint="eastAsia" w:ascii="宋体" w:hAnsi="宋体"/>
                <w:bCs/>
                <w:kern w:val="2"/>
                <w:lang w:val="en-US" w:eastAsia="zh-CN"/>
              </w:rPr>
              <w:t>5</w:t>
            </w:r>
            <w:r>
              <w:rPr>
                <w:rFonts w:hint="eastAsia" w:ascii="宋体" w:hAnsi="宋体"/>
                <w:bCs/>
                <w:kern w:val="2"/>
              </w:rPr>
              <w:t>.生产生活污水配套预处理、沉淀池+污水处理设备，达标后排放；杜绝跑冒滴漏</w:t>
            </w:r>
            <w:r>
              <w:rPr>
                <w:rFonts w:hint="eastAsia" w:ascii="宋体" w:hAnsi="宋体"/>
                <w:bCs/>
                <w:kern w:val="2"/>
                <w:lang w:eastAsia="zh-CN"/>
              </w:rPr>
              <w:t>。</w:t>
            </w:r>
          </w:p>
        </w:tc>
      </w:tr>
      <w:tr w14:paraId="52A666B3">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306" w:hRule="atLeast"/>
          <w:jc w:val="center"/>
        </w:trPr>
        <w:tc>
          <w:tcPr>
            <w:tcW w:w="1694" w:type="dxa"/>
            <w:vAlign w:val="center"/>
          </w:tcPr>
          <w:p w14:paraId="340201B2">
            <w:pPr>
              <w:ind w:left="120" w:leftChars="50"/>
              <w:jc w:val="center"/>
              <w:rPr>
                <w:rFonts w:ascii="宋体" w:hAnsi="宋体"/>
                <w:b/>
                <w:kern w:val="2"/>
              </w:rPr>
            </w:pPr>
            <w:r>
              <w:rPr>
                <w:rFonts w:hint="eastAsia" w:ascii="宋体" w:hAnsi="宋体"/>
                <w:b/>
                <w:kern w:val="2"/>
              </w:rPr>
              <w:t>能源消耗</w:t>
            </w:r>
          </w:p>
        </w:tc>
        <w:tc>
          <w:tcPr>
            <w:tcW w:w="2446" w:type="dxa"/>
            <w:vAlign w:val="center"/>
          </w:tcPr>
          <w:p w14:paraId="4C07D98A">
            <w:pPr>
              <w:ind w:left="120" w:leftChars="50"/>
              <w:jc w:val="center"/>
              <w:rPr>
                <w:rFonts w:ascii="宋体" w:hAnsi="宋体"/>
                <w:kern w:val="2"/>
              </w:rPr>
            </w:pPr>
            <w:r>
              <w:rPr>
                <w:rFonts w:hint="eastAsia" w:ascii="宋体" w:hAnsi="宋体"/>
                <w:kern w:val="2"/>
              </w:rPr>
              <w:t>电、水等</w:t>
            </w:r>
          </w:p>
        </w:tc>
        <w:tc>
          <w:tcPr>
            <w:tcW w:w="5147" w:type="dxa"/>
            <w:vAlign w:val="center"/>
          </w:tcPr>
          <w:p w14:paraId="2D132D85">
            <w:pPr>
              <w:rPr>
                <w:rFonts w:hint="eastAsia" w:ascii="宋体" w:hAnsi="宋体" w:eastAsia="宋体"/>
                <w:kern w:val="2"/>
                <w:lang w:eastAsia="zh-CN"/>
              </w:rPr>
            </w:pPr>
            <w:r>
              <w:rPr>
                <w:rFonts w:hint="eastAsia" w:ascii="宋体" w:hAnsi="宋体"/>
                <w:kern w:val="2"/>
              </w:rPr>
              <w:t>1. 制定《节能降耗管理规定》《水电能耗定额考核制度》，分解各部门能耗指标</w:t>
            </w:r>
            <w:r>
              <w:rPr>
                <w:rFonts w:hint="eastAsia" w:ascii="宋体" w:hAnsi="宋体"/>
                <w:kern w:val="2"/>
                <w:lang w:eastAsia="zh-CN"/>
              </w:rPr>
              <w:t>。</w:t>
            </w:r>
          </w:p>
          <w:p w14:paraId="3F605B5E">
            <w:pPr>
              <w:rPr>
                <w:rFonts w:hint="eastAsia" w:ascii="宋体" w:hAnsi="宋体" w:eastAsia="宋体"/>
                <w:kern w:val="2"/>
                <w:lang w:eastAsia="zh-CN"/>
              </w:rPr>
            </w:pPr>
            <w:r>
              <w:rPr>
                <w:rFonts w:hint="eastAsia" w:ascii="宋体" w:hAnsi="宋体"/>
                <w:kern w:val="2"/>
              </w:rPr>
              <w:t>2. 建立能耗月度统计、分析、公示机制，开展节能宣传与全员节约培训</w:t>
            </w:r>
            <w:r>
              <w:rPr>
                <w:rFonts w:hint="eastAsia" w:ascii="宋体" w:hAnsi="宋体"/>
                <w:kern w:val="2"/>
                <w:lang w:eastAsia="zh-CN"/>
              </w:rPr>
              <w:t>。</w:t>
            </w:r>
          </w:p>
          <w:p w14:paraId="29A4B477">
            <w:pPr>
              <w:rPr>
                <w:rFonts w:hint="eastAsia" w:ascii="宋体" w:hAnsi="宋体"/>
                <w:kern w:val="2"/>
                <w:lang w:eastAsia="zh-CN"/>
              </w:rPr>
            </w:pPr>
            <w:r>
              <w:rPr>
                <w:rFonts w:hint="eastAsia" w:ascii="宋体" w:hAnsi="宋体"/>
                <w:kern w:val="2"/>
              </w:rPr>
              <w:t>3. 优先推行绿色低碳生产、淘汰高能耗老旧设备</w:t>
            </w:r>
            <w:r>
              <w:rPr>
                <w:rFonts w:hint="eastAsia" w:ascii="宋体" w:hAnsi="宋体"/>
                <w:kern w:val="2"/>
                <w:lang w:eastAsia="zh-CN"/>
              </w:rPr>
              <w:t>。</w:t>
            </w:r>
          </w:p>
          <w:p w14:paraId="60F9D0D4">
            <w:pPr>
              <w:rPr>
                <w:rFonts w:hint="eastAsia" w:ascii="宋体" w:hAnsi="宋体" w:eastAsia="宋体"/>
                <w:kern w:val="2"/>
                <w:lang w:eastAsia="zh-CN"/>
              </w:rPr>
            </w:pPr>
            <w:r>
              <w:rPr>
                <w:rFonts w:hint="eastAsia" w:ascii="宋体" w:hAnsi="宋体"/>
                <w:kern w:val="2"/>
                <w:lang w:val="en-US" w:eastAsia="zh-CN"/>
              </w:rPr>
              <w:t>4</w:t>
            </w:r>
            <w:r>
              <w:rPr>
                <w:rFonts w:hint="eastAsia" w:ascii="宋体" w:hAnsi="宋体"/>
                <w:kern w:val="2"/>
              </w:rPr>
              <w:t>. 节电：厂区全部更换LED节能灯具，公共区域加装声光感应、定时开关；生产设备加装变频节能装置，优化设备空载待机管控</w:t>
            </w:r>
            <w:r>
              <w:rPr>
                <w:rFonts w:hint="eastAsia" w:ascii="宋体" w:hAnsi="宋体"/>
                <w:kern w:val="2"/>
                <w:lang w:eastAsia="zh-CN"/>
              </w:rPr>
              <w:t>。</w:t>
            </w:r>
          </w:p>
          <w:p w14:paraId="64314EBC">
            <w:pPr>
              <w:rPr>
                <w:rFonts w:hint="eastAsia" w:ascii="宋体" w:hAnsi="宋体" w:eastAsia="宋体"/>
                <w:kern w:val="2"/>
                <w:lang w:eastAsia="zh-CN"/>
              </w:rPr>
            </w:pPr>
            <w:r>
              <w:rPr>
                <w:rFonts w:hint="eastAsia" w:ascii="宋体" w:hAnsi="宋体"/>
                <w:kern w:val="2"/>
                <w:lang w:val="en-US" w:eastAsia="zh-CN"/>
              </w:rPr>
              <w:t>5</w:t>
            </w:r>
            <w:r>
              <w:rPr>
                <w:rFonts w:hint="eastAsia" w:ascii="宋体" w:hAnsi="宋体"/>
                <w:kern w:val="2"/>
              </w:rPr>
              <w:t>. 节水：全部用水点位更换节水型器具，建设雨水收集、生产用水循环回用系统，定期排查管网杜绝漏水浪费</w:t>
            </w:r>
            <w:r>
              <w:rPr>
                <w:rFonts w:hint="eastAsia" w:ascii="宋体" w:hAnsi="宋体"/>
                <w:kern w:val="2"/>
                <w:lang w:eastAsia="zh-CN"/>
              </w:rPr>
              <w:t>。</w:t>
            </w:r>
          </w:p>
        </w:tc>
      </w:tr>
      <w:tr w14:paraId="0DAE3B4E">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408" w:hRule="atLeast"/>
          <w:jc w:val="center"/>
        </w:trPr>
        <w:tc>
          <w:tcPr>
            <w:tcW w:w="1694" w:type="dxa"/>
            <w:vAlign w:val="center"/>
          </w:tcPr>
          <w:p w14:paraId="54BECA27">
            <w:pPr>
              <w:ind w:left="120" w:leftChars="50"/>
              <w:jc w:val="center"/>
              <w:rPr>
                <w:rFonts w:ascii="宋体" w:hAnsi="宋体"/>
                <w:b/>
                <w:kern w:val="2"/>
              </w:rPr>
            </w:pPr>
            <w:r>
              <w:rPr>
                <w:rFonts w:hint="eastAsia" w:ascii="宋体" w:hAnsi="宋体"/>
                <w:b/>
                <w:kern w:val="2"/>
              </w:rPr>
              <w:t>资源综合利用</w:t>
            </w:r>
          </w:p>
        </w:tc>
        <w:tc>
          <w:tcPr>
            <w:tcW w:w="2446" w:type="dxa"/>
            <w:vAlign w:val="center"/>
          </w:tcPr>
          <w:p w14:paraId="365E0DF0">
            <w:pPr>
              <w:ind w:left="120" w:leftChars="50"/>
              <w:jc w:val="center"/>
              <w:rPr>
                <w:rFonts w:ascii="宋体" w:hAnsi="宋体"/>
                <w:kern w:val="2"/>
              </w:rPr>
            </w:pPr>
            <w:r>
              <w:rPr>
                <w:rFonts w:hint="eastAsia" w:ascii="宋体" w:hAnsi="宋体"/>
                <w:kern w:val="2"/>
              </w:rPr>
              <w:t>增加生产成本浪费能源</w:t>
            </w:r>
          </w:p>
        </w:tc>
        <w:tc>
          <w:tcPr>
            <w:tcW w:w="5147" w:type="dxa"/>
            <w:vAlign w:val="center"/>
          </w:tcPr>
          <w:p w14:paraId="51498CE0">
            <w:pPr>
              <w:rPr>
                <w:rFonts w:ascii="宋体" w:hAnsi="宋体"/>
                <w:kern w:val="2"/>
              </w:rPr>
            </w:pPr>
            <w:r>
              <w:rPr>
                <w:rFonts w:hint="eastAsia" w:ascii="宋体" w:hAnsi="宋体"/>
                <w:kern w:val="2"/>
              </w:rPr>
              <w:t>有效控制能源消耗，响应节能、节水、节电的方针</w:t>
            </w:r>
          </w:p>
        </w:tc>
      </w:tr>
      <w:tr w14:paraId="72463E4C">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620" w:hRule="atLeast"/>
          <w:jc w:val="center"/>
        </w:trPr>
        <w:tc>
          <w:tcPr>
            <w:tcW w:w="1694" w:type="dxa"/>
            <w:vAlign w:val="center"/>
          </w:tcPr>
          <w:p w14:paraId="7025CF36">
            <w:pPr>
              <w:ind w:left="120" w:leftChars="50"/>
              <w:jc w:val="center"/>
              <w:rPr>
                <w:rFonts w:ascii="宋体" w:hAnsi="宋体"/>
                <w:b/>
                <w:kern w:val="2"/>
              </w:rPr>
            </w:pPr>
            <w:r>
              <w:rPr>
                <w:rFonts w:hint="eastAsia" w:ascii="宋体" w:hAnsi="宋体"/>
                <w:b/>
                <w:kern w:val="2"/>
              </w:rPr>
              <w:t>安全生产</w:t>
            </w:r>
          </w:p>
        </w:tc>
        <w:tc>
          <w:tcPr>
            <w:tcW w:w="2446" w:type="dxa"/>
            <w:vAlign w:val="center"/>
          </w:tcPr>
          <w:p w14:paraId="758B4D70">
            <w:pPr>
              <w:ind w:left="120" w:leftChars="50"/>
              <w:jc w:val="center"/>
              <w:rPr>
                <w:rFonts w:ascii="宋体" w:hAnsi="宋体"/>
                <w:kern w:val="2"/>
              </w:rPr>
            </w:pPr>
            <w:r>
              <w:rPr>
                <w:rFonts w:hint="eastAsia" w:ascii="宋体" w:hAnsi="宋体"/>
                <w:kern w:val="2"/>
              </w:rPr>
              <w:t>人员伤亡</w:t>
            </w:r>
          </w:p>
          <w:p w14:paraId="7C26C795">
            <w:pPr>
              <w:ind w:left="120" w:leftChars="50"/>
              <w:jc w:val="center"/>
              <w:rPr>
                <w:rFonts w:ascii="宋体" w:hAnsi="宋体"/>
                <w:kern w:val="2"/>
              </w:rPr>
            </w:pPr>
            <w:r>
              <w:rPr>
                <w:rFonts w:hint="eastAsia" w:ascii="宋体" w:hAnsi="宋体"/>
                <w:kern w:val="2"/>
              </w:rPr>
              <w:t>财产损失</w:t>
            </w:r>
          </w:p>
          <w:p w14:paraId="76C38FBE">
            <w:pPr>
              <w:ind w:left="120" w:leftChars="50"/>
              <w:jc w:val="center"/>
              <w:rPr>
                <w:rFonts w:ascii="宋体" w:hAnsi="宋体"/>
                <w:kern w:val="2"/>
              </w:rPr>
            </w:pPr>
            <w:r>
              <w:rPr>
                <w:rFonts w:hint="eastAsia" w:ascii="宋体" w:hAnsi="宋体"/>
                <w:kern w:val="2"/>
              </w:rPr>
              <w:t>影响社会稳定</w:t>
            </w:r>
          </w:p>
        </w:tc>
        <w:tc>
          <w:tcPr>
            <w:tcW w:w="5147" w:type="dxa"/>
            <w:vAlign w:val="center"/>
          </w:tcPr>
          <w:p w14:paraId="06A3431A">
            <w:pPr>
              <w:rPr>
                <w:rFonts w:hint="eastAsia" w:ascii="宋体" w:hAnsi="宋体" w:eastAsia="宋体"/>
                <w:kern w:val="2"/>
                <w:lang w:eastAsia="zh-CN"/>
              </w:rPr>
            </w:pPr>
            <w:r>
              <w:rPr>
                <w:rFonts w:hint="eastAsia" w:ascii="宋体" w:hAnsi="宋体"/>
                <w:kern w:val="2"/>
              </w:rPr>
              <w:t>1. 建立健全《安全生产责任制》《安全操作规程》《安全生产隐患排查治理制度》《应急救援管理制度》</w:t>
            </w:r>
            <w:r>
              <w:rPr>
                <w:rFonts w:hint="eastAsia" w:ascii="宋体" w:hAnsi="宋体"/>
                <w:kern w:val="2"/>
                <w:lang w:eastAsia="zh-CN"/>
              </w:rPr>
              <w:t>。</w:t>
            </w:r>
          </w:p>
          <w:p w14:paraId="0B611BB7">
            <w:pPr>
              <w:rPr>
                <w:rFonts w:hint="eastAsia" w:ascii="宋体" w:hAnsi="宋体" w:eastAsia="宋体"/>
                <w:kern w:val="2"/>
                <w:lang w:eastAsia="zh-CN"/>
              </w:rPr>
            </w:pPr>
            <w:r>
              <w:rPr>
                <w:rFonts w:hint="eastAsia" w:ascii="宋体" w:hAnsi="宋体"/>
                <w:kern w:val="2"/>
              </w:rPr>
              <w:t>2. 落实三级安全生产岗前培训、特种作业人员持证上岗制度</w:t>
            </w:r>
            <w:r>
              <w:rPr>
                <w:rFonts w:hint="eastAsia" w:ascii="宋体" w:hAnsi="宋体"/>
                <w:kern w:val="2"/>
                <w:lang w:eastAsia="zh-CN"/>
              </w:rPr>
              <w:t>。</w:t>
            </w:r>
          </w:p>
          <w:p w14:paraId="54AE09F3">
            <w:pPr>
              <w:rPr>
                <w:rFonts w:hint="eastAsia" w:ascii="宋体" w:hAnsi="宋体" w:eastAsia="宋体"/>
                <w:kern w:val="2"/>
                <w:lang w:eastAsia="zh-CN"/>
              </w:rPr>
            </w:pPr>
            <w:r>
              <w:rPr>
                <w:rFonts w:hint="eastAsia" w:ascii="宋体" w:hAnsi="宋体"/>
                <w:kern w:val="2"/>
              </w:rPr>
              <w:t>3. 定期开展消防、设备安全应急演练</w:t>
            </w:r>
            <w:r>
              <w:rPr>
                <w:rFonts w:hint="eastAsia" w:ascii="宋体" w:hAnsi="宋体"/>
                <w:kern w:val="2"/>
                <w:lang w:eastAsia="zh-CN"/>
              </w:rPr>
              <w:t>。</w:t>
            </w:r>
          </w:p>
          <w:p w14:paraId="02E16789">
            <w:pPr>
              <w:rPr>
                <w:rFonts w:hint="eastAsia" w:ascii="宋体" w:hAnsi="宋体" w:eastAsia="宋体"/>
                <w:kern w:val="2"/>
                <w:lang w:val="en-US" w:eastAsia="zh-CN"/>
              </w:rPr>
            </w:pPr>
            <w:r>
              <w:rPr>
                <w:rFonts w:hint="eastAsia" w:ascii="宋体" w:hAnsi="宋体"/>
                <w:kern w:val="2"/>
                <w:lang w:val="en-US" w:eastAsia="zh-CN"/>
              </w:rPr>
              <w:t>4</w:t>
            </w:r>
            <w:r>
              <w:rPr>
                <w:rFonts w:hint="eastAsia" w:ascii="宋体" w:hAnsi="宋体"/>
                <w:kern w:val="2"/>
              </w:rPr>
              <w:t>. 全厂区配齐消防栓、灭火器、应急照明、疏散指示、报警预警等安全防护设备，定期校验维护</w:t>
            </w:r>
            <w:r>
              <w:rPr>
                <w:rFonts w:hint="eastAsia" w:ascii="宋体" w:hAnsi="宋体"/>
                <w:kern w:val="2"/>
                <w:lang w:eastAsia="zh-CN"/>
              </w:rPr>
              <w:t>。</w:t>
            </w:r>
          </w:p>
          <w:p w14:paraId="49EFFD63">
            <w:pPr>
              <w:rPr>
                <w:rFonts w:hint="eastAsia" w:ascii="宋体" w:hAnsi="宋体" w:eastAsia="宋体"/>
                <w:kern w:val="2"/>
                <w:lang w:val="en-US" w:eastAsia="zh-CN"/>
              </w:rPr>
            </w:pPr>
            <w:r>
              <w:rPr>
                <w:rFonts w:hint="eastAsia" w:ascii="宋体" w:hAnsi="宋体"/>
                <w:kern w:val="2"/>
                <w:lang w:val="en-US" w:eastAsia="zh-CN"/>
              </w:rPr>
              <w:t>5</w:t>
            </w:r>
            <w:r>
              <w:rPr>
                <w:rFonts w:hint="eastAsia" w:ascii="宋体" w:hAnsi="宋体"/>
                <w:kern w:val="2"/>
              </w:rPr>
              <w:t>. 生产工位配备专业劳保防护用品，危险设备加装安全防护栏、紧急停机按钮、联锁保护装置</w:t>
            </w:r>
            <w:r>
              <w:rPr>
                <w:rFonts w:hint="eastAsia" w:ascii="宋体" w:hAnsi="宋体"/>
                <w:kern w:val="2"/>
                <w:lang w:eastAsia="zh-CN"/>
              </w:rPr>
              <w:t>。</w:t>
            </w:r>
          </w:p>
          <w:p w14:paraId="63317E91">
            <w:pPr>
              <w:rPr>
                <w:rFonts w:hint="eastAsia" w:ascii="宋体" w:hAnsi="宋体" w:eastAsia="宋体"/>
                <w:kern w:val="2"/>
                <w:lang w:val="en-US" w:eastAsia="zh-CN"/>
              </w:rPr>
            </w:pPr>
            <w:r>
              <w:rPr>
                <w:rFonts w:hint="eastAsia" w:ascii="宋体" w:hAnsi="宋体"/>
                <w:kern w:val="2"/>
                <w:lang w:val="en-US" w:eastAsia="zh-CN"/>
              </w:rPr>
              <w:t>6</w:t>
            </w:r>
            <w:r>
              <w:rPr>
                <w:rFonts w:hint="eastAsia" w:ascii="宋体" w:hAnsi="宋体"/>
                <w:kern w:val="2"/>
              </w:rPr>
              <w:t>. 定期组织全体在岗员工职业健康体检，建立员工健康档案，岗前、岗中、离岗全周期健康监测</w:t>
            </w:r>
            <w:r>
              <w:rPr>
                <w:rFonts w:hint="eastAsia" w:ascii="宋体" w:hAnsi="宋体"/>
                <w:kern w:val="2"/>
                <w:lang w:eastAsia="zh-CN"/>
              </w:rPr>
              <w:t>。</w:t>
            </w:r>
          </w:p>
          <w:p w14:paraId="476E6C86">
            <w:pPr>
              <w:rPr>
                <w:rFonts w:hint="eastAsia" w:ascii="宋体" w:hAnsi="宋体" w:eastAsia="宋体"/>
                <w:kern w:val="2"/>
                <w:lang w:val="en-US" w:eastAsia="zh-CN"/>
              </w:rPr>
            </w:pPr>
            <w:r>
              <w:rPr>
                <w:rFonts w:hint="eastAsia" w:ascii="宋体" w:hAnsi="宋体"/>
                <w:kern w:val="2"/>
                <w:lang w:val="en-US" w:eastAsia="zh-CN"/>
              </w:rPr>
              <w:t>7</w:t>
            </w:r>
            <w:r>
              <w:rPr>
                <w:rFonts w:hint="eastAsia" w:ascii="宋体" w:hAnsi="宋体"/>
                <w:kern w:val="2"/>
              </w:rPr>
              <w:t>. 车间设置安全警示标识、应急通道全程保持畅通</w:t>
            </w:r>
            <w:r>
              <w:rPr>
                <w:rFonts w:hint="eastAsia" w:ascii="宋体" w:hAnsi="宋体"/>
                <w:kern w:val="2"/>
                <w:lang w:eastAsia="zh-CN"/>
              </w:rPr>
              <w:t>。</w:t>
            </w:r>
          </w:p>
        </w:tc>
      </w:tr>
      <w:tr w14:paraId="64437579">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360" w:hRule="atLeast"/>
          <w:jc w:val="center"/>
        </w:trPr>
        <w:tc>
          <w:tcPr>
            <w:tcW w:w="1694" w:type="dxa"/>
            <w:vAlign w:val="center"/>
          </w:tcPr>
          <w:p w14:paraId="0BD0DFDA">
            <w:pPr>
              <w:ind w:left="120" w:leftChars="50"/>
              <w:jc w:val="center"/>
              <w:rPr>
                <w:rFonts w:ascii="宋体" w:hAnsi="宋体"/>
                <w:b/>
                <w:kern w:val="2"/>
              </w:rPr>
            </w:pPr>
            <w:r>
              <w:rPr>
                <w:rFonts w:hint="eastAsia" w:ascii="宋体" w:hAnsi="宋体"/>
                <w:b/>
                <w:kern w:val="2"/>
              </w:rPr>
              <w:t>公共卫生</w:t>
            </w:r>
          </w:p>
        </w:tc>
        <w:tc>
          <w:tcPr>
            <w:tcW w:w="2446" w:type="dxa"/>
            <w:vAlign w:val="center"/>
          </w:tcPr>
          <w:p w14:paraId="67285395">
            <w:pPr>
              <w:ind w:left="120" w:leftChars="50"/>
              <w:jc w:val="center"/>
              <w:rPr>
                <w:rFonts w:ascii="宋体" w:hAnsi="宋体"/>
                <w:kern w:val="2"/>
              </w:rPr>
            </w:pPr>
            <w:r>
              <w:rPr>
                <w:rFonts w:hint="eastAsia" w:ascii="宋体" w:hAnsi="宋体"/>
                <w:kern w:val="2"/>
              </w:rPr>
              <w:t>食物中毒、传染病、职业病</w:t>
            </w:r>
          </w:p>
        </w:tc>
        <w:tc>
          <w:tcPr>
            <w:tcW w:w="5147" w:type="dxa"/>
            <w:vAlign w:val="center"/>
          </w:tcPr>
          <w:p w14:paraId="3C5C6566">
            <w:pPr>
              <w:rPr>
                <w:rFonts w:hint="eastAsia" w:ascii="宋体" w:hAnsi="宋体" w:eastAsia="宋体"/>
                <w:kern w:val="2"/>
                <w:lang w:eastAsia="zh-CN"/>
              </w:rPr>
            </w:pPr>
            <w:r>
              <w:rPr>
                <w:rFonts w:hint="eastAsia" w:ascii="宋体" w:hAnsi="宋体"/>
                <w:kern w:val="2"/>
              </w:rPr>
              <w:t>1. 制定《公共卫生突发事件应急预案》《传染病预防管控管理制度》《食堂食品卫生安全管理规范》《职业病防治管理细则》</w:t>
            </w:r>
            <w:r>
              <w:rPr>
                <w:rFonts w:hint="eastAsia" w:ascii="宋体" w:hAnsi="宋体"/>
                <w:kern w:val="2"/>
                <w:lang w:eastAsia="zh-CN"/>
              </w:rPr>
              <w:t>。</w:t>
            </w:r>
          </w:p>
          <w:p w14:paraId="5220E44C">
            <w:pPr>
              <w:rPr>
                <w:rFonts w:hint="eastAsia" w:ascii="宋体" w:hAnsi="宋体" w:eastAsia="宋体"/>
                <w:kern w:val="2"/>
                <w:lang w:eastAsia="zh-CN"/>
              </w:rPr>
            </w:pPr>
            <w:r>
              <w:rPr>
                <w:rFonts w:hint="eastAsia" w:ascii="宋体" w:hAnsi="宋体"/>
                <w:kern w:val="2"/>
              </w:rPr>
              <w:t>2. 落实公共卫生专人管理责任制，定期开展公共卫生专项巡检</w:t>
            </w:r>
            <w:r>
              <w:rPr>
                <w:rFonts w:hint="eastAsia" w:ascii="宋体" w:hAnsi="宋体"/>
                <w:kern w:val="2"/>
                <w:lang w:eastAsia="zh-CN"/>
              </w:rPr>
              <w:t>。</w:t>
            </w:r>
          </w:p>
          <w:p w14:paraId="7B47CB39">
            <w:pPr>
              <w:rPr>
                <w:rFonts w:hint="eastAsia" w:ascii="宋体" w:hAnsi="宋体" w:eastAsia="宋体"/>
                <w:kern w:val="2"/>
                <w:lang w:eastAsia="zh-CN"/>
              </w:rPr>
            </w:pPr>
            <w:r>
              <w:rPr>
                <w:rFonts w:hint="eastAsia" w:ascii="宋体" w:hAnsi="宋体"/>
                <w:kern w:val="2"/>
                <w:lang w:val="en-US" w:eastAsia="zh-CN"/>
              </w:rPr>
              <w:t>3</w:t>
            </w:r>
            <w:r>
              <w:rPr>
                <w:rFonts w:hint="eastAsia" w:ascii="宋体" w:hAnsi="宋体"/>
                <w:kern w:val="2"/>
              </w:rPr>
              <w:t>. 定期开展食堂卫生检查</w:t>
            </w:r>
            <w:r>
              <w:rPr>
                <w:rFonts w:hint="eastAsia" w:ascii="宋体" w:hAnsi="宋体"/>
                <w:kern w:val="2"/>
                <w:lang w:eastAsia="zh-CN"/>
              </w:rPr>
              <w:t>。</w:t>
            </w:r>
          </w:p>
          <w:p w14:paraId="70648AA5">
            <w:pPr>
              <w:rPr>
                <w:rFonts w:hint="eastAsia" w:ascii="宋体" w:hAnsi="宋体" w:eastAsia="宋体"/>
                <w:kern w:val="2"/>
                <w:lang w:val="en-US" w:eastAsia="zh-CN"/>
              </w:rPr>
            </w:pPr>
            <w:r>
              <w:rPr>
                <w:rFonts w:hint="eastAsia" w:ascii="宋体" w:hAnsi="宋体"/>
                <w:kern w:val="2"/>
                <w:lang w:val="en-US" w:eastAsia="zh-CN"/>
              </w:rPr>
              <w:t>4</w:t>
            </w:r>
            <w:r>
              <w:rPr>
                <w:rFonts w:hint="eastAsia" w:ascii="宋体" w:hAnsi="宋体"/>
                <w:kern w:val="2"/>
              </w:rPr>
              <w:t>. 职业病防护：针对岗位职业危害配置对应的防尘、防毒、防辐射等专业防护设备与劳保用品，定期开展职业病危害因素检测，常态化开展职业病防护健康宣教</w:t>
            </w:r>
            <w:r>
              <w:rPr>
                <w:rFonts w:hint="eastAsia" w:ascii="宋体" w:hAnsi="宋体"/>
                <w:kern w:val="2"/>
                <w:lang w:eastAsia="zh-CN"/>
              </w:rPr>
              <w:t>。</w:t>
            </w:r>
          </w:p>
          <w:p w14:paraId="111B6D79">
            <w:pPr>
              <w:rPr>
                <w:rFonts w:hint="eastAsia" w:ascii="宋体" w:hAnsi="宋体" w:eastAsia="宋体"/>
                <w:kern w:val="2"/>
                <w:lang w:eastAsia="zh-CN"/>
              </w:rPr>
            </w:pPr>
            <w:r>
              <w:rPr>
                <w:rFonts w:hint="eastAsia" w:ascii="宋体" w:hAnsi="宋体"/>
                <w:kern w:val="2"/>
                <w:lang w:val="en-US" w:eastAsia="zh-CN"/>
              </w:rPr>
              <w:t>5</w:t>
            </w:r>
            <w:r>
              <w:rPr>
                <w:rFonts w:hint="eastAsia" w:ascii="宋体" w:hAnsi="宋体"/>
                <w:kern w:val="2"/>
              </w:rPr>
              <w:t>. 厂区设置垃圾分类清运，保障厂区整体环境卫生干净整洁</w:t>
            </w:r>
            <w:r>
              <w:rPr>
                <w:rFonts w:hint="eastAsia" w:ascii="宋体" w:hAnsi="宋体"/>
                <w:kern w:val="2"/>
                <w:lang w:eastAsia="zh-CN"/>
              </w:rPr>
              <w:t>。</w:t>
            </w:r>
          </w:p>
        </w:tc>
      </w:tr>
    </w:tbl>
    <w:p w14:paraId="0AFE9DD8">
      <w:pPr>
        <w:spacing w:before="312" w:beforeLines="100" w:line="360" w:lineRule="auto"/>
        <w:ind w:firstLine="482"/>
        <w:rPr>
          <w:rFonts w:ascii="宋体" w:hAnsi="宋体"/>
          <w:szCs w:val="32"/>
        </w:rPr>
      </w:pPr>
      <w:r>
        <w:rPr>
          <w:rFonts w:hint="eastAsia" w:ascii="宋体" w:hAnsi="宋体"/>
          <w:szCs w:val="32"/>
        </w:rPr>
        <w:t>针对环境保护、能源消耗、资源综合利用、安全生产、产品安全公共卫生等方面的影响,公司依据</w:t>
      </w:r>
      <w:r>
        <w:rPr>
          <w:rFonts w:hint="eastAsia" w:ascii="宋体" w:hAnsi="宋体"/>
        </w:rPr>
        <w:t>ISO9001、ISO14001、ISO18001</w:t>
      </w:r>
      <w:r>
        <w:rPr>
          <w:rFonts w:hint="eastAsia" w:ascii="宋体" w:hAnsi="宋体"/>
          <w:szCs w:val="32"/>
        </w:rPr>
        <w:t>标准运行各项工作，建立了质量、环境、安全管理体系制定了管理手册、相应的程序文件和支持性文件，完善各项管理记录。近几年来，公司各种排放物指标均符合国家标准规定要求，连年未发生重大人身伤亡事故和食品安全事故，通过各项措施的落实，公司承诺的社会责任得到了体现，社会和群众的利益得到了保障，公司的各项运营得到了稳定发展。（见图表4.1.4-2）</w:t>
      </w:r>
    </w:p>
    <w:p w14:paraId="64FA16BF">
      <w:pPr>
        <w:spacing w:before="156" w:beforeLines="50" w:after="156" w:afterLines="50"/>
        <w:jc w:val="center"/>
        <w:rPr>
          <w:rFonts w:ascii="黑体" w:hAnsi="黑体" w:eastAsia="黑体" w:cs="宋体"/>
          <w:b/>
          <w:sz w:val="21"/>
          <w:szCs w:val="21"/>
        </w:rPr>
      </w:pPr>
      <w:r>
        <w:rPr>
          <w:rFonts w:hint="eastAsia" w:ascii="黑体" w:hAnsi="黑体" w:eastAsia="黑体" w:cs="宋体"/>
          <w:b/>
          <w:sz w:val="21"/>
          <w:szCs w:val="21"/>
        </w:rPr>
        <w:t>表4.1.4-2 满足法律法规要求的关键过程及指标</w:t>
      </w:r>
    </w:p>
    <w:tbl>
      <w:tblPr>
        <w:tblStyle w:val="22"/>
        <w:tblW w:w="9287" w:type="dxa"/>
        <w:tblInd w:w="0" w:type="dxa"/>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Layout w:type="fixed"/>
        <w:tblCellMar>
          <w:top w:w="0" w:type="dxa"/>
          <w:left w:w="108" w:type="dxa"/>
          <w:bottom w:w="0" w:type="dxa"/>
          <w:right w:w="108" w:type="dxa"/>
        </w:tblCellMar>
      </w:tblPr>
      <w:tblGrid>
        <w:gridCol w:w="1828"/>
        <w:gridCol w:w="3323"/>
        <w:gridCol w:w="4136"/>
      </w:tblGrid>
      <w:tr w14:paraId="456C8F9B">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474" w:hRule="atLeast"/>
          <w:tblHeader/>
        </w:trPr>
        <w:tc>
          <w:tcPr>
            <w:tcW w:w="1828" w:type="dxa"/>
            <w:tcBorders>
              <w:top w:val="threeDEngrave" w:color="4F6228" w:sz="12" w:space="0"/>
              <w:bottom w:val="single" w:color="4F6228" w:sz="6" w:space="0"/>
            </w:tcBorders>
            <w:shd w:val="clear" w:color="auto" w:fill="948A54"/>
            <w:vAlign w:val="center"/>
          </w:tcPr>
          <w:p w14:paraId="69478ED3">
            <w:pPr>
              <w:jc w:val="center"/>
              <w:rPr>
                <w:rFonts w:ascii="宋体" w:hAnsi="宋体"/>
                <w:b/>
                <w:kern w:val="2"/>
                <w:sz w:val="21"/>
                <w:szCs w:val="21"/>
              </w:rPr>
            </w:pPr>
            <w:r>
              <w:rPr>
                <w:rFonts w:hint="eastAsia" w:ascii="宋体" w:hAnsi="宋体"/>
                <w:b/>
                <w:bCs/>
                <w:kern w:val="2"/>
                <w:sz w:val="21"/>
                <w:szCs w:val="21"/>
              </w:rPr>
              <w:t>关键过程</w:t>
            </w:r>
          </w:p>
        </w:tc>
        <w:tc>
          <w:tcPr>
            <w:tcW w:w="3323" w:type="dxa"/>
            <w:tcBorders>
              <w:top w:val="threeDEngrave" w:color="4F6228" w:sz="12" w:space="0"/>
              <w:bottom w:val="single" w:color="4F6228" w:sz="6" w:space="0"/>
            </w:tcBorders>
            <w:shd w:val="clear" w:color="auto" w:fill="948A54"/>
            <w:vAlign w:val="center"/>
          </w:tcPr>
          <w:p w14:paraId="793F3500">
            <w:pPr>
              <w:keepNext/>
              <w:keepLines/>
              <w:jc w:val="center"/>
              <w:rPr>
                <w:rFonts w:ascii="宋体" w:hAnsi="宋体"/>
                <w:b/>
                <w:bCs/>
                <w:kern w:val="2"/>
                <w:sz w:val="21"/>
                <w:szCs w:val="21"/>
              </w:rPr>
            </w:pPr>
            <w:r>
              <w:rPr>
                <w:rFonts w:hint="eastAsia" w:ascii="宋体" w:hAnsi="宋体"/>
                <w:b/>
                <w:kern w:val="2"/>
                <w:sz w:val="21"/>
                <w:szCs w:val="21"/>
              </w:rPr>
              <w:t>法律法规要求</w:t>
            </w:r>
          </w:p>
        </w:tc>
        <w:tc>
          <w:tcPr>
            <w:tcW w:w="4136" w:type="dxa"/>
            <w:tcBorders>
              <w:top w:val="threeDEngrave" w:color="4F6228" w:sz="12" w:space="0"/>
              <w:bottom w:val="single" w:color="4F6228" w:sz="6" w:space="0"/>
            </w:tcBorders>
            <w:shd w:val="clear" w:color="auto" w:fill="948A54"/>
            <w:vAlign w:val="center"/>
          </w:tcPr>
          <w:p w14:paraId="08E146FA">
            <w:pPr>
              <w:keepNext/>
              <w:keepLines/>
              <w:jc w:val="center"/>
              <w:rPr>
                <w:rFonts w:ascii="宋体" w:hAnsi="宋体"/>
                <w:b/>
                <w:bCs/>
                <w:kern w:val="2"/>
                <w:sz w:val="21"/>
                <w:szCs w:val="21"/>
              </w:rPr>
            </w:pPr>
            <w:r>
              <w:rPr>
                <w:rFonts w:hint="eastAsia" w:ascii="宋体" w:hAnsi="宋体"/>
                <w:b/>
                <w:bCs/>
                <w:kern w:val="2"/>
                <w:sz w:val="21"/>
                <w:szCs w:val="21"/>
              </w:rPr>
              <w:t>关键指标</w:t>
            </w:r>
          </w:p>
        </w:tc>
      </w:tr>
      <w:tr w14:paraId="4DE481D0">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453" w:hRule="atLeast"/>
        </w:trPr>
        <w:tc>
          <w:tcPr>
            <w:tcW w:w="1828" w:type="dxa"/>
            <w:tcBorders>
              <w:top w:val="single" w:color="4F6228" w:sz="6" w:space="0"/>
            </w:tcBorders>
            <w:vAlign w:val="center"/>
          </w:tcPr>
          <w:p w14:paraId="70CDFC48">
            <w:pPr>
              <w:jc w:val="center"/>
              <w:rPr>
                <w:rFonts w:ascii="宋体" w:hAnsi="宋体"/>
                <w:b/>
                <w:kern w:val="2"/>
                <w:sz w:val="20"/>
                <w:szCs w:val="20"/>
              </w:rPr>
            </w:pPr>
            <w:r>
              <w:rPr>
                <w:rFonts w:hint="eastAsia" w:ascii="宋体" w:hAnsi="宋体"/>
                <w:b/>
                <w:kern w:val="2"/>
                <w:sz w:val="20"/>
                <w:szCs w:val="20"/>
              </w:rPr>
              <w:t>质   量</w:t>
            </w:r>
          </w:p>
        </w:tc>
        <w:tc>
          <w:tcPr>
            <w:tcW w:w="3323" w:type="dxa"/>
            <w:tcBorders>
              <w:top w:val="single" w:color="4F6228" w:sz="6" w:space="0"/>
            </w:tcBorders>
            <w:vAlign w:val="center"/>
          </w:tcPr>
          <w:p w14:paraId="2954413B">
            <w:pPr>
              <w:keepNext/>
              <w:keepLines/>
              <w:rPr>
                <w:rFonts w:ascii="宋体" w:hAnsi="宋体"/>
                <w:bCs/>
                <w:kern w:val="2"/>
                <w:sz w:val="20"/>
                <w:szCs w:val="20"/>
              </w:rPr>
            </w:pPr>
            <w:r>
              <w:rPr>
                <w:rFonts w:hint="eastAsia" w:ascii="宋体" w:hAnsi="宋体"/>
                <w:bCs/>
                <w:kern w:val="2"/>
                <w:sz w:val="20"/>
                <w:szCs w:val="20"/>
              </w:rPr>
              <w:t>满足合同要求，定期回访保修</w:t>
            </w:r>
          </w:p>
        </w:tc>
        <w:tc>
          <w:tcPr>
            <w:tcW w:w="4136" w:type="dxa"/>
            <w:tcBorders>
              <w:top w:val="single" w:color="4F6228" w:sz="6" w:space="0"/>
            </w:tcBorders>
            <w:vAlign w:val="center"/>
          </w:tcPr>
          <w:p w14:paraId="20573DA4">
            <w:pPr>
              <w:keepNext/>
              <w:keepLines/>
              <w:jc w:val="center"/>
              <w:rPr>
                <w:rFonts w:ascii="宋体" w:hAnsi="宋体"/>
                <w:bCs/>
                <w:kern w:val="2"/>
                <w:sz w:val="20"/>
                <w:szCs w:val="20"/>
              </w:rPr>
            </w:pPr>
            <w:r>
              <w:rPr>
                <w:rFonts w:hint="eastAsia" w:ascii="宋体" w:hAnsi="宋体"/>
                <w:bCs/>
                <w:kern w:val="2"/>
                <w:sz w:val="20"/>
                <w:szCs w:val="20"/>
              </w:rPr>
              <w:t>合同履约率100﹪</w:t>
            </w:r>
          </w:p>
        </w:tc>
      </w:tr>
      <w:tr w14:paraId="1C90CE95">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585" w:hRule="atLeast"/>
        </w:trPr>
        <w:tc>
          <w:tcPr>
            <w:tcW w:w="1828" w:type="dxa"/>
            <w:vAlign w:val="center"/>
          </w:tcPr>
          <w:p w14:paraId="5254DC1B">
            <w:pPr>
              <w:jc w:val="center"/>
              <w:rPr>
                <w:rFonts w:ascii="宋体" w:hAnsi="宋体"/>
                <w:b/>
                <w:kern w:val="2"/>
                <w:sz w:val="20"/>
                <w:szCs w:val="20"/>
              </w:rPr>
            </w:pPr>
            <w:r>
              <w:rPr>
                <w:rFonts w:hint="eastAsia" w:ascii="宋体" w:hAnsi="宋体"/>
                <w:b/>
                <w:kern w:val="2"/>
                <w:sz w:val="20"/>
                <w:szCs w:val="20"/>
              </w:rPr>
              <w:t>安全生产</w:t>
            </w:r>
          </w:p>
        </w:tc>
        <w:tc>
          <w:tcPr>
            <w:tcW w:w="3323" w:type="dxa"/>
            <w:vAlign w:val="center"/>
          </w:tcPr>
          <w:p w14:paraId="1C8CE5F5">
            <w:pPr>
              <w:keepNext/>
              <w:keepLines/>
              <w:rPr>
                <w:rFonts w:ascii="宋体" w:hAnsi="宋体"/>
                <w:bCs/>
                <w:kern w:val="2"/>
                <w:sz w:val="20"/>
                <w:szCs w:val="20"/>
              </w:rPr>
            </w:pPr>
            <w:r>
              <w:rPr>
                <w:rFonts w:hint="eastAsia" w:ascii="宋体" w:hAnsi="宋体"/>
                <w:bCs/>
                <w:kern w:val="2"/>
                <w:sz w:val="20"/>
                <w:szCs w:val="20"/>
              </w:rPr>
              <w:t>死亡、重伤、火灾、轻伤控制</w:t>
            </w:r>
          </w:p>
        </w:tc>
        <w:tc>
          <w:tcPr>
            <w:tcW w:w="4136" w:type="dxa"/>
            <w:vAlign w:val="center"/>
          </w:tcPr>
          <w:p w14:paraId="645E9BED">
            <w:pPr>
              <w:keepNext/>
              <w:keepLines/>
              <w:jc w:val="center"/>
              <w:rPr>
                <w:rFonts w:ascii="宋体" w:hAnsi="宋体"/>
                <w:bCs/>
                <w:kern w:val="2"/>
                <w:sz w:val="20"/>
                <w:szCs w:val="20"/>
              </w:rPr>
            </w:pPr>
            <w:r>
              <w:rPr>
                <w:rFonts w:hint="eastAsia" w:ascii="宋体" w:hAnsi="宋体"/>
                <w:bCs/>
                <w:kern w:val="2"/>
                <w:sz w:val="20"/>
                <w:szCs w:val="20"/>
              </w:rPr>
              <w:t>死亡率为0；重伤、重大事故为0；</w:t>
            </w:r>
          </w:p>
        </w:tc>
      </w:tr>
      <w:tr w14:paraId="5E258B0E">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408" w:hRule="atLeast"/>
        </w:trPr>
        <w:tc>
          <w:tcPr>
            <w:tcW w:w="1828" w:type="dxa"/>
            <w:vAlign w:val="center"/>
          </w:tcPr>
          <w:p w14:paraId="7A51EACA">
            <w:pPr>
              <w:jc w:val="center"/>
              <w:rPr>
                <w:rFonts w:ascii="宋体" w:hAnsi="宋体"/>
                <w:b/>
                <w:kern w:val="2"/>
                <w:sz w:val="20"/>
                <w:szCs w:val="20"/>
              </w:rPr>
            </w:pPr>
            <w:r>
              <w:rPr>
                <w:rFonts w:hint="eastAsia" w:ascii="宋体" w:hAnsi="宋体"/>
                <w:b/>
                <w:kern w:val="2"/>
                <w:sz w:val="20"/>
                <w:szCs w:val="20"/>
              </w:rPr>
              <w:t>环境、公共卫生</w:t>
            </w:r>
          </w:p>
        </w:tc>
        <w:tc>
          <w:tcPr>
            <w:tcW w:w="3323" w:type="dxa"/>
            <w:vAlign w:val="center"/>
          </w:tcPr>
          <w:p w14:paraId="33A93E38">
            <w:pPr>
              <w:keepNext/>
              <w:keepLines/>
              <w:rPr>
                <w:rFonts w:ascii="宋体" w:hAnsi="宋体"/>
                <w:bCs/>
                <w:kern w:val="2"/>
                <w:sz w:val="20"/>
                <w:szCs w:val="20"/>
              </w:rPr>
            </w:pPr>
            <w:r>
              <w:rPr>
                <w:rFonts w:hint="eastAsia" w:ascii="宋体" w:hAnsi="宋体"/>
                <w:bCs/>
                <w:kern w:val="2"/>
                <w:sz w:val="20"/>
                <w:szCs w:val="20"/>
              </w:rPr>
              <w:t>环境污染排放控制</w:t>
            </w:r>
          </w:p>
        </w:tc>
        <w:tc>
          <w:tcPr>
            <w:tcW w:w="4136" w:type="dxa"/>
            <w:vAlign w:val="center"/>
          </w:tcPr>
          <w:p w14:paraId="7EC4C77A">
            <w:pPr>
              <w:keepNext/>
              <w:keepLines/>
              <w:jc w:val="center"/>
              <w:rPr>
                <w:rFonts w:ascii="宋体" w:hAnsi="宋体"/>
                <w:bCs/>
                <w:kern w:val="2"/>
                <w:sz w:val="20"/>
                <w:szCs w:val="20"/>
              </w:rPr>
            </w:pPr>
            <w:r>
              <w:rPr>
                <w:rFonts w:hint="eastAsia" w:ascii="宋体" w:hAnsi="宋体"/>
                <w:bCs/>
                <w:kern w:val="2"/>
                <w:sz w:val="20"/>
                <w:szCs w:val="20"/>
              </w:rPr>
              <w:t>环境排放达标</w:t>
            </w:r>
          </w:p>
        </w:tc>
      </w:tr>
    </w:tbl>
    <w:p w14:paraId="61547C1D">
      <w:pPr>
        <w:pStyle w:val="5"/>
        <w:spacing w:before="520" w:line="377" w:lineRule="auto"/>
      </w:pPr>
      <w:r>
        <w:rPr>
          <w:rFonts w:hint="eastAsia"/>
        </w:rPr>
        <w:t>4.1.4.3道德行为</w:t>
      </w:r>
    </w:p>
    <w:p w14:paraId="012A512F">
      <w:pPr>
        <w:spacing w:line="360" w:lineRule="auto"/>
        <w:ind w:firstLine="480" w:firstLineChars="200"/>
        <w:rPr>
          <w:rFonts w:ascii="宋体" w:hAnsi="宋体"/>
          <w:szCs w:val="32"/>
        </w:rPr>
      </w:pPr>
      <w:r>
        <w:rPr>
          <w:rFonts w:hint="eastAsia" w:ascii="宋体" w:hAnsi="宋体"/>
          <w:szCs w:val="32"/>
        </w:rPr>
        <w:t>公司一直致力于诚信经营，履行社会义务，善于承担社会责任，积极支持公益事业。公司在多年运营中，倡导“真诚品质，服务人心”的经营理念，注重法律法规的宣传教育工作，恪守经营道德。基本道德规范具体细化详见于《公司员工手册》中。</w:t>
      </w:r>
    </w:p>
    <w:p w14:paraId="4F793A16">
      <w:pPr>
        <w:spacing w:line="360" w:lineRule="auto"/>
        <w:ind w:firstLine="480" w:firstLineChars="200"/>
        <w:rPr>
          <w:rFonts w:ascii="宋体" w:hAnsi="宋体"/>
          <w:szCs w:val="32"/>
        </w:rPr>
      </w:pPr>
      <w:r>
        <w:rPr>
          <w:rFonts w:hint="eastAsia" w:ascii="宋体" w:hAnsi="宋体"/>
          <w:szCs w:val="32"/>
        </w:rPr>
        <w:t>严格控制产品质量，对生产过程执行零缺陷管理，树立社会公德良好形象。履行与供应商、顾客之间的诚信承诺，利用业务恳谈会、定货会、展会，建立良好的客情关系，提高企业信誉度，实现双赢目的。</w:t>
      </w:r>
    </w:p>
    <w:p w14:paraId="78B638CE">
      <w:pPr>
        <w:spacing w:line="360" w:lineRule="auto"/>
        <w:ind w:firstLine="480" w:firstLineChars="200"/>
        <w:rPr>
          <w:rFonts w:ascii="宋体" w:hAnsi="宋体"/>
          <w:szCs w:val="32"/>
        </w:rPr>
      </w:pPr>
      <w:r>
        <w:rPr>
          <w:rFonts w:hint="eastAsia" w:ascii="宋体" w:hAnsi="宋体"/>
          <w:szCs w:val="32"/>
        </w:rPr>
        <w:t>公司高层领导非常重视道德建设，强调诚信经营，遵纪守法，恪守职业道德，积极承担对产品应负的责任和义务。推行《经营道德规范》等行为准则，健全《合同管理制度》。</w:t>
      </w:r>
    </w:p>
    <w:p w14:paraId="04C74BA7">
      <w:pPr>
        <w:pStyle w:val="3"/>
        <w:jc w:val="center"/>
      </w:pPr>
      <w:bookmarkStart w:id="15" w:name="_Toc99720418"/>
      <w:bookmarkStart w:id="16" w:name="_Toc401871371"/>
      <w:r>
        <w:t>4.2</w:t>
      </w:r>
      <w:r>
        <w:rPr>
          <w:rFonts w:hint="eastAsia"/>
        </w:rPr>
        <w:t>战略</w:t>
      </w:r>
      <w:bookmarkEnd w:id="15"/>
      <w:bookmarkEnd w:id="16"/>
    </w:p>
    <w:p w14:paraId="6CAE0235">
      <w:pPr>
        <w:pStyle w:val="4"/>
        <w:tabs>
          <w:tab w:val="left" w:pos="3651"/>
        </w:tabs>
        <w:spacing w:before="312" w:beforeLines="100" w:after="312" w:afterLines="100" w:line="360" w:lineRule="auto"/>
        <w:rPr>
          <w:rFonts w:ascii="Cambria" w:hAnsi="Cambria"/>
          <w:sz w:val="28"/>
          <w:szCs w:val="28"/>
        </w:rPr>
      </w:pPr>
      <w:bookmarkStart w:id="17" w:name="_Toc99720419"/>
      <w:r>
        <w:rPr>
          <w:rFonts w:hint="eastAsia" w:ascii="Cambria" w:hAnsi="Cambria"/>
          <w:sz w:val="28"/>
          <w:szCs w:val="28"/>
        </w:rPr>
        <w:t>4.2.1总则</w:t>
      </w:r>
      <w:bookmarkEnd w:id="17"/>
    </w:p>
    <w:p w14:paraId="6A97A276">
      <w:pPr>
        <w:spacing w:line="360" w:lineRule="auto"/>
        <w:ind w:right="-57" w:firstLine="465"/>
        <w:rPr>
          <w:rFonts w:ascii="宋体" w:hAnsi="宋体" w:cs="Arial"/>
        </w:rPr>
      </w:pPr>
      <w:r>
        <w:rPr>
          <w:rFonts w:ascii="仿宋_GB2312" w:hAnsi="宋体" w:eastAsia="仿宋_GB2312"/>
          <w:sz w:val="28"/>
          <w:szCs w:val="28"/>
        </w:rPr>
        <mc:AlternateContent>
          <mc:Choice Requires="wps">
            <w:drawing>
              <wp:anchor distT="0" distB="0" distL="114300" distR="114300" simplePos="0" relativeHeight="251661312" behindDoc="0" locked="0" layoutInCell="1" allowOverlap="1">
                <wp:simplePos x="0" y="0"/>
                <wp:positionH relativeFrom="column">
                  <wp:posOffset>4800600</wp:posOffset>
                </wp:positionH>
                <wp:positionV relativeFrom="paragraph">
                  <wp:posOffset>2493645</wp:posOffset>
                </wp:positionV>
                <wp:extent cx="0" cy="495300"/>
                <wp:effectExtent l="0" t="0" r="0" b="0"/>
                <wp:wrapNone/>
                <wp:docPr id="15" name="直接连接符 15"/>
                <wp:cNvGraphicFramePr/>
                <a:graphic xmlns:a="http://schemas.openxmlformats.org/drawingml/2006/main">
                  <a:graphicData uri="http://schemas.microsoft.com/office/word/2010/wordprocessingShape">
                    <wps:wsp>
                      <wps:cNvCnPr/>
                      <wps:spPr>
                        <a:xfrm flipV="1">
                          <a:off x="0" y="0"/>
                          <a:ext cx="0" cy="495300"/>
                        </a:xfrm>
                        <a:prstGeom prst="line">
                          <a:avLst/>
                        </a:prstGeom>
                        <a:ln w="1">
                          <a:noFill/>
                        </a:ln>
                        <a:effectLst/>
                      </wps:spPr>
                      <wps:bodyPr/>
                    </wps:wsp>
                  </a:graphicData>
                </a:graphic>
              </wp:anchor>
            </w:drawing>
          </mc:Choice>
          <mc:Fallback>
            <w:pict>
              <v:line id="_x0000_s1026" o:spid="_x0000_s1026" o:spt="20" style="position:absolute;left:0pt;flip:y;margin-left:378pt;margin-top:196.35pt;height:39pt;width:0pt;z-index:251661312;mso-width-relative:page;mso-height-relative:page;" filled="f" stroked="f" coordsize="21600,21600" o:gfxdata="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CI9Hze2gAAAAsB&#10;AAAPAAAAAAAAAAEAIAAAACIAAABkcnMvZG93bnJldi54bWxQSwECFAAUAAAACACHTuJAU+DNiKcB&#10;AABCAwAADgAAAAAAAAABACAAAAApAQAAZHJzL2Uyb0RvYy54bWxQSwUGAAAAAAYABgBZAQAAQgUA&#10;AAAA&#10;">
                <v:fill on="f" focussize="0,0"/>
                <v:stroke on="f" weight="7.8740157480315e-5pt"/>
                <v:imagedata o:title=""/>
                <o:lock v:ext="edit" aspectratio="f"/>
              </v:line>
            </w:pict>
          </mc:Fallback>
        </mc:AlternateContent>
      </w:r>
      <w:r>
        <w:rPr>
          <w:rFonts w:ascii="仿宋_GB2312" w:hAnsi="宋体" w:eastAsia="仿宋_GB2312"/>
          <w:sz w:val="28"/>
          <w:szCs w:val="28"/>
        </w:rPr>
        <mc:AlternateContent>
          <mc:Choice Requires="wps">
            <w:drawing>
              <wp:anchor distT="0" distB="0" distL="114300" distR="114300" simplePos="0" relativeHeight="251662336" behindDoc="0" locked="0" layoutInCell="1" allowOverlap="1">
                <wp:simplePos x="0" y="0"/>
                <wp:positionH relativeFrom="column">
                  <wp:posOffset>4114800</wp:posOffset>
                </wp:positionH>
                <wp:positionV relativeFrom="paragraph">
                  <wp:posOffset>2394585</wp:posOffset>
                </wp:positionV>
                <wp:extent cx="800100" cy="0"/>
                <wp:effectExtent l="0" t="0" r="0" b="0"/>
                <wp:wrapNone/>
                <wp:docPr id="17" name="直接连接符 17"/>
                <wp:cNvGraphicFramePr/>
                <a:graphic xmlns:a="http://schemas.openxmlformats.org/drawingml/2006/main">
                  <a:graphicData uri="http://schemas.microsoft.com/office/word/2010/wordprocessingShape">
                    <wps:wsp>
                      <wps:cNvCnPr/>
                      <wps:spPr>
                        <a:xfrm>
                          <a:off x="0" y="0"/>
                          <a:ext cx="800100" cy="0"/>
                        </a:xfrm>
                        <a:prstGeom prst="line">
                          <a:avLst/>
                        </a:prstGeom>
                        <a:ln w="1">
                          <a:noFill/>
                        </a:ln>
                        <a:effectLst/>
                      </wps:spPr>
                      <wps:bodyPr/>
                    </wps:wsp>
                  </a:graphicData>
                </a:graphic>
              </wp:anchor>
            </w:drawing>
          </mc:Choice>
          <mc:Fallback>
            <w:pict>
              <v:line id="_x0000_s1026" o:spid="_x0000_s1026" o:spt="20" style="position:absolute;left:0pt;margin-left:324pt;margin-top:188.55pt;height:0pt;width:63pt;z-index:251662336;mso-width-relative:page;mso-height-relative:page;" filled="f" stroked="f" coordsize="21600,21600" o:gfxdata="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">
                <v:fill on="f" focussize="0,0"/>
                <v:stroke on="f" weight="7.8740157480315e-5pt"/>
                <v:imagedata o:title=""/>
                <o:lock v:ext="edit" aspectratio="f"/>
              </v:line>
            </w:pict>
          </mc:Fallback>
        </mc:AlternateContent>
      </w:r>
      <w:r>
        <w:rPr>
          <w:rFonts w:hint="eastAsia" w:ascii="宋体" w:hAnsi="宋体"/>
          <w:szCs w:val="32"/>
        </w:rPr>
        <w:t>公司秉承“以今天的远见卓识开创明天的发展空间”的发展观，以使命、愿景、核心价值观为方向，建立科学的传略管理体系，通过细致的战略分析与制定，严密的战略规划、部署、执行、监控措施，针对内外部环境的变化，做出快速反应和战略调整，使公司在激烈的市场竞争中不断发展壮大。</w:t>
      </w:r>
      <w:r>
        <w:rPr>
          <w:rFonts w:hint="eastAsia" w:ascii="宋体" w:hAnsi="宋体" w:cs="Arial"/>
        </w:rPr>
        <w:t>公司建立了完善的战略管理机制，明确了战略管理的部门、职责、流程，形成一个良性的战略管理循环，为经营管理的有序运营提供了战略方向、战略目标和指导纲领。</w:t>
      </w:r>
    </w:p>
    <w:p w14:paraId="564088C5">
      <w:pPr>
        <w:tabs>
          <w:tab w:val="left" w:pos="6930"/>
        </w:tabs>
        <w:autoSpaceDE w:val="0"/>
        <w:autoSpaceDN w:val="0"/>
        <w:adjustRightInd w:val="0"/>
        <w:spacing w:before="4"/>
        <w:rPr>
          <w:rFonts w:ascii="宋体" w:hAnsi="宋体" w:cs="Arial"/>
          <w:b/>
          <w:bCs/>
          <w:szCs w:val="32"/>
        </w:rPr>
      </w:pPr>
      <w:r>
        <w:rPr>
          <w:rFonts w:hint="eastAsia" w:ascii="宋体" w:hAnsi="宋体" w:cs="Arial"/>
          <w:b/>
          <w:bCs/>
          <w:szCs w:val="32"/>
        </w:rPr>
        <w:t>4.2.2  战略制定</w:t>
      </w:r>
    </w:p>
    <w:p w14:paraId="04CBC9BB">
      <w:pPr>
        <w:tabs>
          <w:tab w:val="left" w:pos="6930"/>
        </w:tabs>
        <w:autoSpaceDE w:val="0"/>
        <w:autoSpaceDN w:val="0"/>
        <w:adjustRightInd w:val="0"/>
        <w:spacing w:before="4" w:line="360" w:lineRule="auto"/>
        <w:rPr>
          <w:rFonts w:ascii="宋体" w:hAnsi="宋体" w:cs="Arial"/>
          <w:color w:val="000000"/>
        </w:rPr>
      </w:pPr>
      <w:r>
        <w:rPr>
          <w:rFonts w:hint="eastAsia" w:ascii="宋体" w:hAnsi="宋体" w:cs="Arial"/>
          <w:b/>
          <w:bCs/>
          <w:szCs w:val="32"/>
        </w:rPr>
        <w:t>4.2.2.1</w:t>
      </w:r>
      <w:r>
        <w:rPr>
          <w:rFonts w:hint="eastAsia" w:ascii="宋体" w:hAnsi="宋体" w:cs="宋体"/>
          <w:b/>
          <w:bCs/>
          <w:szCs w:val="32"/>
        </w:rPr>
        <w:t>提要</w:t>
      </w:r>
    </w:p>
    <w:p w14:paraId="1906CE72">
      <w:pPr>
        <w:tabs>
          <w:tab w:val="left" w:pos="6930"/>
        </w:tabs>
        <w:autoSpaceDE w:val="0"/>
        <w:autoSpaceDN w:val="0"/>
        <w:adjustRightInd w:val="0"/>
        <w:spacing w:line="360" w:lineRule="auto"/>
        <w:ind w:firstLine="420"/>
        <w:rPr>
          <w:rFonts w:ascii="宋体" w:hAnsi="宋体" w:cs="Arial"/>
        </w:rPr>
      </w:pPr>
      <w:r>
        <w:rPr>
          <w:rFonts w:hint="eastAsia" w:ascii="宋体" w:hAnsi="宋体" w:cs="Arial"/>
        </w:rPr>
        <w:t>公司从战略制定过程以及战略制定的目标等方面进行了详细的分析和规划。</w:t>
      </w:r>
    </w:p>
    <w:p w14:paraId="352AB824">
      <w:pPr>
        <w:tabs>
          <w:tab w:val="left" w:pos="6930"/>
        </w:tabs>
        <w:autoSpaceDE w:val="0"/>
        <w:autoSpaceDN w:val="0"/>
        <w:adjustRightInd w:val="0"/>
        <w:spacing w:line="360" w:lineRule="auto"/>
        <w:rPr>
          <w:rFonts w:ascii="宋体" w:hAnsi="宋体" w:cs="Arial"/>
        </w:rPr>
      </w:pPr>
      <w:r>
        <w:rPr>
          <w:rFonts w:hint="eastAsia" w:ascii="宋体" w:hAnsi="宋体" w:cs="宋体"/>
          <w:b/>
          <w:bCs/>
          <w:szCs w:val="32"/>
        </w:rPr>
        <w:t>4.2.2.2 战略制定过程</w:t>
      </w:r>
    </w:p>
    <w:p w14:paraId="42E716EB">
      <w:pPr>
        <w:tabs>
          <w:tab w:val="left" w:pos="6930"/>
        </w:tabs>
        <w:autoSpaceDE w:val="0"/>
        <w:autoSpaceDN w:val="0"/>
        <w:adjustRightInd w:val="0"/>
        <w:spacing w:line="360" w:lineRule="auto"/>
        <w:ind w:firstLine="420"/>
        <w:rPr>
          <w:rFonts w:ascii="宋体" w:hAnsi="宋体" w:cs="Arial"/>
        </w:rPr>
      </w:pPr>
      <w:r>
        <w:rPr>
          <w:rFonts w:hint="eastAsia" w:ascii="宋体" w:hAnsi="宋体" w:cs="Arial"/>
        </w:rPr>
        <w:t>公司董事会下设有战略委员会，全面负责战略分析、战略方案、战略部署、战略评价与分析，保证了战略实施的可行性和实施的有效性。</w:t>
      </w:r>
    </w:p>
    <w:p w14:paraId="3667070B">
      <w:pPr>
        <w:spacing w:line="480" w:lineRule="exact"/>
        <w:rPr>
          <w:rFonts w:ascii="宋体" w:hAnsi="宋体"/>
          <w:b/>
        </w:rPr>
      </w:pPr>
      <w:r>
        <w:rPr>
          <w:rFonts w:hint="eastAsia" w:ascii="宋体" w:hAnsi="宋体"/>
          <w:b/>
        </w:rPr>
        <w:t>4.2.2.2.1 系统的策划过程，科学的制定方法</w:t>
      </w:r>
    </w:p>
    <w:p w14:paraId="29860A63">
      <w:pPr>
        <w:spacing w:line="480" w:lineRule="exact"/>
        <w:ind w:firstLine="472" w:firstLineChars="196"/>
        <w:rPr>
          <w:rFonts w:ascii="宋体" w:hAnsi="宋体"/>
          <w:b/>
        </w:rPr>
      </w:pPr>
      <w:r>
        <w:rPr>
          <w:rFonts w:hint="eastAsia" w:ascii="宋体" w:hAnsi="宋体"/>
          <w:b/>
        </w:rPr>
        <w:t>a) 高层主持，多方共同参与</w:t>
      </w:r>
    </w:p>
    <w:p w14:paraId="16494631">
      <w:pPr>
        <w:spacing w:line="480" w:lineRule="exact"/>
        <w:ind w:firstLine="480" w:firstLineChars="200"/>
        <w:rPr>
          <w:rFonts w:ascii="宋体" w:hAnsi="宋体"/>
        </w:rPr>
      </w:pPr>
      <w:r>
        <w:rPr>
          <w:rFonts w:hint="eastAsia" w:ascii="宋体" w:hAnsi="宋体"/>
        </w:rPr>
        <w:t>公司成立了由董事长亲自挂帅、由董事会成员、高层领导、外部专家和主要职能部门领导组成的战略委员会。主要负责对公司发展战略和重大投资决策进行研究，提出方案，并对董事会负责。</w:t>
      </w:r>
    </w:p>
    <w:p w14:paraId="1416918E">
      <w:pPr>
        <w:spacing w:line="480" w:lineRule="exact"/>
        <w:ind w:firstLine="472" w:firstLineChars="196"/>
        <w:rPr>
          <w:rFonts w:ascii="宋体" w:hAnsi="宋体"/>
          <w:b/>
        </w:rPr>
      </w:pPr>
      <w:r>
        <w:rPr>
          <w:rFonts w:hint="eastAsia" w:ascii="宋体" w:hAnsi="宋体"/>
          <w:b/>
        </w:rPr>
        <w:t>b) 成熟的战略制定过程</w:t>
      </w:r>
    </w:p>
    <w:p w14:paraId="40DAC090">
      <w:pPr>
        <w:spacing w:line="480" w:lineRule="exact"/>
        <w:ind w:firstLine="480" w:firstLineChars="200"/>
        <w:rPr>
          <w:rFonts w:ascii="宋体" w:hAnsi="宋体"/>
        </w:rPr>
      </w:pPr>
      <w:r>
        <w:rPr>
          <w:rFonts w:hint="eastAsia" w:ascii="宋体" w:hAnsi="宋体"/>
        </w:rPr>
        <w:t>公司采用理性的战略制定方法，主要是通过前期调研，环境分析，战略目标设定及分解，实现目标的策略，制定评估业绩的标准等步骤对企业的战略规划进行系统的分析与判断，战略由各职能部门领导及组员群策群力，共同参与。</w:t>
      </w:r>
    </w:p>
    <w:p w14:paraId="231A3532">
      <w:pPr>
        <w:spacing w:line="480" w:lineRule="exact"/>
        <w:ind w:left="480"/>
        <w:rPr>
          <w:rFonts w:ascii="宋体" w:hAnsi="宋体"/>
        </w:rPr>
      </w:pPr>
      <w:r>
        <w:rPr>
          <w:rFonts w:hint="eastAsia" w:ascii="宋体" w:hAnsi="宋体"/>
          <w:b/>
        </w:rPr>
        <w:t>1) 战略分析:</w:t>
      </w:r>
      <w:r>
        <w:rPr>
          <w:rFonts w:hint="eastAsia" w:ascii="宋体" w:hAnsi="宋体"/>
        </w:rPr>
        <w:t>主要包括前期调研、环境分析、SWOT分析、企业资源与能力</w:t>
      </w:r>
    </w:p>
    <w:p w14:paraId="3F7793AF">
      <w:pPr>
        <w:spacing w:line="360" w:lineRule="auto"/>
        <w:rPr>
          <w:rFonts w:ascii="宋体" w:hAnsi="宋体"/>
        </w:rPr>
      </w:pPr>
      <w:r>
        <w:rPr>
          <w:rFonts w:hint="eastAsia" w:ascii="宋体" w:hAnsi="宋体"/>
        </w:rPr>
        <w:t>分析等。在制定战略规划前期，对内外部信息进行采集、整理、分析、筛选、加工等处理。对国家政治、经济、文化和技术、行业、竞争对手和标杆企业、市场和顾客等方面的信息进行分析，识别出外部获得的机会（O）和面临的威胁（T）；用KSF（关键成功要素）法对内部环境进行分析，主要是对公司使命、愿景、战略运行效果、人力、物力、财力、产品、技术等有形资源和无形资源的利用状况，企业文化和组织结构，价值链和竞争能力等方面的信息进行分析，识别出内部具有的优势（S）和存在的劣势（W）。战略编制流程图见图4.2-2</w:t>
      </w:r>
    </w:p>
    <w:p w14:paraId="69697637">
      <w:pPr>
        <w:adjustRightInd w:val="0"/>
        <w:snapToGrid w:val="0"/>
        <w:spacing w:after="93" w:afterLines="30" w:line="480" w:lineRule="auto"/>
        <w:ind w:firstLine="420"/>
        <w:jc w:val="center"/>
      </w:pPr>
      <w:r>
        <w:drawing>
          <wp:inline distT="0" distB="0" distL="114300" distR="114300">
            <wp:extent cx="3420110" cy="4007485"/>
            <wp:effectExtent l="0" t="0" r="8890" b="12065"/>
            <wp:docPr id="6" name="图片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91"/>
                    <pic:cNvPicPr>
                      <a:picLocks noChangeAspect="1"/>
                    </pic:cNvPicPr>
                  </pic:nvPicPr>
                  <pic:blipFill>
                    <a:blip r:embed="rId13"/>
                    <a:stretch>
                      <a:fillRect/>
                    </a:stretch>
                  </pic:blipFill>
                  <pic:spPr>
                    <a:xfrm>
                      <a:off x="0" y="0"/>
                      <a:ext cx="3420110" cy="4007485"/>
                    </a:xfrm>
                    <a:prstGeom prst="rect">
                      <a:avLst/>
                    </a:prstGeom>
                    <a:noFill/>
                    <a:ln>
                      <a:noFill/>
                    </a:ln>
                  </pic:spPr>
                </pic:pic>
              </a:graphicData>
            </a:graphic>
          </wp:inline>
        </w:drawing>
      </w:r>
    </w:p>
    <w:p w14:paraId="0DE90D6D">
      <w:pPr>
        <w:adjustRightInd w:val="0"/>
        <w:snapToGrid w:val="0"/>
        <w:spacing w:after="93" w:afterLines="30" w:line="480" w:lineRule="auto"/>
        <w:ind w:firstLine="420"/>
        <w:jc w:val="center"/>
        <w:rPr>
          <w:rFonts w:ascii="宋体" w:hAnsi="宋体"/>
          <w:b/>
        </w:rPr>
      </w:pPr>
      <w:r>
        <w:rPr>
          <w:rFonts w:ascii="宋体" w:hAnsi="宋体"/>
          <w:b/>
        </w:rPr>
        <w:t>图4.2-2</w:t>
      </w:r>
      <w:r>
        <w:rPr>
          <w:rFonts w:hint="eastAsia" w:ascii="宋体" w:hAnsi="宋体"/>
          <w:b/>
        </w:rPr>
        <w:t xml:space="preserve"> 战略制定过程图</w:t>
      </w:r>
    </w:p>
    <w:p w14:paraId="40B4C239">
      <w:pPr>
        <w:spacing w:before="156" w:beforeLines="50" w:line="460" w:lineRule="exact"/>
        <w:ind w:firstLine="472" w:firstLineChars="196"/>
        <w:rPr>
          <w:rFonts w:ascii="宋体" w:hAnsi="宋体"/>
        </w:rPr>
      </w:pPr>
      <w:bookmarkStart w:id="18" w:name="_Toc326588099"/>
      <w:r>
        <w:rPr>
          <w:rFonts w:hint="eastAsia" w:ascii="宋体" w:hAnsi="宋体"/>
          <w:b/>
        </w:rPr>
        <w:t>2) 战略目标的设定与分解：</w:t>
      </w:r>
      <w:r>
        <w:rPr>
          <w:rFonts w:hint="eastAsia" w:ascii="宋体" w:hAnsi="宋体"/>
        </w:rPr>
        <w:t>战略委员会根据战略分析提出公司战略方向及目标，各分管领导对过去工作情况进行总结分析的基础上，对未来发展作出预测分析，并在领导班子会议上进行讨论，提出公司经营战略目标及方案。董事会审议并通过领导班子提出的经营战略目标及方案，再把目标分解落实，制定相应的细分策略。</w:t>
      </w:r>
    </w:p>
    <w:p w14:paraId="718BE450">
      <w:pPr>
        <w:spacing w:line="460" w:lineRule="exact"/>
        <w:ind w:firstLine="482" w:firstLineChars="200"/>
        <w:rPr>
          <w:rFonts w:ascii="宋体" w:hAnsi="宋体"/>
        </w:rPr>
      </w:pPr>
      <w:r>
        <w:rPr>
          <w:rFonts w:hint="eastAsia" w:ascii="宋体" w:hAnsi="宋体"/>
          <w:b/>
        </w:rPr>
        <w:t>3) 业绩评估标准的制定及战略执行的跟踪调整：</w:t>
      </w:r>
      <w:r>
        <w:rPr>
          <w:rFonts w:hint="eastAsia" w:ascii="宋体" w:hAnsi="宋体"/>
        </w:rPr>
        <w:t>由总经理牵头，与相关部门一起根据领导班子制定的经营战略目标，参照部门职责的划分，层层分解，并根据指标制定相应的评估标准，对指标的完成情况进行跟踪。一旦环境因素发生突变，或者指标完成情况出现大的偏差，则根据实际完成情况及对未来环境因素的预测进行调整。</w:t>
      </w:r>
    </w:p>
    <w:p w14:paraId="1EC2C893">
      <w:pPr>
        <w:spacing w:line="460" w:lineRule="exact"/>
        <w:ind w:firstLine="472" w:firstLineChars="196"/>
        <w:rPr>
          <w:rFonts w:ascii="宋体" w:hAnsi="宋体"/>
          <w:b/>
        </w:rPr>
      </w:pPr>
      <w:r>
        <w:rPr>
          <w:rFonts w:hint="eastAsia" w:ascii="宋体" w:hAnsi="宋体"/>
          <w:b/>
        </w:rPr>
        <w:t>c) 战略长短期计划时间区间</w:t>
      </w:r>
    </w:p>
    <w:p w14:paraId="31957E74">
      <w:pPr>
        <w:spacing w:line="460" w:lineRule="exact"/>
        <w:ind w:firstLine="482" w:firstLineChars="200"/>
        <w:rPr>
          <w:rFonts w:ascii="宋体" w:hAnsi="宋体"/>
          <w:b/>
        </w:rPr>
      </w:pPr>
      <w:r>
        <w:rPr>
          <w:rFonts w:hint="eastAsia" w:ascii="宋体" w:hAnsi="宋体"/>
          <w:b/>
        </w:rPr>
        <w:t>1) 长、短期计划时间区间</w:t>
      </w:r>
    </w:p>
    <w:p w14:paraId="4F20F3D1">
      <w:pPr>
        <w:spacing w:line="460" w:lineRule="exact"/>
        <w:ind w:firstLine="480" w:firstLineChars="200"/>
        <w:rPr>
          <w:rFonts w:ascii="宋体" w:hAnsi="宋体"/>
        </w:rPr>
      </w:pPr>
      <w:r>
        <w:rPr>
          <w:rFonts w:hint="eastAsia" w:ascii="宋体" w:hAnsi="宋体"/>
        </w:rPr>
        <w:t>公司战略规划分为中长期战略规划和短期战略规划，中长期规划年限为3～5年。短期战略规划年限为1年。短期规划的制定是围绕中长期规划制定的。</w:t>
      </w:r>
    </w:p>
    <w:p w14:paraId="3E36844C">
      <w:pPr>
        <w:spacing w:line="460" w:lineRule="exact"/>
        <w:ind w:firstLine="482" w:firstLineChars="200"/>
        <w:rPr>
          <w:rFonts w:ascii="宋体" w:hAnsi="宋体"/>
          <w:b/>
        </w:rPr>
      </w:pPr>
      <w:r>
        <w:rPr>
          <w:rFonts w:hint="eastAsia" w:ascii="宋体" w:hAnsi="宋体"/>
          <w:b/>
        </w:rPr>
        <w:t>2) 战略制定过程与长、短期计划区间的适应性</w:t>
      </w:r>
    </w:p>
    <w:p w14:paraId="4C7E3C9D">
      <w:pPr>
        <w:spacing w:line="460" w:lineRule="exact"/>
        <w:ind w:firstLine="480" w:firstLineChars="200"/>
        <w:rPr>
          <w:rFonts w:ascii="宋体" w:hAnsi="宋体"/>
        </w:rPr>
      </w:pPr>
      <w:r>
        <w:rPr>
          <w:rFonts w:hint="eastAsia" w:ascii="宋体" w:hAnsi="宋体"/>
        </w:rPr>
        <w:t>公司召开年度工作会议、代表大会、董事会，对本年度战略实施情况进行分析和评价，制定下一年度公司经营目标和年度计划，确保公司战略制定与长、短期计划区间相适应。</w:t>
      </w:r>
    </w:p>
    <w:p w14:paraId="21E8272F">
      <w:pPr>
        <w:spacing w:line="60" w:lineRule="exact"/>
        <w:rPr>
          <w:rFonts w:ascii="宋体" w:hAnsi="宋体"/>
          <w:b/>
        </w:rPr>
      </w:pPr>
    </w:p>
    <w:p w14:paraId="6233E8E0">
      <w:pPr>
        <w:spacing w:line="460" w:lineRule="exact"/>
        <w:rPr>
          <w:rFonts w:ascii="宋体" w:hAnsi="宋体"/>
          <w:b/>
        </w:rPr>
      </w:pPr>
      <w:r>
        <w:rPr>
          <w:rFonts w:hint="eastAsia" w:ascii="宋体" w:hAnsi="宋体"/>
          <w:b/>
        </w:rPr>
        <w:t>4.2.2.2.2 全面收集信息，科学分析关键因素</w:t>
      </w:r>
    </w:p>
    <w:p w14:paraId="7C79B90E">
      <w:pPr>
        <w:spacing w:line="460" w:lineRule="exact"/>
        <w:ind w:firstLine="460" w:firstLineChars="191"/>
        <w:rPr>
          <w:rFonts w:ascii="宋体" w:hAnsi="宋体"/>
          <w:b/>
        </w:rPr>
      </w:pPr>
      <w:r>
        <w:rPr>
          <w:rFonts w:hint="eastAsia" w:ascii="宋体" w:hAnsi="宋体"/>
          <w:b/>
        </w:rPr>
        <w:t>a）全面收集信息数据</w:t>
      </w:r>
    </w:p>
    <w:p w14:paraId="64BD4C90">
      <w:pPr>
        <w:spacing w:line="460" w:lineRule="exact"/>
        <w:ind w:firstLine="480" w:firstLineChars="200"/>
        <w:rPr>
          <w:rFonts w:ascii="宋体" w:hAnsi="宋体"/>
        </w:rPr>
      </w:pPr>
      <w:r>
        <w:rPr>
          <w:rFonts w:hint="eastAsia" w:ascii="宋体" w:hAnsi="宋体"/>
        </w:rPr>
        <w:t>公司在战略策划过程中，充分考虑关键因素，并对关键因素信息进行全面收集和科学分析。</w:t>
      </w:r>
    </w:p>
    <w:p w14:paraId="4D2F2187">
      <w:pPr>
        <w:spacing w:line="460" w:lineRule="exact"/>
        <w:ind w:firstLine="2168" w:firstLineChars="900"/>
        <w:rPr>
          <w:rFonts w:ascii="宋体" w:hAnsi="宋体"/>
        </w:rPr>
      </w:pPr>
      <w:r>
        <w:rPr>
          <w:rFonts w:hint="eastAsia" w:ascii="宋体" w:hAnsi="宋体"/>
          <w:b/>
        </w:rPr>
        <w:t>表4.2-1关键因素信息收集与分析</w:t>
      </w:r>
    </w:p>
    <w:tbl>
      <w:tblPr>
        <w:tblStyle w:val="22"/>
        <w:tblW w:w="946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57" w:type="dxa"/>
          <w:left w:w="0" w:type="dxa"/>
          <w:bottom w:w="57" w:type="dxa"/>
          <w:right w:w="0" w:type="dxa"/>
        </w:tblCellMar>
      </w:tblPr>
      <w:tblGrid>
        <w:gridCol w:w="401"/>
        <w:gridCol w:w="717"/>
        <w:gridCol w:w="1475"/>
        <w:gridCol w:w="2308"/>
        <w:gridCol w:w="2319"/>
        <w:gridCol w:w="1136"/>
        <w:gridCol w:w="1108"/>
      </w:tblGrid>
      <w:tr w14:paraId="0088CB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0" w:type="dxa"/>
            <w:bottom w:w="57" w:type="dxa"/>
            <w:right w:w="0" w:type="dxa"/>
          </w:tblCellMar>
        </w:tblPrEx>
        <w:trPr>
          <w:trHeight w:val="333" w:hRule="atLeast"/>
          <w:jc w:val="center"/>
        </w:trPr>
        <w:tc>
          <w:tcPr>
            <w:tcW w:w="1118" w:type="dxa"/>
            <w:gridSpan w:val="2"/>
            <w:tcBorders>
              <w:top w:val="single" w:color="auto" w:sz="12" w:space="0"/>
              <w:bottom w:val="single" w:color="auto" w:sz="6" w:space="0"/>
              <w:right w:val="single" w:color="auto" w:sz="4" w:space="0"/>
            </w:tcBorders>
            <w:shd w:val="clear" w:color="auto" w:fill="757070"/>
            <w:noWrap/>
            <w:vAlign w:val="center"/>
          </w:tcPr>
          <w:p w14:paraId="2426237E">
            <w:pPr>
              <w:adjustRightInd w:val="0"/>
              <w:snapToGrid w:val="0"/>
              <w:ind w:firstLine="103" w:firstLineChars="49"/>
              <w:rPr>
                <w:rFonts w:ascii="宋体" w:hAnsi="宋体"/>
                <w:b/>
                <w:kern w:val="2"/>
                <w:sz w:val="21"/>
                <w:szCs w:val="21"/>
              </w:rPr>
            </w:pPr>
            <w:r>
              <w:rPr>
                <w:rFonts w:hint="eastAsia" w:ascii="宋体" w:hAnsi="宋体"/>
                <w:b/>
                <w:kern w:val="2"/>
                <w:sz w:val="21"/>
                <w:szCs w:val="21"/>
              </w:rPr>
              <w:t>信息类别</w:t>
            </w:r>
          </w:p>
        </w:tc>
        <w:tc>
          <w:tcPr>
            <w:tcW w:w="1475" w:type="dxa"/>
            <w:tcBorders>
              <w:top w:val="single" w:color="auto" w:sz="12" w:space="0"/>
              <w:left w:val="single" w:color="auto" w:sz="4" w:space="0"/>
              <w:bottom w:val="single" w:color="auto" w:sz="6" w:space="0"/>
            </w:tcBorders>
            <w:shd w:val="clear" w:color="auto" w:fill="757070"/>
            <w:noWrap/>
            <w:vAlign w:val="center"/>
          </w:tcPr>
          <w:p w14:paraId="662C5E61">
            <w:pPr>
              <w:adjustRightInd w:val="0"/>
              <w:snapToGrid w:val="0"/>
              <w:jc w:val="center"/>
              <w:rPr>
                <w:rFonts w:ascii="宋体" w:hAnsi="宋体"/>
                <w:b/>
                <w:kern w:val="2"/>
                <w:sz w:val="21"/>
                <w:szCs w:val="21"/>
              </w:rPr>
            </w:pPr>
            <w:r>
              <w:rPr>
                <w:rFonts w:hint="eastAsia" w:ascii="宋体" w:hAnsi="宋体"/>
                <w:b/>
                <w:kern w:val="2"/>
                <w:sz w:val="21"/>
                <w:szCs w:val="21"/>
              </w:rPr>
              <w:t>主要渠道</w:t>
            </w:r>
          </w:p>
        </w:tc>
        <w:tc>
          <w:tcPr>
            <w:tcW w:w="2308" w:type="dxa"/>
            <w:tcBorders>
              <w:top w:val="single" w:color="auto" w:sz="12" w:space="0"/>
              <w:bottom w:val="single" w:color="auto" w:sz="6" w:space="0"/>
              <w:right w:val="single" w:color="auto" w:sz="4" w:space="0"/>
            </w:tcBorders>
            <w:shd w:val="clear" w:color="auto" w:fill="757070"/>
            <w:noWrap/>
            <w:vAlign w:val="center"/>
          </w:tcPr>
          <w:p w14:paraId="4F2DA5A0">
            <w:pPr>
              <w:adjustRightInd w:val="0"/>
              <w:snapToGrid w:val="0"/>
              <w:ind w:firstLine="723" w:firstLineChars="343"/>
              <w:rPr>
                <w:rFonts w:ascii="宋体" w:hAnsi="宋体"/>
                <w:b/>
                <w:kern w:val="2"/>
                <w:sz w:val="21"/>
                <w:szCs w:val="21"/>
              </w:rPr>
            </w:pPr>
            <w:r>
              <w:rPr>
                <w:rFonts w:hint="eastAsia" w:ascii="宋体" w:hAnsi="宋体"/>
                <w:b/>
                <w:kern w:val="2"/>
                <w:sz w:val="21"/>
                <w:szCs w:val="21"/>
              </w:rPr>
              <w:t>关键因素</w:t>
            </w:r>
          </w:p>
        </w:tc>
        <w:tc>
          <w:tcPr>
            <w:tcW w:w="2319" w:type="dxa"/>
            <w:tcBorders>
              <w:top w:val="single" w:color="auto" w:sz="12" w:space="0"/>
              <w:left w:val="single" w:color="auto" w:sz="4" w:space="0"/>
              <w:bottom w:val="single" w:color="auto" w:sz="6" w:space="0"/>
            </w:tcBorders>
            <w:shd w:val="clear" w:color="auto" w:fill="757070"/>
            <w:noWrap/>
            <w:vAlign w:val="center"/>
          </w:tcPr>
          <w:p w14:paraId="2537C4AB">
            <w:pPr>
              <w:adjustRightInd w:val="0"/>
              <w:snapToGrid w:val="0"/>
              <w:ind w:firstLine="826" w:firstLineChars="392"/>
              <w:rPr>
                <w:rFonts w:ascii="宋体" w:hAnsi="宋体"/>
                <w:b/>
                <w:kern w:val="2"/>
                <w:sz w:val="21"/>
                <w:szCs w:val="21"/>
              </w:rPr>
            </w:pPr>
            <w:r>
              <w:rPr>
                <w:rFonts w:hint="eastAsia" w:ascii="宋体" w:hAnsi="宋体"/>
                <w:b/>
                <w:kern w:val="2"/>
                <w:sz w:val="21"/>
                <w:szCs w:val="21"/>
              </w:rPr>
              <w:t>主要内容</w:t>
            </w:r>
          </w:p>
        </w:tc>
        <w:tc>
          <w:tcPr>
            <w:tcW w:w="1136" w:type="dxa"/>
            <w:tcBorders>
              <w:top w:val="single" w:color="auto" w:sz="12" w:space="0"/>
              <w:bottom w:val="single" w:color="auto" w:sz="6" w:space="0"/>
              <w:right w:val="single" w:color="auto" w:sz="4" w:space="0"/>
            </w:tcBorders>
            <w:shd w:val="clear" w:color="auto" w:fill="757070"/>
            <w:noWrap/>
            <w:vAlign w:val="center"/>
          </w:tcPr>
          <w:p w14:paraId="678089EB">
            <w:pPr>
              <w:adjustRightInd w:val="0"/>
              <w:snapToGrid w:val="0"/>
              <w:ind w:firstLine="103" w:firstLineChars="49"/>
              <w:rPr>
                <w:rFonts w:ascii="宋体" w:hAnsi="宋体"/>
                <w:b/>
                <w:kern w:val="2"/>
                <w:sz w:val="21"/>
                <w:szCs w:val="21"/>
              </w:rPr>
            </w:pPr>
            <w:r>
              <w:rPr>
                <w:rFonts w:hint="eastAsia" w:ascii="宋体" w:hAnsi="宋体"/>
                <w:b/>
                <w:kern w:val="2"/>
                <w:sz w:val="21"/>
                <w:szCs w:val="21"/>
              </w:rPr>
              <w:t>分析方法</w:t>
            </w:r>
          </w:p>
        </w:tc>
        <w:tc>
          <w:tcPr>
            <w:tcW w:w="1108" w:type="dxa"/>
            <w:tcBorders>
              <w:top w:val="single" w:color="auto" w:sz="12" w:space="0"/>
              <w:left w:val="single" w:color="auto" w:sz="4" w:space="0"/>
              <w:bottom w:val="single" w:color="auto" w:sz="6" w:space="0"/>
            </w:tcBorders>
            <w:shd w:val="clear" w:color="auto" w:fill="757070"/>
            <w:noWrap/>
            <w:vAlign w:val="center"/>
          </w:tcPr>
          <w:p w14:paraId="4937E63F">
            <w:pPr>
              <w:adjustRightInd w:val="0"/>
              <w:snapToGrid w:val="0"/>
              <w:ind w:firstLine="103" w:firstLineChars="49"/>
              <w:rPr>
                <w:rFonts w:ascii="宋体" w:hAnsi="宋体"/>
                <w:b/>
                <w:kern w:val="2"/>
                <w:sz w:val="21"/>
                <w:szCs w:val="21"/>
              </w:rPr>
            </w:pPr>
            <w:r>
              <w:rPr>
                <w:rFonts w:hint="eastAsia" w:ascii="宋体" w:hAnsi="宋体"/>
                <w:b/>
                <w:kern w:val="2"/>
                <w:sz w:val="21"/>
                <w:szCs w:val="21"/>
              </w:rPr>
              <w:t>职能部门</w:t>
            </w:r>
          </w:p>
        </w:tc>
      </w:tr>
      <w:tr w14:paraId="2B970F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0" w:type="dxa"/>
            <w:bottom w:w="57" w:type="dxa"/>
            <w:right w:w="0" w:type="dxa"/>
          </w:tblCellMar>
        </w:tblPrEx>
        <w:trPr>
          <w:trHeight w:val="947" w:hRule="atLeast"/>
          <w:jc w:val="center"/>
        </w:trPr>
        <w:tc>
          <w:tcPr>
            <w:tcW w:w="401" w:type="dxa"/>
            <w:vMerge w:val="restart"/>
            <w:tcBorders>
              <w:top w:val="single" w:color="auto" w:sz="6" w:space="0"/>
            </w:tcBorders>
            <w:noWrap/>
            <w:vAlign w:val="center"/>
          </w:tcPr>
          <w:p w14:paraId="1AF81FE0">
            <w:pPr>
              <w:adjustRightInd w:val="0"/>
              <w:snapToGrid w:val="0"/>
              <w:jc w:val="center"/>
              <w:rPr>
                <w:rFonts w:ascii="宋体" w:hAnsi="宋体"/>
                <w:kern w:val="2"/>
                <w:sz w:val="21"/>
                <w:szCs w:val="21"/>
              </w:rPr>
            </w:pPr>
            <w:r>
              <w:rPr>
                <w:rFonts w:hint="eastAsia" w:ascii="宋体" w:hAnsi="宋体"/>
                <w:kern w:val="2"/>
                <w:sz w:val="21"/>
                <w:szCs w:val="21"/>
              </w:rPr>
              <w:t>外</w:t>
            </w:r>
          </w:p>
          <w:p w14:paraId="3BEBA60C">
            <w:pPr>
              <w:adjustRightInd w:val="0"/>
              <w:snapToGrid w:val="0"/>
              <w:jc w:val="center"/>
              <w:rPr>
                <w:rFonts w:ascii="宋体" w:hAnsi="宋体"/>
                <w:kern w:val="2"/>
                <w:sz w:val="21"/>
                <w:szCs w:val="21"/>
              </w:rPr>
            </w:pPr>
            <w:r>
              <w:rPr>
                <w:rFonts w:hint="eastAsia" w:ascii="宋体" w:hAnsi="宋体"/>
                <w:kern w:val="2"/>
                <w:sz w:val="21"/>
                <w:szCs w:val="21"/>
              </w:rPr>
              <w:t>部</w:t>
            </w:r>
          </w:p>
          <w:p w14:paraId="5A4DFF40">
            <w:pPr>
              <w:adjustRightInd w:val="0"/>
              <w:snapToGrid w:val="0"/>
              <w:jc w:val="center"/>
              <w:rPr>
                <w:rFonts w:ascii="宋体" w:hAnsi="宋体"/>
                <w:kern w:val="2"/>
                <w:sz w:val="21"/>
                <w:szCs w:val="21"/>
              </w:rPr>
            </w:pPr>
            <w:r>
              <w:rPr>
                <w:rFonts w:hint="eastAsia" w:ascii="宋体" w:hAnsi="宋体"/>
                <w:kern w:val="2"/>
                <w:sz w:val="21"/>
                <w:szCs w:val="21"/>
              </w:rPr>
              <w:t>信</w:t>
            </w:r>
          </w:p>
          <w:p w14:paraId="7D461728">
            <w:pPr>
              <w:adjustRightInd w:val="0"/>
              <w:snapToGrid w:val="0"/>
              <w:jc w:val="center"/>
              <w:rPr>
                <w:rFonts w:ascii="宋体" w:hAnsi="宋体"/>
                <w:kern w:val="2"/>
                <w:sz w:val="21"/>
                <w:szCs w:val="21"/>
              </w:rPr>
            </w:pPr>
            <w:r>
              <w:rPr>
                <w:rFonts w:hint="eastAsia" w:ascii="宋体" w:hAnsi="宋体"/>
                <w:kern w:val="2"/>
                <w:sz w:val="21"/>
                <w:szCs w:val="21"/>
              </w:rPr>
              <w:t>息</w:t>
            </w:r>
          </w:p>
        </w:tc>
        <w:tc>
          <w:tcPr>
            <w:tcW w:w="717" w:type="dxa"/>
            <w:tcBorders>
              <w:top w:val="single" w:color="auto" w:sz="6" w:space="0"/>
              <w:right w:val="single" w:color="auto" w:sz="4" w:space="0"/>
            </w:tcBorders>
            <w:noWrap/>
            <w:tcMar>
              <w:left w:w="108" w:type="dxa"/>
              <w:right w:w="108" w:type="dxa"/>
            </w:tcMar>
            <w:vAlign w:val="center"/>
          </w:tcPr>
          <w:p w14:paraId="04F362BB">
            <w:pPr>
              <w:adjustRightInd w:val="0"/>
              <w:snapToGrid w:val="0"/>
              <w:rPr>
                <w:rFonts w:ascii="宋体" w:hAnsi="宋体"/>
                <w:vanish/>
                <w:kern w:val="2"/>
                <w:sz w:val="21"/>
                <w:szCs w:val="21"/>
              </w:rPr>
            </w:pPr>
            <w:r>
              <w:rPr>
                <w:rFonts w:hint="eastAsia" w:ascii="宋体" w:hAnsi="宋体"/>
                <w:kern w:val="2"/>
                <w:sz w:val="21"/>
                <w:szCs w:val="21"/>
              </w:rPr>
              <w:t>宏观环境</w:t>
            </w:r>
          </w:p>
        </w:tc>
        <w:tc>
          <w:tcPr>
            <w:tcW w:w="1475" w:type="dxa"/>
            <w:vMerge w:val="restart"/>
            <w:tcBorders>
              <w:top w:val="single" w:color="auto" w:sz="6" w:space="0"/>
              <w:left w:val="single" w:color="auto" w:sz="4" w:space="0"/>
            </w:tcBorders>
            <w:noWrap/>
            <w:vAlign w:val="center"/>
          </w:tcPr>
          <w:p w14:paraId="081F4387">
            <w:pPr>
              <w:adjustRightInd w:val="0"/>
              <w:snapToGrid w:val="0"/>
              <w:rPr>
                <w:rFonts w:ascii="宋体" w:hAnsi="宋体"/>
                <w:kern w:val="2"/>
                <w:sz w:val="21"/>
                <w:szCs w:val="21"/>
              </w:rPr>
            </w:pPr>
          </w:p>
          <w:p w14:paraId="326E503C">
            <w:pPr>
              <w:adjustRightInd w:val="0"/>
              <w:snapToGrid w:val="0"/>
              <w:jc w:val="center"/>
              <w:rPr>
                <w:rFonts w:ascii="宋体" w:hAnsi="宋体"/>
                <w:kern w:val="2"/>
                <w:sz w:val="21"/>
                <w:szCs w:val="21"/>
              </w:rPr>
            </w:pPr>
            <w:r>
              <w:rPr>
                <w:rFonts w:hint="eastAsia" w:ascii="宋体" w:hAnsi="宋体"/>
                <w:kern w:val="2"/>
                <w:sz w:val="21"/>
                <w:szCs w:val="21"/>
              </w:rPr>
              <w:t>主流媒体</w:t>
            </w:r>
          </w:p>
          <w:p w14:paraId="4D08DE7F">
            <w:pPr>
              <w:adjustRightInd w:val="0"/>
              <w:snapToGrid w:val="0"/>
              <w:jc w:val="center"/>
              <w:rPr>
                <w:rFonts w:ascii="宋体" w:hAnsi="宋体"/>
                <w:kern w:val="2"/>
                <w:sz w:val="21"/>
                <w:szCs w:val="21"/>
              </w:rPr>
            </w:pPr>
            <w:r>
              <w:rPr>
                <w:rFonts w:hint="eastAsia" w:ascii="宋体" w:hAnsi="宋体"/>
                <w:kern w:val="2"/>
                <w:sz w:val="21"/>
                <w:szCs w:val="21"/>
              </w:rPr>
              <w:t>权威杂志</w:t>
            </w:r>
          </w:p>
          <w:p w14:paraId="684C79AA">
            <w:pPr>
              <w:adjustRightInd w:val="0"/>
              <w:snapToGrid w:val="0"/>
              <w:jc w:val="center"/>
              <w:rPr>
                <w:rFonts w:ascii="宋体" w:hAnsi="宋体"/>
                <w:kern w:val="2"/>
                <w:sz w:val="21"/>
                <w:szCs w:val="21"/>
              </w:rPr>
            </w:pPr>
            <w:r>
              <w:rPr>
                <w:rFonts w:hint="eastAsia" w:ascii="宋体" w:hAnsi="宋体"/>
                <w:kern w:val="2"/>
                <w:sz w:val="21"/>
                <w:szCs w:val="21"/>
              </w:rPr>
              <w:t>行业网站</w:t>
            </w:r>
          </w:p>
          <w:p w14:paraId="58E44C31">
            <w:pPr>
              <w:adjustRightInd w:val="0"/>
              <w:snapToGrid w:val="0"/>
              <w:jc w:val="center"/>
              <w:rPr>
                <w:rFonts w:ascii="宋体" w:hAnsi="宋体"/>
                <w:kern w:val="2"/>
                <w:sz w:val="21"/>
                <w:szCs w:val="21"/>
              </w:rPr>
            </w:pPr>
            <w:r>
              <w:rPr>
                <w:rFonts w:hint="eastAsia" w:ascii="宋体" w:hAnsi="宋体"/>
                <w:kern w:val="2"/>
                <w:sz w:val="21"/>
                <w:szCs w:val="21"/>
              </w:rPr>
              <w:t>咨询机构</w:t>
            </w:r>
          </w:p>
          <w:p w14:paraId="494BE10C">
            <w:pPr>
              <w:adjustRightInd w:val="0"/>
              <w:snapToGrid w:val="0"/>
              <w:jc w:val="center"/>
              <w:rPr>
                <w:rFonts w:ascii="宋体" w:hAnsi="宋体"/>
                <w:kern w:val="2"/>
                <w:sz w:val="21"/>
                <w:szCs w:val="21"/>
              </w:rPr>
            </w:pPr>
            <w:r>
              <w:rPr>
                <w:rFonts w:hint="eastAsia" w:ascii="宋体" w:hAnsi="宋体"/>
                <w:kern w:val="2"/>
                <w:sz w:val="21"/>
                <w:szCs w:val="21"/>
              </w:rPr>
              <w:t>标杆网站</w:t>
            </w:r>
          </w:p>
          <w:p w14:paraId="7F055CC0">
            <w:pPr>
              <w:adjustRightInd w:val="0"/>
              <w:snapToGrid w:val="0"/>
              <w:jc w:val="center"/>
              <w:rPr>
                <w:rFonts w:ascii="宋体" w:hAnsi="宋体"/>
                <w:kern w:val="2"/>
                <w:sz w:val="21"/>
                <w:szCs w:val="21"/>
              </w:rPr>
            </w:pPr>
            <w:r>
              <w:rPr>
                <w:rFonts w:hint="eastAsia" w:ascii="宋体" w:hAnsi="宋体"/>
                <w:kern w:val="2"/>
                <w:sz w:val="21"/>
                <w:szCs w:val="21"/>
              </w:rPr>
              <w:t>行业报告</w:t>
            </w:r>
          </w:p>
          <w:p w14:paraId="0BC43853">
            <w:pPr>
              <w:adjustRightInd w:val="0"/>
              <w:snapToGrid w:val="0"/>
              <w:jc w:val="center"/>
              <w:rPr>
                <w:rFonts w:ascii="宋体" w:hAnsi="宋体"/>
                <w:kern w:val="2"/>
                <w:sz w:val="21"/>
                <w:szCs w:val="21"/>
              </w:rPr>
            </w:pPr>
            <w:r>
              <w:rPr>
                <w:rFonts w:hint="eastAsia" w:ascii="宋体" w:hAnsi="宋体"/>
                <w:kern w:val="2"/>
                <w:sz w:val="21"/>
                <w:szCs w:val="21"/>
              </w:rPr>
              <w:t>顾客调查</w:t>
            </w:r>
          </w:p>
          <w:p w14:paraId="01B18453">
            <w:pPr>
              <w:adjustRightInd w:val="0"/>
              <w:snapToGrid w:val="0"/>
              <w:jc w:val="center"/>
              <w:rPr>
                <w:rFonts w:ascii="宋体" w:hAnsi="宋体"/>
                <w:kern w:val="2"/>
                <w:sz w:val="21"/>
                <w:szCs w:val="21"/>
              </w:rPr>
            </w:pPr>
          </w:p>
          <w:p w14:paraId="122E1229">
            <w:pPr>
              <w:adjustRightInd w:val="0"/>
              <w:snapToGrid w:val="0"/>
              <w:jc w:val="center"/>
              <w:rPr>
                <w:rFonts w:ascii="宋体" w:hAnsi="宋体"/>
                <w:kern w:val="2"/>
                <w:sz w:val="21"/>
                <w:szCs w:val="21"/>
              </w:rPr>
            </w:pPr>
            <w:r>
              <w:rPr>
                <w:rFonts w:hint="eastAsia" w:ascii="宋体" w:hAnsi="宋体"/>
                <w:kern w:val="2"/>
                <w:sz w:val="21"/>
                <w:szCs w:val="21"/>
              </w:rPr>
              <w:t>对手网站</w:t>
            </w:r>
          </w:p>
          <w:p w14:paraId="0C7B769B">
            <w:pPr>
              <w:adjustRightInd w:val="0"/>
              <w:snapToGrid w:val="0"/>
              <w:jc w:val="center"/>
              <w:rPr>
                <w:rFonts w:ascii="宋体" w:hAnsi="宋体"/>
                <w:kern w:val="2"/>
                <w:sz w:val="21"/>
                <w:szCs w:val="21"/>
              </w:rPr>
            </w:pPr>
            <w:r>
              <w:rPr>
                <w:rFonts w:hint="eastAsia" w:ascii="宋体" w:hAnsi="宋体"/>
                <w:kern w:val="2"/>
                <w:sz w:val="21"/>
                <w:szCs w:val="21"/>
              </w:rPr>
              <w:t>展览会</w:t>
            </w:r>
          </w:p>
          <w:p w14:paraId="7781DC44">
            <w:pPr>
              <w:adjustRightInd w:val="0"/>
              <w:snapToGrid w:val="0"/>
              <w:jc w:val="center"/>
              <w:rPr>
                <w:rFonts w:ascii="宋体" w:hAnsi="宋体"/>
                <w:vanish/>
                <w:kern w:val="2"/>
                <w:sz w:val="21"/>
                <w:szCs w:val="21"/>
              </w:rPr>
            </w:pPr>
            <w:r>
              <w:rPr>
                <w:rFonts w:hint="eastAsia" w:ascii="宋体" w:hAnsi="宋体"/>
                <w:kern w:val="2"/>
                <w:sz w:val="21"/>
                <w:szCs w:val="21"/>
              </w:rPr>
              <w:t>国内外考察</w:t>
            </w:r>
          </w:p>
        </w:tc>
        <w:tc>
          <w:tcPr>
            <w:tcW w:w="2308" w:type="dxa"/>
            <w:tcBorders>
              <w:top w:val="single" w:color="auto" w:sz="6" w:space="0"/>
              <w:right w:val="single" w:color="auto" w:sz="4" w:space="0"/>
            </w:tcBorders>
            <w:noWrap/>
            <w:tcMar>
              <w:left w:w="108" w:type="dxa"/>
              <w:right w:w="108" w:type="dxa"/>
            </w:tcMar>
            <w:vAlign w:val="center"/>
          </w:tcPr>
          <w:p w14:paraId="4BEC133D">
            <w:pPr>
              <w:adjustRightInd w:val="0"/>
              <w:snapToGrid w:val="0"/>
              <w:rPr>
                <w:rFonts w:ascii="宋体" w:hAnsi="宋体"/>
                <w:vanish/>
                <w:kern w:val="2"/>
                <w:sz w:val="21"/>
                <w:szCs w:val="21"/>
              </w:rPr>
            </w:pPr>
            <w:r>
              <w:rPr>
                <w:rFonts w:hint="eastAsia" w:ascii="宋体" w:hAnsi="宋体"/>
                <w:kern w:val="2"/>
                <w:sz w:val="21"/>
                <w:szCs w:val="21"/>
              </w:rPr>
              <w:t>经济、社会、道德、法律、法规以及其他方面的潜在风险；国内外经济形势的变化。</w:t>
            </w:r>
          </w:p>
        </w:tc>
        <w:tc>
          <w:tcPr>
            <w:tcW w:w="2319" w:type="dxa"/>
            <w:tcBorders>
              <w:top w:val="single" w:color="auto" w:sz="6" w:space="0"/>
              <w:left w:val="single" w:color="auto" w:sz="4" w:space="0"/>
            </w:tcBorders>
            <w:noWrap/>
            <w:vAlign w:val="center"/>
          </w:tcPr>
          <w:p w14:paraId="3AAAF2C9">
            <w:pPr>
              <w:adjustRightInd w:val="0"/>
              <w:snapToGrid w:val="0"/>
              <w:rPr>
                <w:rFonts w:ascii="宋体" w:hAnsi="宋体"/>
                <w:vanish/>
                <w:kern w:val="2"/>
                <w:sz w:val="21"/>
                <w:szCs w:val="21"/>
              </w:rPr>
            </w:pPr>
            <w:r>
              <w:rPr>
                <w:rFonts w:hint="eastAsia" w:ascii="宋体" w:hAnsi="宋体"/>
                <w:kern w:val="2"/>
                <w:sz w:val="21"/>
                <w:szCs w:val="21"/>
              </w:rPr>
              <w:t>金融政策、投资环境、经济形势、环保政策、税收政策、产品发展指导政策、国家规划。</w:t>
            </w:r>
          </w:p>
        </w:tc>
        <w:tc>
          <w:tcPr>
            <w:tcW w:w="1136" w:type="dxa"/>
            <w:tcBorders>
              <w:top w:val="single" w:color="auto" w:sz="6" w:space="0"/>
              <w:right w:val="single" w:color="auto" w:sz="4" w:space="0"/>
            </w:tcBorders>
            <w:noWrap/>
            <w:tcMar>
              <w:left w:w="108" w:type="dxa"/>
              <w:right w:w="108" w:type="dxa"/>
            </w:tcMar>
            <w:vAlign w:val="center"/>
          </w:tcPr>
          <w:p w14:paraId="4B30EAE0">
            <w:pPr>
              <w:adjustRightInd w:val="0"/>
              <w:snapToGrid w:val="0"/>
              <w:jc w:val="center"/>
              <w:rPr>
                <w:rFonts w:ascii="宋体" w:hAnsi="宋体"/>
                <w:kern w:val="2"/>
                <w:sz w:val="21"/>
                <w:szCs w:val="21"/>
              </w:rPr>
            </w:pPr>
            <w:r>
              <w:rPr>
                <w:rFonts w:hint="eastAsia" w:ascii="宋体" w:hAnsi="宋体"/>
                <w:kern w:val="2"/>
                <w:sz w:val="21"/>
                <w:szCs w:val="21"/>
              </w:rPr>
              <w:t>因果分析</w:t>
            </w:r>
          </w:p>
          <w:p w14:paraId="2EAF75C2">
            <w:pPr>
              <w:adjustRightInd w:val="0"/>
              <w:snapToGrid w:val="0"/>
              <w:jc w:val="center"/>
              <w:rPr>
                <w:rFonts w:ascii="宋体" w:hAnsi="宋体"/>
                <w:vanish/>
                <w:kern w:val="2"/>
                <w:sz w:val="21"/>
                <w:szCs w:val="21"/>
              </w:rPr>
            </w:pPr>
            <w:r>
              <w:rPr>
                <w:rFonts w:hint="eastAsia" w:ascii="宋体" w:hAnsi="宋体"/>
                <w:kern w:val="2"/>
                <w:sz w:val="21"/>
                <w:szCs w:val="21"/>
              </w:rPr>
              <w:t>SWOT分析</w:t>
            </w:r>
          </w:p>
        </w:tc>
        <w:tc>
          <w:tcPr>
            <w:tcW w:w="1108" w:type="dxa"/>
            <w:tcBorders>
              <w:top w:val="single" w:color="auto" w:sz="6" w:space="0"/>
              <w:left w:val="single" w:color="auto" w:sz="4" w:space="0"/>
            </w:tcBorders>
            <w:noWrap/>
            <w:vAlign w:val="center"/>
          </w:tcPr>
          <w:p w14:paraId="1C4559E9">
            <w:pPr>
              <w:adjustRightInd w:val="0"/>
              <w:snapToGrid w:val="0"/>
              <w:jc w:val="center"/>
              <w:rPr>
                <w:rFonts w:ascii="宋体" w:hAnsi="宋体"/>
                <w:vanish/>
                <w:kern w:val="2"/>
                <w:sz w:val="21"/>
                <w:szCs w:val="21"/>
              </w:rPr>
            </w:pPr>
            <w:r>
              <w:rPr>
                <w:rFonts w:hint="eastAsia" w:ascii="宋体" w:hAnsi="宋体"/>
                <w:kern w:val="2"/>
                <w:sz w:val="21"/>
                <w:szCs w:val="21"/>
              </w:rPr>
              <w:t>行政部</w:t>
            </w:r>
          </w:p>
        </w:tc>
      </w:tr>
      <w:tr w14:paraId="39F66D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0" w:type="dxa"/>
            <w:bottom w:w="57" w:type="dxa"/>
            <w:right w:w="0" w:type="dxa"/>
          </w:tblCellMar>
        </w:tblPrEx>
        <w:trPr>
          <w:trHeight w:val="909" w:hRule="atLeast"/>
          <w:jc w:val="center"/>
        </w:trPr>
        <w:tc>
          <w:tcPr>
            <w:tcW w:w="401" w:type="dxa"/>
            <w:vMerge w:val="continue"/>
            <w:noWrap/>
            <w:vAlign w:val="center"/>
          </w:tcPr>
          <w:p w14:paraId="5D3E0CCA">
            <w:pPr>
              <w:adjustRightInd w:val="0"/>
              <w:snapToGrid w:val="0"/>
              <w:jc w:val="center"/>
              <w:rPr>
                <w:rFonts w:ascii="宋体" w:hAnsi="宋体"/>
                <w:kern w:val="2"/>
                <w:sz w:val="21"/>
                <w:szCs w:val="21"/>
              </w:rPr>
            </w:pPr>
          </w:p>
        </w:tc>
        <w:tc>
          <w:tcPr>
            <w:tcW w:w="717" w:type="dxa"/>
            <w:tcBorders>
              <w:right w:val="single" w:color="auto" w:sz="4" w:space="0"/>
            </w:tcBorders>
            <w:noWrap/>
            <w:tcMar>
              <w:left w:w="108" w:type="dxa"/>
              <w:right w:w="108" w:type="dxa"/>
            </w:tcMar>
            <w:vAlign w:val="center"/>
          </w:tcPr>
          <w:p w14:paraId="307D81AB">
            <w:pPr>
              <w:adjustRightInd w:val="0"/>
              <w:snapToGrid w:val="0"/>
              <w:rPr>
                <w:rFonts w:ascii="宋体" w:hAnsi="宋体"/>
                <w:vanish/>
                <w:kern w:val="2"/>
                <w:sz w:val="21"/>
                <w:szCs w:val="21"/>
              </w:rPr>
            </w:pPr>
            <w:r>
              <w:rPr>
                <w:rFonts w:hint="eastAsia" w:ascii="宋体" w:hAnsi="宋体"/>
                <w:kern w:val="2"/>
                <w:sz w:val="21"/>
                <w:szCs w:val="21"/>
              </w:rPr>
              <w:t>行业动态</w:t>
            </w:r>
          </w:p>
        </w:tc>
        <w:tc>
          <w:tcPr>
            <w:tcW w:w="1475" w:type="dxa"/>
            <w:vMerge w:val="continue"/>
            <w:tcBorders>
              <w:left w:val="single" w:color="auto" w:sz="4" w:space="0"/>
            </w:tcBorders>
            <w:noWrap/>
            <w:vAlign w:val="center"/>
          </w:tcPr>
          <w:p w14:paraId="59E44041">
            <w:pPr>
              <w:adjustRightInd w:val="0"/>
              <w:snapToGrid w:val="0"/>
              <w:rPr>
                <w:rFonts w:ascii="宋体" w:hAnsi="宋体"/>
                <w:vanish/>
                <w:kern w:val="2"/>
                <w:sz w:val="21"/>
                <w:szCs w:val="21"/>
              </w:rPr>
            </w:pPr>
          </w:p>
        </w:tc>
        <w:tc>
          <w:tcPr>
            <w:tcW w:w="2308" w:type="dxa"/>
            <w:tcBorders>
              <w:right w:val="single" w:color="auto" w:sz="4" w:space="0"/>
            </w:tcBorders>
            <w:noWrap/>
            <w:tcMar>
              <w:left w:w="108" w:type="dxa"/>
              <w:right w:w="108" w:type="dxa"/>
            </w:tcMar>
            <w:vAlign w:val="center"/>
          </w:tcPr>
          <w:p w14:paraId="2481F43A">
            <w:pPr>
              <w:adjustRightInd w:val="0"/>
              <w:snapToGrid w:val="0"/>
              <w:rPr>
                <w:rFonts w:ascii="宋体" w:hAnsi="宋体"/>
                <w:vanish/>
                <w:kern w:val="2"/>
                <w:sz w:val="21"/>
                <w:szCs w:val="21"/>
              </w:rPr>
            </w:pPr>
            <w:r>
              <w:rPr>
                <w:rFonts w:hint="eastAsia" w:ascii="宋体" w:hAnsi="宋体"/>
                <w:kern w:val="2"/>
                <w:sz w:val="21"/>
                <w:szCs w:val="21"/>
              </w:rPr>
              <w:t>竞争环境及竞争能力；资源重新配置到优先考虑的产品、服务或领域机会。</w:t>
            </w:r>
          </w:p>
        </w:tc>
        <w:tc>
          <w:tcPr>
            <w:tcW w:w="2319" w:type="dxa"/>
            <w:tcBorders>
              <w:left w:val="single" w:color="auto" w:sz="4" w:space="0"/>
            </w:tcBorders>
            <w:noWrap/>
            <w:vAlign w:val="center"/>
          </w:tcPr>
          <w:p w14:paraId="28831D27">
            <w:pPr>
              <w:adjustRightInd w:val="0"/>
              <w:snapToGrid w:val="0"/>
              <w:rPr>
                <w:rFonts w:ascii="宋体" w:hAnsi="宋体"/>
                <w:vanish/>
                <w:kern w:val="2"/>
                <w:sz w:val="21"/>
                <w:szCs w:val="21"/>
              </w:rPr>
            </w:pPr>
            <w:r>
              <w:rPr>
                <w:rFonts w:hint="eastAsia" w:ascii="宋体" w:hAnsi="宋体"/>
                <w:kern w:val="2"/>
                <w:sz w:val="21"/>
                <w:szCs w:val="21"/>
              </w:rPr>
              <w:t>行业准入政策、集中度、产业应用成熟度、潜代品、前言技术、垄断格局、竞争对手于标杆、落后产能、未来发展方向。</w:t>
            </w:r>
          </w:p>
        </w:tc>
        <w:tc>
          <w:tcPr>
            <w:tcW w:w="1136" w:type="dxa"/>
            <w:tcBorders>
              <w:right w:val="single" w:color="auto" w:sz="4" w:space="0"/>
            </w:tcBorders>
            <w:noWrap/>
            <w:tcMar>
              <w:left w:w="108" w:type="dxa"/>
              <w:right w:w="108" w:type="dxa"/>
            </w:tcMar>
            <w:vAlign w:val="center"/>
          </w:tcPr>
          <w:p w14:paraId="490230F7">
            <w:pPr>
              <w:adjustRightInd w:val="0"/>
              <w:snapToGrid w:val="0"/>
              <w:jc w:val="center"/>
              <w:rPr>
                <w:rFonts w:ascii="宋体" w:hAnsi="宋体"/>
                <w:kern w:val="2"/>
                <w:sz w:val="21"/>
                <w:szCs w:val="21"/>
              </w:rPr>
            </w:pPr>
            <w:r>
              <w:rPr>
                <w:rFonts w:hint="eastAsia" w:ascii="宋体" w:hAnsi="宋体"/>
                <w:kern w:val="2"/>
                <w:sz w:val="21"/>
                <w:szCs w:val="21"/>
              </w:rPr>
              <w:t>横向对比</w:t>
            </w:r>
          </w:p>
          <w:p w14:paraId="741D5EBA">
            <w:pPr>
              <w:adjustRightInd w:val="0"/>
              <w:snapToGrid w:val="0"/>
              <w:jc w:val="center"/>
              <w:rPr>
                <w:rFonts w:ascii="宋体" w:hAnsi="宋体"/>
                <w:kern w:val="2"/>
                <w:sz w:val="21"/>
                <w:szCs w:val="21"/>
              </w:rPr>
            </w:pPr>
            <w:r>
              <w:rPr>
                <w:rFonts w:hint="eastAsia" w:ascii="宋体" w:hAnsi="宋体"/>
                <w:kern w:val="2"/>
                <w:sz w:val="21"/>
                <w:szCs w:val="21"/>
              </w:rPr>
              <w:t>纵向对比</w:t>
            </w:r>
          </w:p>
          <w:p w14:paraId="25C7EE19">
            <w:pPr>
              <w:adjustRightInd w:val="0"/>
              <w:snapToGrid w:val="0"/>
              <w:jc w:val="center"/>
              <w:rPr>
                <w:rFonts w:ascii="宋体" w:hAnsi="宋体"/>
                <w:vanish/>
                <w:kern w:val="2"/>
                <w:sz w:val="21"/>
                <w:szCs w:val="21"/>
              </w:rPr>
            </w:pPr>
            <w:r>
              <w:rPr>
                <w:rFonts w:hint="eastAsia" w:ascii="宋体" w:hAnsi="宋体"/>
                <w:kern w:val="2"/>
                <w:sz w:val="21"/>
                <w:szCs w:val="21"/>
              </w:rPr>
              <w:t>趋势分析</w:t>
            </w:r>
          </w:p>
        </w:tc>
        <w:tc>
          <w:tcPr>
            <w:tcW w:w="1108" w:type="dxa"/>
            <w:tcBorders>
              <w:left w:val="single" w:color="auto" w:sz="4" w:space="0"/>
            </w:tcBorders>
            <w:noWrap/>
            <w:vAlign w:val="center"/>
          </w:tcPr>
          <w:p w14:paraId="0205F78C">
            <w:pPr>
              <w:adjustRightInd w:val="0"/>
              <w:snapToGrid w:val="0"/>
              <w:jc w:val="center"/>
              <w:rPr>
                <w:rFonts w:ascii="宋体" w:hAnsi="宋体"/>
                <w:vanish/>
                <w:kern w:val="2"/>
                <w:sz w:val="21"/>
                <w:szCs w:val="21"/>
              </w:rPr>
            </w:pPr>
            <w:r>
              <w:rPr>
                <w:rFonts w:hint="eastAsia" w:ascii="宋体" w:hAnsi="宋体"/>
                <w:kern w:val="2"/>
                <w:sz w:val="21"/>
                <w:szCs w:val="21"/>
              </w:rPr>
              <w:t>销售部</w:t>
            </w:r>
          </w:p>
        </w:tc>
      </w:tr>
      <w:tr w14:paraId="4427B8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0" w:type="dxa"/>
            <w:bottom w:w="57" w:type="dxa"/>
            <w:right w:w="0" w:type="dxa"/>
          </w:tblCellMar>
        </w:tblPrEx>
        <w:trPr>
          <w:trHeight w:val="909" w:hRule="atLeast"/>
          <w:jc w:val="center"/>
        </w:trPr>
        <w:tc>
          <w:tcPr>
            <w:tcW w:w="401" w:type="dxa"/>
            <w:vMerge w:val="continue"/>
            <w:noWrap/>
            <w:vAlign w:val="center"/>
          </w:tcPr>
          <w:p w14:paraId="3DDD7249">
            <w:pPr>
              <w:adjustRightInd w:val="0"/>
              <w:snapToGrid w:val="0"/>
              <w:jc w:val="center"/>
              <w:rPr>
                <w:rFonts w:ascii="宋体" w:hAnsi="宋体"/>
                <w:kern w:val="2"/>
                <w:sz w:val="21"/>
                <w:szCs w:val="21"/>
              </w:rPr>
            </w:pPr>
          </w:p>
        </w:tc>
        <w:tc>
          <w:tcPr>
            <w:tcW w:w="717" w:type="dxa"/>
            <w:tcBorders>
              <w:right w:val="single" w:color="auto" w:sz="4" w:space="0"/>
            </w:tcBorders>
            <w:noWrap/>
            <w:tcMar>
              <w:left w:w="108" w:type="dxa"/>
              <w:right w:w="108" w:type="dxa"/>
            </w:tcMar>
            <w:vAlign w:val="center"/>
          </w:tcPr>
          <w:p w14:paraId="73763DF2">
            <w:pPr>
              <w:adjustRightInd w:val="0"/>
              <w:snapToGrid w:val="0"/>
              <w:rPr>
                <w:rFonts w:ascii="宋体" w:hAnsi="宋体"/>
                <w:vanish/>
                <w:kern w:val="2"/>
                <w:sz w:val="21"/>
                <w:szCs w:val="21"/>
              </w:rPr>
            </w:pPr>
            <w:r>
              <w:rPr>
                <w:rFonts w:hint="eastAsia" w:ascii="宋体" w:hAnsi="宋体"/>
                <w:kern w:val="2"/>
                <w:sz w:val="21"/>
                <w:szCs w:val="21"/>
              </w:rPr>
              <w:t>顾客和市场</w:t>
            </w:r>
          </w:p>
        </w:tc>
        <w:tc>
          <w:tcPr>
            <w:tcW w:w="1475" w:type="dxa"/>
            <w:vMerge w:val="continue"/>
            <w:tcBorders>
              <w:left w:val="single" w:color="auto" w:sz="4" w:space="0"/>
            </w:tcBorders>
            <w:noWrap/>
            <w:vAlign w:val="center"/>
          </w:tcPr>
          <w:p w14:paraId="1A336E8B">
            <w:pPr>
              <w:adjustRightInd w:val="0"/>
              <w:snapToGrid w:val="0"/>
              <w:rPr>
                <w:rFonts w:ascii="宋体" w:hAnsi="宋体"/>
                <w:vanish/>
                <w:kern w:val="2"/>
                <w:sz w:val="21"/>
                <w:szCs w:val="21"/>
              </w:rPr>
            </w:pPr>
          </w:p>
        </w:tc>
        <w:tc>
          <w:tcPr>
            <w:tcW w:w="2308" w:type="dxa"/>
            <w:tcBorders>
              <w:right w:val="single" w:color="auto" w:sz="4" w:space="0"/>
            </w:tcBorders>
            <w:noWrap/>
            <w:tcMar>
              <w:left w:w="108" w:type="dxa"/>
              <w:right w:w="108" w:type="dxa"/>
            </w:tcMar>
            <w:vAlign w:val="center"/>
          </w:tcPr>
          <w:p w14:paraId="42248743">
            <w:pPr>
              <w:adjustRightInd w:val="0"/>
              <w:snapToGrid w:val="0"/>
              <w:rPr>
                <w:rFonts w:ascii="宋体" w:hAnsi="宋体"/>
                <w:vanish/>
                <w:kern w:val="2"/>
                <w:sz w:val="21"/>
                <w:szCs w:val="21"/>
              </w:rPr>
            </w:pPr>
            <w:r>
              <w:rPr>
                <w:rFonts w:hint="eastAsia" w:ascii="宋体" w:hAnsi="宋体"/>
                <w:kern w:val="2"/>
                <w:sz w:val="21"/>
                <w:szCs w:val="21"/>
              </w:rPr>
              <w:t>顾客或市场的需求、期望以及机会；影响产品、服务及运营方式的重要创新或变化。</w:t>
            </w:r>
          </w:p>
        </w:tc>
        <w:tc>
          <w:tcPr>
            <w:tcW w:w="2319" w:type="dxa"/>
            <w:tcBorders>
              <w:left w:val="single" w:color="auto" w:sz="4" w:space="0"/>
            </w:tcBorders>
            <w:noWrap/>
            <w:vAlign w:val="center"/>
          </w:tcPr>
          <w:p w14:paraId="0E65FB19">
            <w:pPr>
              <w:adjustRightInd w:val="0"/>
              <w:snapToGrid w:val="0"/>
              <w:rPr>
                <w:rFonts w:ascii="宋体" w:hAnsi="宋体"/>
                <w:vanish/>
                <w:kern w:val="2"/>
                <w:sz w:val="21"/>
                <w:szCs w:val="21"/>
              </w:rPr>
            </w:pPr>
            <w:r>
              <w:rPr>
                <w:rFonts w:hint="eastAsia" w:ascii="宋体" w:hAnsi="宋体"/>
                <w:kern w:val="2"/>
                <w:sz w:val="21"/>
                <w:szCs w:val="21"/>
              </w:rPr>
              <w:t>产品品种与质量、技术支持与服务、顾客评定、需求与供给增长态势、顾客满意度。</w:t>
            </w:r>
          </w:p>
        </w:tc>
        <w:tc>
          <w:tcPr>
            <w:tcW w:w="1136" w:type="dxa"/>
            <w:tcBorders>
              <w:right w:val="single" w:color="auto" w:sz="4" w:space="0"/>
            </w:tcBorders>
            <w:noWrap/>
            <w:tcMar>
              <w:left w:w="108" w:type="dxa"/>
              <w:right w:w="108" w:type="dxa"/>
            </w:tcMar>
            <w:vAlign w:val="center"/>
          </w:tcPr>
          <w:p w14:paraId="795E94D1">
            <w:pPr>
              <w:adjustRightInd w:val="0"/>
              <w:snapToGrid w:val="0"/>
              <w:jc w:val="center"/>
              <w:rPr>
                <w:rFonts w:ascii="宋体" w:hAnsi="宋体"/>
                <w:kern w:val="2"/>
                <w:sz w:val="21"/>
                <w:szCs w:val="21"/>
              </w:rPr>
            </w:pPr>
            <w:r>
              <w:rPr>
                <w:rFonts w:hint="eastAsia" w:ascii="宋体" w:hAnsi="宋体"/>
                <w:kern w:val="2"/>
                <w:sz w:val="21"/>
                <w:szCs w:val="21"/>
              </w:rPr>
              <w:t>调查</w:t>
            </w:r>
          </w:p>
          <w:p w14:paraId="3C80129B">
            <w:pPr>
              <w:adjustRightInd w:val="0"/>
              <w:snapToGrid w:val="0"/>
              <w:jc w:val="center"/>
              <w:rPr>
                <w:rFonts w:ascii="宋体" w:hAnsi="宋体"/>
                <w:kern w:val="2"/>
                <w:sz w:val="21"/>
                <w:szCs w:val="21"/>
              </w:rPr>
            </w:pPr>
            <w:r>
              <w:rPr>
                <w:rFonts w:hint="eastAsia" w:ascii="宋体" w:hAnsi="宋体"/>
                <w:kern w:val="2"/>
                <w:sz w:val="21"/>
                <w:szCs w:val="21"/>
              </w:rPr>
              <w:t>SWOT分析</w:t>
            </w:r>
          </w:p>
          <w:p w14:paraId="1856A7BE">
            <w:pPr>
              <w:adjustRightInd w:val="0"/>
              <w:snapToGrid w:val="0"/>
              <w:jc w:val="center"/>
              <w:rPr>
                <w:rFonts w:ascii="宋体" w:hAnsi="宋体"/>
                <w:vanish/>
                <w:kern w:val="2"/>
                <w:sz w:val="21"/>
                <w:szCs w:val="21"/>
              </w:rPr>
            </w:pPr>
            <w:r>
              <w:rPr>
                <w:rFonts w:hint="eastAsia" w:ascii="宋体" w:hAnsi="宋体"/>
                <w:kern w:val="2"/>
                <w:sz w:val="21"/>
                <w:szCs w:val="21"/>
              </w:rPr>
              <w:t>趋势分析</w:t>
            </w:r>
          </w:p>
        </w:tc>
        <w:tc>
          <w:tcPr>
            <w:tcW w:w="1108" w:type="dxa"/>
            <w:tcBorders>
              <w:left w:val="single" w:color="auto" w:sz="4" w:space="0"/>
            </w:tcBorders>
            <w:noWrap/>
            <w:vAlign w:val="center"/>
          </w:tcPr>
          <w:p w14:paraId="4F6DD8EC">
            <w:pPr>
              <w:adjustRightInd w:val="0"/>
              <w:snapToGrid w:val="0"/>
              <w:jc w:val="center"/>
              <w:rPr>
                <w:rFonts w:ascii="宋体" w:hAnsi="宋体"/>
                <w:vanish/>
                <w:kern w:val="2"/>
                <w:sz w:val="21"/>
                <w:szCs w:val="21"/>
              </w:rPr>
            </w:pPr>
            <w:r>
              <w:rPr>
                <w:rFonts w:hint="eastAsia" w:ascii="宋体" w:hAnsi="宋体"/>
                <w:kern w:val="2"/>
                <w:sz w:val="21"/>
                <w:szCs w:val="21"/>
              </w:rPr>
              <w:t>销售部</w:t>
            </w:r>
          </w:p>
        </w:tc>
      </w:tr>
      <w:tr w14:paraId="7F5341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0" w:type="dxa"/>
            <w:bottom w:w="57" w:type="dxa"/>
            <w:right w:w="0" w:type="dxa"/>
          </w:tblCellMar>
        </w:tblPrEx>
        <w:trPr>
          <w:trHeight w:val="879" w:hRule="atLeast"/>
          <w:jc w:val="center"/>
        </w:trPr>
        <w:tc>
          <w:tcPr>
            <w:tcW w:w="401" w:type="dxa"/>
            <w:vMerge w:val="continue"/>
            <w:noWrap/>
            <w:vAlign w:val="center"/>
          </w:tcPr>
          <w:p w14:paraId="42E61C4C">
            <w:pPr>
              <w:adjustRightInd w:val="0"/>
              <w:snapToGrid w:val="0"/>
              <w:jc w:val="center"/>
              <w:rPr>
                <w:rFonts w:ascii="宋体" w:hAnsi="宋体"/>
                <w:kern w:val="2"/>
                <w:sz w:val="21"/>
                <w:szCs w:val="21"/>
              </w:rPr>
            </w:pPr>
          </w:p>
        </w:tc>
        <w:tc>
          <w:tcPr>
            <w:tcW w:w="717" w:type="dxa"/>
            <w:tcBorders>
              <w:right w:val="single" w:color="auto" w:sz="4" w:space="0"/>
            </w:tcBorders>
            <w:noWrap/>
            <w:tcMar>
              <w:left w:w="108" w:type="dxa"/>
              <w:right w:w="108" w:type="dxa"/>
            </w:tcMar>
            <w:vAlign w:val="center"/>
          </w:tcPr>
          <w:p w14:paraId="10D864F5">
            <w:pPr>
              <w:adjustRightInd w:val="0"/>
              <w:snapToGrid w:val="0"/>
              <w:rPr>
                <w:rFonts w:ascii="宋体" w:hAnsi="宋体"/>
                <w:kern w:val="2"/>
                <w:sz w:val="21"/>
                <w:szCs w:val="21"/>
              </w:rPr>
            </w:pPr>
            <w:r>
              <w:rPr>
                <w:rFonts w:hint="eastAsia" w:ascii="宋体" w:hAnsi="宋体"/>
                <w:kern w:val="2"/>
                <w:sz w:val="21"/>
                <w:szCs w:val="21"/>
              </w:rPr>
              <w:t>其他</w:t>
            </w:r>
          </w:p>
        </w:tc>
        <w:tc>
          <w:tcPr>
            <w:tcW w:w="1475" w:type="dxa"/>
            <w:vMerge w:val="continue"/>
            <w:tcBorders>
              <w:left w:val="single" w:color="auto" w:sz="4" w:space="0"/>
            </w:tcBorders>
            <w:noWrap/>
            <w:vAlign w:val="center"/>
          </w:tcPr>
          <w:p w14:paraId="58A5BA35">
            <w:pPr>
              <w:adjustRightInd w:val="0"/>
              <w:snapToGrid w:val="0"/>
              <w:rPr>
                <w:rFonts w:ascii="宋体" w:hAnsi="宋体"/>
                <w:vanish/>
                <w:kern w:val="2"/>
                <w:sz w:val="21"/>
                <w:szCs w:val="21"/>
              </w:rPr>
            </w:pPr>
          </w:p>
        </w:tc>
        <w:tc>
          <w:tcPr>
            <w:tcW w:w="2308" w:type="dxa"/>
            <w:tcBorders>
              <w:right w:val="single" w:color="auto" w:sz="4" w:space="0"/>
            </w:tcBorders>
            <w:noWrap/>
            <w:tcMar>
              <w:left w:w="108" w:type="dxa"/>
              <w:right w:w="108" w:type="dxa"/>
            </w:tcMar>
            <w:vAlign w:val="center"/>
          </w:tcPr>
          <w:p w14:paraId="68E56DBA">
            <w:pPr>
              <w:adjustRightInd w:val="0"/>
              <w:snapToGrid w:val="0"/>
              <w:rPr>
                <w:rFonts w:ascii="宋体" w:hAnsi="宋体"/>
                <w:vanish/>
                <w:kern w:val="2"/>
                <w:sz w:val="21"/>
                <w:szCs w:val="21"/>
              </w:rPr>
            </w:pPr>
            <w:r>
              <w:rPr>
                <w:rFonts w:hint="eastAsia" w:ascii="宋体" w:hAnsi="宋体"/>
                <w:kern w:val="2"/>
                <w:sz w:val="21"/>
                <w:szCs w:val="21"/>
              </w:rPr>
              <w:t>可持续发展的要求和相关因素。</w:t>
            </w:r>
          </w:p>
        </w:tc>
        <w:tc>
          <w:tcPr>
            <w:tcW w:w="2319" w:type="dxa"/>
            <w:tcBorders>
              <w:left w:val="single" w:color="auto" w:sz="4" w:space="0"/>
            </w:tcBorders>
            <w:noWrap/>
            <w:vAlign w:val="center"/>
          </w:tcPr>
          <w:p w14:paraId="44AF56AE">
            <w:pPr>
              <w:adjustRightInd w:val="0"/>
              <w:snapToGrid w:val="0"/>
              <w:rPr>
                <w:rFonts w:ascii="宋体" w:hAnsi="宋体"/>
                <w:vanish/>
                <w:kern w:val="2"/>
                <w:sz w:val="21"/>
                <w:szCs w:val="21"/>
              </w:rPr>
            </w:pPr>
            <w:r>
              <w:rPr>
                <w:rFonts w:hint="eastAsia" w:ascii="宋体" w:hAnsi="宋体"/>
                <w:kern w:val="2"/>
                <w:sz w:val="21"/>
                <w:szCs w:val="21"/>
              </w:rPr>
              <w:t>行业动态、技术发展趋势、竞争对手发展事态。</w:t>
            </w:r>
            <w:r>
              <w:rPr>
                <w:rFonts w:hint="eastAsia" w:ascii="宋体" w:hAnsi="宋体"/>
                <w:vanish/>
                <w:kern w:val="2"/>
                <w:sz w:val="21"/>
                <w:szCs w:val="21"/>
              </w:rPr>
              <w:t>国内外行业动态、产品与技术发展趋势、竞争对手发展势态、下游信息、上游原材料行业动态。</w:t>
            </w:r>
          </w:p>
        </w:tc>
        <w:tc>
          <w:tcPr>
            <w:tcW w:w="1136" w:type="dxa"/>
            <w:tcBorders>
              <w:right w:val="single" w:color="auto" w:sz="4" w:space="0"/>
            </w:tcBorders>
            <w:noWrap/>
            <w:tcMar>
              <w:left w:w="108" w:type="dxa"/>
              <w:right w:w="108" w:type="dxa"/>
            </w:tcMar>
            <w:vAlign w:val="center"/>
          </w:tcPr>
          <w:p w14:paraId="159D3073">
            <w:pPr>
              <w:adjustRightInd w:val="0"/>
              <w:snapToGrid w:val="0"/>
              <w:jc w:val="center"/>
              <w:rPr>
                <w:rFonts w:ascii="宋体" w:hAnsi="宋体"/>
                <w:vanish/>
                <w:kern w:val="2"/>
                <w:sz w:val="21"/>
                <w:szCs w:val="21"/>
              </w:rPr>
            </w:pPr>
            <w:r>
              <w:rPr>
                <w:rFonts w:hint="eastAsia" w:ascii="宋体" w:hAnsi="宋体"/>
                <w:kern w:val="2"/>
                <w:sz w:val="21"/>
                <w:szCs w:val="21"/>
              </w:rPr>
              <w:t>分析法</w:t>
            </w:r>
            <w:r>
              <w:rPr>
                <w:rFonts w:hint="eastAsia" w:ascii="宋体" w:hAnsi="宋体"/>
                <w:vanish/>
                <w:kern w:val="2"/>
                <w:sz w:val="21"/>
                <w:szCs w:val="21"/>
              </w:rPr>
              <w:t>均衡分析</w:t>
            </w:r>
          </w:p>
        </w:tc>
        <w:tc>
          <w:tcPr>
            <w:tcW w:w="1108" w:type="dxa"/>
            <w:tcBorders>
              <w:left w:val="single" w:color="auto" w:sz="4" w:space="0"/>
            </w:tcBorders>
            <w:noWrap/>
            <w:vAlign w:val="center"/>
          </w:tcPr>
          <w:p w14:paraId="4A585A15">
            <w:pPr>
              <w:adjustRightInd w:val="0"/>
              <w:snapToGrid w:val="0"/>
              <w:jc w:val="center"/>
              <w:rPr>
                <w:rFonts w:ascii="宋体" w:hAnsi="宋体"/>
                <w:kern w:val="2"/>
                <w:sz w:val="21"/>
                <w:szCs w:val="21"/>
              </w:rPr>
            </w:pPr>
            <w:r>
              <w:rPr>
                <w:rFonts w:hint="eastAsia" w:ascii="宋体" w:hAnsi="宋体"/>
                <w:kern w:val="2"/>
                <w:sz w:val="21"/>
                <w:szCs w:val="21"/>
              </w:rPr>
              <w:t>销售部</w:t>
            </w:r>
          </w:p>
          <w:p w14:paraId="3A84BB36">
            <w:pPr>
              <w:adjustRightInd w:val="0"/>
              <w:snapToGrid w:val="0"/>
              <w:jc w:val="center"/>
              <w:rPr>
                <w:rFonts w:ascii="宋体" w:hAnsi="宋体"/>
                <w:vanish/>
                <w:kern w:val="2"/>
                <w:sz w:val="21"/>
                <w:szCs w:val="21"/>
              </w:rPr>
            </w:pPr>
            <w:r>
              <w:rPr>
                <w:rFonts w:hint="eastAsia" w:ascii="宋体" w:hAnsi="宋体"/>
                <w:kern w:val="2"/>
                <w:sz w:val="21"/>
                <w:szCs w:val="21"/>
              </w:rPr>
              <w:t>相关部门</w:t>
            </w:r>
            <w:r>
              <w:rPr>
                <w:rFonts w:hint="eastAsia" w:ascii="宋体" w:hAnsi="宋体"/>
                <w:vanish/>
                <w:kern w:val="2"/>
                <w:sz w:val="21"/>
                <w:szCs w:val="21"/>
              </w:rPr>
              <w:t>国际业务部</w:t>
            </w:r>
          </w:p>
          <w:p w14:paraId="110EC975">
            <w:pPr>
              <w:adjustRightInd w:val="0"/>
              <w:snapToGrid w:val="0"/>
              <w:jc w:val="center"/>
              <w:rPr>
                <w:rFonts w:ascii="宋体" w:hAnsi="宋体"/>
                <w:vanish/>
                <w:kern w:val="2"/>
                <w:sz w:val="21"/>
                <w:szCs w:val="21"/>
              </w:rPr>
            </w:pPr>
            <w:r>
              <w:rPr>
                <w:rFonts w:hint="eastAsia" w:ascii="宋体" w:hAnsi="宋体"/>
                <w:vanish/>
                <w:kern w:val="2"/>
                <w:sz w:val="21"/>
                <w:szCs w:val="21"/>
              </w:rPr>
              <w:t>相关部门</w:t>
            </w:r>
          </w:p>
        </w:tc>
      </w:tr>
      <w:tr w14:paraId="0CAB1B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0" w:type="dxa"/>
            <w:bottom w:w="57" w:type="dxa"/>
            <w:right w:w="0" w:type="dxa"/>
          </w:tblCellMar>
        </w:tblPrEx>
        <w:trPr>
          <w:trHeight w:val="909" w:hRule="atLeast"/>
          <w:jc w:val="center"/>
        </w:trPr>
        <w:tc>
          <w:tcPr>
            <w:tcW w:w="401" w:type="dxa"/>
            <w:noWrap/>
            <w:vAlign w:val="center"/>
          </w:tcPr>
          <w:p w14:paraId="38132D4E">
            <w:pPr>
              <w:adjustRightInd w:val="0"/>
              <w:snapToGrid w:val="0"/>
              <w:jc w:val="center"/>
              <w:rPr>
                <w:rFonts w:ascii="宋体" w:hAnsi="宋体"/>
                <w:kern w:val="2"/>
                <w:sz w:val="21"/>
                <w:szCs w:val="21"/>
              </w:rPr>
            </w:pPr>
            <w:r>
              <w:rPr>
                <w:rFonts w:hint="eastAsia" w:ascii="宋体" w:hAnsi="宋体"/>
                <w:kern w:val="2"/>
                <w:sz w:val="21"/>
                <w:szCs w:val="21"/>
              </w:rPr>
              <w:t>内</w:t>
            </w:r>
          </w:p>
          <w:p w14:paraId="52BDD7C9">
            <w:pPr>
              <w:adjustRightInd w:val="0"/>
              <w:snapToGrid w:val="0"/>
              <w:jc w:val="center"/>
              <w:rPr>
                <w:rFonts w:ascii="宋体" w:hAnsi="宋体"/>
                <w:kern w:val="2"/>
                <w:sz w:val="21"/>
                <w:szCs w:val="21"/>
              </w:rPr>
            </w:pPr>
            <w:r>
              <w:rPr>
                <w:rFonts w:hint="eastAsia" w:ascii="宋体" w:hAnsi="宋体"/>
                <w:kern w:val="2"/>
                <w:sz w:val="21"/>
                <w:szCs w:val="21"/>
              </w:rPr>
              <w:t>部</w:t>
            </w:r>
          </w:p>
          <w:p w14:paraId="580C1AAD">
            <w:pPr>
              <w:adjustRightInd w:val="0"/>
              <w:snapToGrid w:val="0"/>
              <w:jc w:val="center"/>
              <w:rPr>
                <w:rFonts w:ascii="宋体" w:hAnsi="宋体"/>
                <w:kern w:val="2"/>
                <w:sz w:val="21"/>
                <w:szCs w:val="21"/>
              </w:rPr>
            </w:pPr>
            <w:r>
              <w:rPr>
                <w:rFonts w:hint="eastAsia" w:ascii="宋体" w:hAnsi="宋体"/>
                <w:kern w:val="2"/>
                <w:sz w:val="21"/>
                <w:szCs w:val="21"/>
              </w:rPr>
              <w:t>信</w:t>
            </w:r>
          </w:p>
          <w:p w14:paraId="636844D3">
            <w:pPr>
              <w:adjustRightInd w:val="0"/>
              <w:snapToGrid w:val="0"/>
              <w:jc w:val="center"/>
              <w:rPr>
                <w:rFonts w:ascii="宋体" w:hAnsi="宋体"/>
                <w:kern w:val="2"/>
                <w:sz w:val="21"/>
                <w:szCs w:val="21"/>
              </w:rPr>
            </w:pPr>
            <w:r>
              <w:rPr>
                <w:rFonts w:hint="eastAsia" w:ascii="宋体" w:hAnsi="宋体"/>
                <w:kern w:val="2"/>
                <w:sz w:val="21"/>
                <w:szCs w:val="21"/>
              </w:rPr>
              <w:t>息</w:t>
            </w:r>
          </w:p>
        </w:tc>
        <w:tc>
          <w:tcPr>
            <w:tcW w:w="717" w:type="dxa"/>
            <w:tcBorders>
              <w:right w:val="single" w:color="auto" w:sz="4" w:space="0"/>
            </w:tcBorders>
            <w:noWrap/>
            <w:tcMar>
              <w:left w:w="108" w:type="dxa"/>
              <w:right w:w="108" w:type="dxa"/>
            </w:tcMar>
            <w:vAlign w:val="center"/>
          </w:tcPr>
          <w:p w14:paraId="322534A9">
            <w:pPr>
              <w:adjustRightInd w:val="0"/>
              <w:snapToGrid w:val="0"/>
              <w:rPr>
                <w:rFonts w:ascii="宋体" w:hAnsi="宋体"/>
                <w:kern w:val="2"/>
                <w:sz w:val="21"/>
                <w:szCs w:val="21"/>
              </w:rPr>
            </w:pPr>
            <w:r>
              <w:rPr>
                <w:rFonts w:hint="eastAsia" w:ascii="宋体" w:hAnsi="宋体"/>
                <w:kern w:val="2"/>
                <w:sz w:val="21"/>
                <w:szCs w:val="21"/>
              </w:rPr>
              <w:t>公司运营过程及结构</w:t>
            </w:r>
          </w:p>
        </w:tc>
        <w:tc>
          <w:tcPr>
            <w:tcW w:w="1475" w:type="dxa"/>
            <w:tcBorders>
              <w:left w:val="single" w:color="auto" w:sz="4" w:space="0"/>
            </w:tcBorders>
            <w:noWrap/>
            <w:vAlign w:val="center"/>
          </w:tcPr>
          <w:p w14:paraId="58620159">
            <w:pPr>
              <w:adjustRightInd w:val="0"/>
              <w:snapToGrid w:val="0"/>
              <w:jc w:val="center"/>
              <w:rPr>
                <w:rFonts w:ascii="宋体" w:hAnsi="宋体"/>
                <w:kern w:val="2"/>
                <w:sz w:val="21"/>
                <w:szCs w:val="21"/>
              </w:rPr>
            </w:pPr>
            <w:r>
              <w:rPr>
                <w:rFonts w:hint="eastAsia" w:ascii="宋体" w:hAnsi="宋体"/>
                <w:kern w:val="2"/>
                <w:sz w:val="21"/>
                <w:szCs w:val="21"/>
              </w:rPr>
              <w:t>内部信息系统</w:t>
            </w:r>
          </w:p>
          <w:p w14:paraId="42DA97E3">
            <w:pPr>
              <w:adjustRightInd w:val="0"/>
              <w:snapToGrid w:val="0"/>
              <w:jc w:val="center"/>
              <w:rPr>
                <w:rFonts w:ascii="宋体" w:hAnsi="宋体"/>
                <w:kern w:val="2"/>
                <w:sz w:val="21"/>
                <w:szCs w:val="21"/>
              </w:rPr>
            </w:pPr>
            <w:r>
              <w:rPr>
                <w:rFonts w:hint="eastAsia" w:ascii="宋体" w:hAnsi="宋体"/>
                <w:kern w:val="2"/>
                <w:sz w:val="21"/>
                <w:szCs w:val="21"/>
              </w:rPr>
              <w:t>跟踪记录</w:t>
            </w:r>
          </w:p>
          <w:p w14:paraId="5701B029">
            <w:pPr>
              <w:adjustRightInd w:val="0"/>
              <w:snapToGrid w:val="0"/>
              <w:jc w:val="center"/>
              <w:rPr>
                <w:rFonts w:ascii="宋体" w:hAnsi="宋体"/>
                <w:kern w:val="2"/>
                <w:sz w:val="21"/>
                <w:szCs w:val="21"/>
              </w:rPr>
            </w:pPr>
            <w:r>
              <w:rPr>
                <w:rFonts w:hint="eastAsia" w:ascii="宋体" w:hAnsi="宋体"/>
                <w:kern w:val="2"/>
                <w:sz w:val="21"/>
                <w:szCs w:val="21"/>
              </w:rPr>
              <w:t>评审报告</w:t>
            </w:r>
          </w:p>
          <w:p w14:paraId="76D006C8">
            <w:pPr>
              <w:adjustRightInd w:val="0"/>
              <w:snapToGrid w:val="0"/>
              <w:jc w:val="center"/>
              <w:rPr>
                <w:rFonts w:ascii="宋体" w:hAnsi="宋体"/>
                <w:kern w:val="2"/>
                <w:sz w:val="21"/>
                <w:szCs w:val="21"/>
              </w:rPr>
            </w:pPr>
            <w:r>
              <w:rPr>
                <w:rFonts w:hint="eastAsia" w:ascii="宋体" w:hAnsi="宋体"/>
                <w:kern w:val="2"/>
                <w:sz w:val="21"/>
                <w:szCs w:val="21"/>
              </w:rPr>
              <w:t>调查分析报告</w:t>
            </w:r>
          </w:p>
          <w:p w14:paraId="25A12A75">
            <w:pPr>
              <w:adjustRightInd w:val="0"/>
              <w:snapToGrid w:val="0"/>
              <w:jc w:val="center"/>
              <w:rPr>
                <w:rFonts w:ascii="宋体" w:hAnsi="宋体"/>
                <w:kern w:val="2"/>
                <w:sz w:val="21"/>
                <w:szCs w:val="21"/>
              </w:rPr>
            </w:pPr>
            <w:r>
              <w:rPr>
                <w:rFonts w:hint="eastAsia" w:ascii="宋体" w:hAnsi="宋体"/>
                <w:kern w:val="2"/>
                <w:sz w:val="21"/>
                <w:szCs w:val="21"/>
              </w:rPr>
              <w:t>工作报告</w:t>
            </w:r>
          </w:p>
          <w:p w14:paraId="32E69176">
            <w:pPr>
              <w:adjustRightInd w:val="0"/>
              <w:snapToGrid w:val="0"/>
              <w:jc w:val="center"/>
              <w:rPr>
                <w:rFonts w:ascii="宋体" w:hAnsi="宋体"/>
                <w:vanish/>
                <w:kern w:val="2"/>
                <w:sz w:val="21"/>
                <w:szCs w:val="21"/>
              </w:rPr>
            </w:pPr>
            <w:r>
              <w:rPr>
                <w:rFonts w:hint="eastAsia" w:ascii="宋体" w:hAnsi="宋体"/>
                <w:kern w:val="2"/>
                <w:sz w:val="21"/>
                <w:szCs w:val="21"/>
              </w:rPr>
              <w:t>员工座谈</w:t>
            </w:r>
            <w:r>
              <w:rPr>
                <w:rFonts w:hint="eastAsia" w:ascii="宋体" w:hAnsi="宋体"/>
                <w:vanish/>
                <w:kern w:val="2"/>
                <w:sz w:val="21"/>
                <w:szCs w:val="21"/>
              </w:rPr>
              <w:t>内部信息系统</w:t>
            </w:r>
          </w:p>
          <w:p w14:paraId="5267363B">
            <w:pPr>
              <w:adjustRightInd w:val="0"/>
              <w:snapToGrid w:val="0"/>
              <w:jc w:val="center"/>
              <w:rPr>
                <w:rFonts w:ascii="宋体" w:hAnsi="宋体"/>
                <w:vanish/>
                <w:kern w:val="2"/>
                <w:sz w:val="21"/>
                <w:szCs w:val="21"/>
              </w:rPr>
            </w:pPr>
            <w:r>
              <w:rPr>
                <w:rFonts w:hint="eastAsia" w:ascii="宋体" w:hAnsi="宋体"/>
                <w:vanish/>
                <w:kern w:val="2"/>
                <w:sz w:val="21"/>
                <w:szCs w:val="21"/>
              </w:rPr>
              <w:t>跟踪记录</w:t>
            </w:r>
          </w:p>
          <w:p w14:paraId="5C985185">
            <w:pPr>
              <w:adjustRightInd w:val="0"/>
              <w:snapToGrid w:val="0"/>
              <w:jc w:val="center"/>
              <w:rPr>
                <w:rFonts w:ascii="宋体" w:hAnsi="宋体"/>
                <w:vanish/>
                <w:kern w:val="2"/>
                <w:sz w:val="21"/>
                <w:szCs w:val="21"/>
              </w:rPr>
            </w:pPr>
            <w:r>
              <w:rPr>
                <w:rFonts w:hint="eastAsia" w:ascii="宋体" w:hAnsi="宋体"/>
                <w:vanish/>
                <w:kern w:val="2"/>
                <w:sz w:val="21"/>
                <w:szCs w:val="21"/>
              </w:rPr>
              <w:t>评审报告</w:t>
            </w:r>
          </w:p>
          <w:p w14:paraId="5A7C3E38">
            <w:pPr>
              <w:adjustRightInd w:val="0"/>
              <w:snapToGrid w:val="0"/>
              <w:jc w:val="center"/>
              <w:rPr>
                <w:rFonts w:ascii="宋体" w:hAnsi="宋体"/>
                <w:vanish/>
                <w:kern w:val="2"/>
                <w:sz w:val="21"/>
                <w:szCs w:val="21"/>
              </w:rPr>
            </w:pPr>
            <w:r>
              <w:rPr>
                <w:rFonts w:hint="eastAsia" w:ascii="宋体" w:hAnsi="宋体"/>
                <w:vanish/>
                <w:kern w:val="2"/>
                <w:sz w:val="21"/>
                <w:szCs w:val="21"/>
              </w:rPr>
              <w:t>调查分析报告</w:t>
            </w:r>
          </w:p>
          <w:p w14:paraId="6B6BE18D">
            <w:pPr>
              <w:adjustRightInd w:val="0"/>
              <w:snapToGrid w:val="0"/>
              <w:jc w:val="center"/>
              <w:rPr>
                <w:rFonts w:ascii="宋体" w:hAnsi="宋体"/>
                <w:vanish/>
                <w:kern w:val="2"/>
                <w:sz w:val="21"/>
                <w:szCs w:val="21"/>
              </w:rPr>
            </w:pPr>
            <w:r>
              <w:rPr>
                <w:rFonts w:hint="eastAsia" w:ascii="宋体" w:hAnsi="宋体"/>
                <w:vanish/>
                <w:kern w:val="2"/>
                <w:sz w:val="21"/>
                <w:szCs w:val="21"/>
              </w:rPr>
              <w:t>工作报告</w:t>
            </w:r>
          </w:p>
          <w:p w14:paraId="24B8DE0D">
            <w:pPr>
              <w:adjustRightInd w:val="0"/>
              <w:snapToGrid w:val="0"/>
              <w:jc w:val="center"/>
              <w:rPr>
                <w:rFonts w:ascii="宋体" w:hAnsi="宋体"/>
                <w:vanish/>
                <w:kern w:val="2"/>
                <w:sz w:val="21"/>
                <w:szCs w:val="21"/>
              </w:rPr>
            </w:pPr>
            <w:r>
              <w:rPr>
                <w:rFonts w:hint="eastAsia" w:ascii="宋体" w:hAnsi="宋体"/>
                <w:vanish/>
                <w:kern w:val="2"/>
                <w:sz w:val="21"/>
                <w:szCs w:val="21"/>
              </w:rPr>
              <w:t>员工座谈</w:t>
            </w:r>
          </w:p>
        </w:tc>
        <w:tc>
          <w:tcPr>
            <w:tcW w:w="2308" w:type="dxa"/>
            <w:tcBorders>
              <w:right w:val="single" w:color="auto" w:sz="4" w:space="0"/>
            </w:tcBorders>
            <w:noWrap/>
            <w:tcMar>
              <w:left w:w="108" w:type="dxa"/>
              <w:right w:w="108" w:type="dxa"/>
            </w:tcMar>
            <w:vAlign w:val="center"/>
          </w:tcPr>
          <w:p w14:paraId="632B6E10">
            <w:pPr>
              <w:adjustRightInd w:val="0"/>
              <w:snapToGrid w:val="0"/>
              <w:rPr>
                <w:rFonts w:ascii="宋体" w:hAnsi="宋体"/>
                <w:vanish/>
                <w:kern w:val="2"/>
                <w:sz w:val="21"/>
                <w:szCs w:val="21"/>
              </w:rPr>
            </w:pPr>
            <w:r>
              <w:rPr>
                <w:rFonts w:hint="eastAsia" w:ascii="宋体" w:hAnsi="宋体"/>
                <w:kern w:val="2"/>
                <w:sz w:val="21"/>
                <w:szCs w:val="21"/>
              </w:rPr>
              <w:t>影响产品服务及运营方式的重要创新或变化；人力资源或其他资源方面的优劣势，公司特有影响经营因素。</w:t>
            </w:r>
            <w:r>
              <w:rPr>
                <w:rFonts w:hint="eastAsia" w:ascii="宋体" w:hAnsi="宋体"/>
                <w:vanish/>
                <w:kern w:val="2"/>
                <w:sz w:val="21"/>
                <w:szCs w:val="21"/>
              </w:rPr>
              <w:t>影响产品、服务及运营方式的重要创新或变化；人力资源或其他资源方面的优劣势；公司特有影响经营因素，如品牌、合作伙伴、供应链、组织的优劣势；可持续发展的要求和相关因素。</w:t>
            </w:r>
          </w:p>
        </w:tc>
        <w:tc>
          <w:tcPr>
            <w:tcW w:w="2319" w:type="dxa"/>
            <w:tcBorders>
              <w:left w:val="single" w:color="auto" w:sz="4" w:space="0"/>
            </w:tcBorders>
            <w:noWrap/>
            <w:vAlign w:val="center"/>
          </w:tcPr>
          <w:p w14:paraId="142A57BF">
            <w:pPr>
              <w:adjustRightInd w:val="0"/>
              <w:snapToGrid w:val="0"/>
              <w:rPr>
                <w:rFonts w:ascii="宋体" w:hAnsi="宋体"/>
                <w:vanish/>
                <w:kern w:val="2"/>
                <w:sz w:val="21"/>
                <w:szCs w:val="21"/>
              </w:rPr>
            </w:pPr>
            <w:r>
              <w:rPr>
                <w:rFonts w:hint="eastAsia" w:ascii="宋体" w:hAnsi="宋体"/>
                <w:kern w:val="2"/>
                <w:sz w:val="21"/>
                <w:szCs w:val="21"/>
              </w:rPr>
              <w:t>产能、能耗、成品率、人力资源构成、供应链管理、产品成本。</w:t>
            </w:r>
            <w:r>
              <w:rPr>
                <w:rFonts w:hint="eastAsia" w:ascii="宋体" w:hAnsi="宋体"/>
                <w:vanish/>
                <w:kern w:val="2"/>
                <w:sz w:val="21"/>
                <w:szCs w:val="21"/>
              </w:rPr>
              <w:t>产能、能耗、成品率、品牌、人力资源构成、供应链管理、研发团队、财务指标、产品成本、内外部耗损。</w:t>
            </w:r>
          </w:p>
        </w:tc>
        <w:tc>
          <w:tcPr>
            <w:tcW w:w="1136" w:type="dxa"/>
            <w:tcBorders>
              <w:right w:val="single" w:color="auto" w:sz="4" w:space="0"/>
            </w:tcBorders>
            <w:noWrap/>
            <w:tcMar>
              <w:left w:w="108" w:type="dxa"/>
              <w:right w:w="108" w:type="dxa"/>
            </w:tcMar>
            <w:vAlign w:val="center"/>
          </w:tcPr>
          <w:p w14:paraId="3774FE7F">
            <w:pPr>
              <w:adjustRightInd w:val="0"/>
              <w:snapToGrid w:val="0"/>
              <w:jc w:val="center"/>
              <w:rPr>
                <w:rFonts w:ascii="宋体" w:hAnsi="宋体"/>
                <w:kern w:val="2"/>
                <w:sz w:val="21"/>
                <w:szCs w:val="21"/>
              </w:rPr>
            </w:pPr>
            <w:r>
              <w:rPr>
                <w:rFonts w:hint="eastAsia" w:ascii="宋体" w:hAnsi="宋体"/>
                <w:kern w:val="2"/>
                <w:sz w:val="21"/>
                <w:szCs w:val="21"/>
              </w:rPr>
              <w:t>SWOT</w:t>
            </w:r>
          </w:p>
          <w:p w14:paraId="1E542C40">
            <w:pPr>
              <w:adjustRightInd w:val="0"/>
              <w:snapToGrid w:val="0"/>
              <w:jc w:val="center"/>
              <w:rPr>
                <w:rFonts w:ascii="宋体" w:hAnsi="宋体"/>
                <w:vanish/>
                <w:kern w:val="2"/>
                <w:sz w:val="21"/>
                <w:szCs w:val="21"/>
              </w:rPr>
            </w:pPr>
            <w:r>
              <w:rPr>
                <w:rFonts w:hint="eastAsia" w:ascii="宋体" w:hAnsi="宋体"/>
                <w:kern w:val="2"/>
                <w:sz w:val="21"/>
                <w:szCs w:val="21"/>
              </w:rPr>
              <w:t>对比分析法</w:t>
            </w:r>
            <w:r>
              <w:rPr>
                <w:rFonts w:hint="eastAsia" w:ascii="宋体" w:hAnsi="宋体"/>
                <w:vanish/>
                <w:kern w:val="2"/>
                <w:sz w:val="21"/>
                <w:szCs w:val="21"/>
              </w:rPr>
              <w:t>SWOT分析</w:t>
            </w:r>
          </w:p>
          <w:p w14:paraId="1E324C1F">
            <w:pPr>
              <w:adjustRightInd w:val="0"/>
              <w:snapToGrid w:val="0"/>
              <w:jc w:val="center"/>
              <w:rPr>
                <w:rFonts w:ascii="宋体" w:hAnsi="宋体"/>
                <w:vanish/>
                <w:kern w:val="2"/>
                <w:sz w:val="21"/>
                <w:szCs w:val="21"/>
              </w:rPr>
            </w:pPr>
            <w:r>
              <w:rPr>
                <w:rFonts w:hint="eastAsia" w:ascii="宋体" w:hAnsi="宋体"/>
                <w:vanish/>
                <w:kern w:val="2"/>
                <w:sz w:val="21"/>
                <w:szCs w:val="21"/>
              </w:rPr>
              <w:t>历史分析</w:t>
            </w:r>
          </w:p>
          <w:p w14:paraId="0A9F15EF">
            <w:pPr>
              <w:adjustRightInd w:val="0"/>
              <w:snapToGrid w:val="0"/>
              <w:jc w:val="center"/>
              <w:rPr>
                <w:rFonts w:ascii="宋体" w:hAnsi="宋体"/>
                <w:vanish/>
                <w:kern w:val="2"/>
                <w:sz w:val="21"/>
                <w:szCs w:val="21"/>
              </w:rPr>
            </w:pPr>
            <w:r>
              <w:rPr>
                <w:rFonts w:hint="eastAsia" w:ascii="宋体" w:hAnsi="宋体"/>
                <w:vanish/>
                <w:kern w:val="2"/>
                <w:sz w:val="21"/>
                <w:szCs w:val="21"/>
              </w:rPr>
              <w:t>对比分析</w:t>
            </w:r>
          </w:p>
        </w:tc>
        <w:tc>
          <w:tcPr>
            <w:tcW w:w="1108" w:type="dxa"/>
            <w:tcBorders>
              <w:left w:val="single" w:color="auto" w:sz="4" w:space="0"/>
            </w:tcBorders>
            <w:noWrap/>
            <w:vAlign w:val="center"/>
          </w:tcPr>
          <w:p w14:paraId="14192F0B">
            <w:pPr>
              <w:adjustRightInd w:val="0"/>
              <w:snapToGrid w:val="0"/>
              <w:jc w:val="center"/>
              <w:rPr>
                <w:rFonts w:ascii="宋体" w:hAnsi="宋体"/>
                <w:kern w:val="2"/>
                <w:sz w:val="21"/>
                <w:szCs w:val="21"/>
              </w:rPr>
            </w:pPr>
            <w:r>
              <w:rPr>
                <w:rFonts w:hint="eastAsia" w:ascii="宋体" w:hAnsi="宋体"/>
                <w:kern w:val="2"/>
                <w:sz w:val="21"/>
                <w:szCs w:val="21"/>
              </w:rPr>
              <w:t>行政部</w:t>
            </w:r>
          </w:p>
          <w:p w14:paraId="252E7BD6">
            <w:pPr>
              <w:adjustRightInd w:val="0"/>
              <w:snapToGrid w:val="0"/>
              <w:jc w:val="center"/>
              <w:rPr>
                <w:rFonts w:ascii="宋体" w:hAnsi="宋体"/>
                <w:kern w:val="2"/>
                <w:sz w:val="21"/>
                <w:szCs w:val="21"/>
              </w:rPr>
            </w:pPr>
            <w:r>
              <w:rPr>
                <w:rFonts w:hint="eastAsia" w:ascii="宋体" w:hAnsi="宋体"/>
                <w:kern w:val="2"/>
                <w:sz w:val="21"/>
                <w:szCs w:val="21"/>
              </w:rPr>
              <w:t>财务部</w:t>
            </w:r>
          </w:p>
          <w:p w14:paraId="0351751F">
            <w:pPr>
              <w:adjustRightInd w:val="0"/>
              <w:snapToGrid w:val="0"/>
              <w:jc w:val="center"/>
              <w:rPr>
                <w:rFonts w:ascii="宋体" w:hAnsi="宋体"/>
                <w:kern w:val="2"/>
                <w:sz w:val="21"/>
                <w:szCs w:val="21"/>
              </w:rPr>
            </w:pPr>
            <w:r>
              <w:rPr>
                <w:rFonts w:hint="eastAsia" w:ascii="宋体" w:hAnsi="宋体"/>
                <w:kern w:val="2"/>
                <w:sz w:val="21"/>
                <w:szCs w:val="21"/>
              </w:rPr>
              <w:t>品管部等</w:t>
            </w:r>
          </w:p>
          <w:p w14:paraId="6706D876">
            <w:pPr>
              <w:adjustRightInd w:val="0"/>
              <w:snapToGrid w:val="0"/>
              <w:jc w:val="center"/>
              <w:rPr>
                <w:rFonts w:ascii="宋体" w:hAnsi="宋体"/>
                <w:vanish/>
                <w:kern w:val="2"/>
                <w:sz w:val="21"/>
                <w:szCs w:val="21"/>
              </w:rPr>
            </w:pPr>
            <w:r>
              <w:rPr>
                <w:rFonts w:hint="eastAsia" w:ascii="宋体" w:hAnsi="宋体"/>
                <w:kern w:val="2"/>
                <w:sz w:val="21"/>
                <w:szCs w:val="21"/>
              </w:rPr>
              <w:t>相关部门</w:t>
            </w:r>
            <w:r>
              <w:rPr>
                <w:rFonts w:hint="eastAsia" w:ascii="宋体" w:hAnsi="宋体"/>
                <w:vanish/>
                <w:kern w:val="2"/>
                <w:sz w:val="21"/>
                <w:szCs w:val="21"/>
              </w:rPr>
              <w:t>各相关部门</w:t>
            </w:r>
          </w:p>
        </w:tc>
      </w:tr>
    </w:tbl>
    <w:p w14:paraId="1B4C1A22">
      <w:pPr>
        <w:rPr>
          <w:rFonts w:ascii="宋体" w:hAnsi="宋体"/>
          <w:b/>
        </w:rPr>
      </w:pPr>
    </w:p>
    <w:p w14:paraId="51934924">
      <w:pPr>
        <w:spacing w:line="360" w:lineRule="auto"/>
        <w:ind w:firstLine="472" w:firstLineChars="196"/>
        <w:rPr>
          <w:rFonts w:ascii="宋体" w:hAnsi="宋体"/>
          <w:b/>
        </w:rPr>
      </w:pPr>
      <w:r>
        <w:rPr>
          <w:rFonts w:hint="eastAsia" w:ascii="宋体" w:hAnsi="宋体"/>
          <w:b/>
        </w:rPr>
        <w:t>b）公司战略制定中的环境分析</w:t>
      </w:r>
    </w:p>
    <w:p w14:paraId="1A69CC29">
      <w:pPr>
        <w:adjustRightInd w:val="0"/>
        <w:snapToGrid w:val="0"/>
        <w:spacing w:line="360" w:lineRule="auto"/>
        <w:ind w:firstLine="480"/>
        <w:rPr>
          <w:rFonts w:ascii="宋体" w:hAnsi="宋体"/>
        </w:rPr>
      </w:pPr>
      <w:r>
        <w:rPr>
          <w:rFonts w:hint="eastAsia" w:ascii="宋体" w:hAnsi="宋体"/>
        </w:rPr>
        <w:t>在全面搜集公司内外环境信息的基础上，采用PEST分析法分析缝制机械设备行业发展的外部机会，帮助公司推断与制定公司战略，具体如下。</w:t>
      </w:r>
    </w:p>
    <w:p w14:paraId="67CA11D1">
      <w:pPr>
        <w:jc w:val="center"/>
        <w:rPr>
          <w:rFonts w:ascii="宋体" w:hAnsi="宋体"/>
          <w:b/>
        </w:rPr>
      </w:pPr>
      <w:r>
        <w:rPr>
          <w:rFonts w:hint="eastAsia" w:ascii="宋体" w:hAnsi="宋体"/>
          <w:b/>
        </w:rPr>
        <w:t>表4.2-2公司竞争环境分析（PEST）</w:t>
      </w:r>
    </w:p>
    <w:p w14:paraId="4E1A5F5C">
      <w:pPr>
        <w:rPr>
          <w:rFonts w:ascii="宋体" w:hAnsi="宋体"/>
          <w:b/>
        </w:rPr>
      </w:pPr>
    </w:p>
    <w:tbl>
      <w:tblPr>
        <w:tblStyle w:val="22"/>
        <w:tblW w:w="928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57" w:type="dxa"/>
          <w:left w:w="108" w:type="dxa"/>
          <w:bottom w:w="57" w:type="dxa"/>
          <w:right w:w="108" w:type="dxa"/>
        </w:tblCellMar>
      </w:tblPr>
      <w:tblGrid>
        <w:gridCol w:w="4271"/>
        <w:gridCol w:w="5017"/>
      </w:tblGrid>
      <w:tr w14:paraId="6DD1A9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blHeader/>
          <w:jc w:val="center"/>
        </w:trPr>
        <w:tc>
          <w:tcPr>
            <w:tcW w:w="4271" w:type="dxa"/>
            <w:tcBorders>
              <w:top w:val="single" w:color="auto" w:sz="12" w:space="0"/>
              <w:bottom w:val="single" w:color="auto" w:sz="6" w:space="0"/>
              <w:right w:val="single" w:color="auto" w:sz="4" w:space="0"/>
            </w:tcBorders>
            <w:shd w:val="clear" w:color="auto" w:fill="757070"/>
            <w:noWrap/>
            <w:vAlign w:val="center"/>
          </w:tcPr>
          <w:p w14:paraId="64C91D7E">
            <w:pPr>
              <w:spacing w:line="300" w:lineRule="auto"/>
              <w:jc w:val="center"/>
              <w:rPr>
                <w:rFonts w:ascii="宋体" w:hAnsi="宋体"/>
                <w:b/>
                <w:kern w:val="2"/>
                <w:szCs w:val="21"/>
              </w:rPr>
            </w:pPr>
            <w:r>
              <w:rPr>
                <w:rFonts w:hint="eastAsia" w:ascii="宋体" w:hAnsi="宋体"/>
                <w:b/>
                <w:kern w:val="2"/>
                <w:szCs w:val="21"/>
              </w:rPr>
              <w:t>政治环境分析（P</w:t>
            </w:r>
            <w:r>
              <w:rPr>
                <w:rFonts w:ascii="宋体" w:hAnsi="宋体"/>
                <w:b/>
                <w:kern w:val="2"/>
                <w:szCs w:val="21"/>
              </w:rPr>
              <w:t>）</w:t>
            </w:r>
          </w:p>
        </w:tc>
        <w:tc>
          <w:tcPr>
            <w:tcW w:w="5017" w:type="dxa"/>
            <w:tcBorders>
              <w:top w:val="single" w:color="auto" w:sz="12" w:space="0"/>
              <w:left w:val="single" w:color="auto" w:sz="4" w:space="0"/>
              <w:bottom w:val="single" w:color="auto" w:sz="6" w:space="0"/>
            </w:tcBorders>
            <w:shd w:val="clear" w:color="auto" w:fill="757070"/>
            <w:noWrap/>
            <w:vAlign w:val="center"/>
          </w:tcPr>
          <w:p w14:paraId="127D5925">
            <w:pPr>
              <w:spacing w:line="300" w:lineRule="auto"/>
              <w:jc w:val="center"/>
              <w:rPr>
                <w:rFonts w:ascii="宋体" w:hAnsi="宋体"/>
                <w:b/>
                <w:kern w:val="2"/>
                <w:szCs w:val="21"/>
              </w:rPr>
            </w:pPr>
            <w:r>
              <w:rPr>
                <w:rFonts w:hint="eastAsia" w:ascii="宋体" w:hAnsi="宋体"/>
                <w:b/>
                <w:kern w:val="2"/>
                <w:szCs w:val="21"/>
              </w:rPr>
              <w:t>经济环境分析(E)</w:t>
            </w:r>
          </w:p>
        </w:tc>
      </w:tr>
      <w:tr w14:paraId="6235E3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2836" w:hRule="atLeast"/>
          <w:jc w:val="center"/>
        </w:trPr>
        <w:tc>
          <w:tcPr>
            <w:tcW w:w="4271" w:type="dxa"/>
            <w:tcBorders>
              <w:top w:val="single" w:color="auto" w:sz="6" w:space="0"/>
              <w:bottom w:val="single" w:color="auto" w:sz="6" w:space="0"/>
              <w:right w:val="single" w:color="auto" w:sz="4" w:space="0"/>
            </w:tcBorders>
            <w:noWrap/>
            <w:vAlign w:val="center"/>
          </w:tcPr>
          <w:p w14:paraId="1F57AB30">
            <w:pPr>
              <w:adjustRightInd w:val="0"/>
              <w:snapToGrid w:val="0"/>
              <w:ind w:firstLine="360"/>
              <w:rPr>
                <w:rFonts w:ascii="宋体" w:hAnsi="宋体" w:cs="宋体"/>
                <w:sz w:val="21"/>
                <w:szCs w:val="21"/>
              </w:rPr>
            </w:pPr>
            <w:r>
              <w:rPr>
                <w:rFonts w:hint="eastAsia" w:ascii="宋体" w:hAnsi="宋体" w:cs="宋体"/>
                <w:sz w:val="21"/>
                <w:szCs w:val="21"/>
              </w:rPr>
              <w:t>◆局势稳定，经济快速发展，推动了</w:t>
            </w:r>
            <w:r>
              <w:rPr>
                <w:rFonts w:hint="eastAsia" w:ascii="宋体" w:hAnsi="宋体"/>
                <w:kern w:val="2"/>
                <w:sz w:val="21"/>
                <w:szCs w:val="21"/>
              </w:rPr>
              <w:t>缝制机械设备行业</w:t>
            </w:r>
            <w:r>
              <w:rPr>
                <w:rFonts w:hint="eastAsia" w:ascii="宋体" w:hAnsi="宋体" w:cs="宋体"/>
                <w:sz w:val="21"/>
                <w:szCs w:val="21"/>
              </w:rPr>
              <w:t>的稳步发展，为公司营造了优良的市场环境。</w:t>
            </w:r>
          </w:p>
          <w:p w14:paraId="014F124E">
            <w:pPr>
              <w:adjustRightInd w:val="0"/>
              <w:snapToGrid w:val="0"/>
              <w:ind w:firstLine="360"/>
              <w:rPr>
                <w:rFonts w:ascii="宋体" w:hAnsi="宋体" w:cs="宋体"/>
                <w:sz w:val="21"/>
                <w:szCs w:val="21"/>
              </w:rPr>
            </w:pPr>
            <w:r>
              <w:rPr>
                <w:rFonts w:hint="eastAsia" w:ascii="宋体" w:hAnsi="宋体" w:cs="宋体"/>
                <w:sz w:val="21"/>
                <w:szCs w:val="21"/>
              </w:rPr>
              <w:t>◆我国政府积极拉动内需，加大城乡建设与投资力度。</w:t>
            </w:r>
          </w:p>
          <w:p w14:paraId="517DE0D9">
            <w:pPr>
              <w:adjustRightInd w:val="0"/>
              <w:snapToGrid w:val="0"/>
              <w:ind w:firstLine="360"/>
              <w:rPr>
                <w:kern w:val="2"/>
                <w:sz w:val="21"/>
                <w:szCs w:val="21"/>
              </w:rPr>
            </w:pPr>
            <w:r>
              <w:rPr>
                <w:rFonts w:hint="eastAsia" w:ascii="宋体" w:hAnsi="宋体" w:cs="宋体"/>
                <w:sz w:val="21"/>
                <w:szCs w:val="21"/>
              </w:rPr>
              <w:t>◆</w:t>
            </w:r>
            <w:r>
              <w:rPr>
                <w:rFonts w:hint="eastAsia" w:ascii="宋体" w:hAnsi="宋体"/>
                <w:kern w:val="2"/>
                <w:sz w:val="21"/>
                <w:szCs w:val="21"/>
              </w:rPr>
              <w:t>“十四五”</w:t>
            </w:r>
            <w:r>
              <w:rPr>
                <w:kern w:val="2"/>
                <w:sz w:val="21"/>
                <w:szCs w:val="21"/>
              </w:rPr>
              <w:t>规划期间，政府将从改善民生出发，继续把</w:t>
            </w:r>
            <w:r>
              <w:rPr>
                <w:rFonts w:hint="eastAsia" w:ascii="宋体" w:hAnsi="宋体"/>
                <w:kern w:val="2"/>
                <w:sz w:val="21"/>
                <w:szCs w:val="21"/>
              </w:rPr>
              <w:t>“保增长、扩内需、调结构”</w:t>
            </w:r>
            <w:r>
              <w:rPr>
                <w:kern w:val="2"/>
                <w:sz w:val="21"/>
                <w:szCs w:val="21"/>
              </w:rPr>
              <w:t>作为宏观调控的重点。</w:t>
            </w:r>
            <w:r>
              <w:rPr>
                <w:rFonts w:hint="eastAsia"/>
                <w:kern w:val="2"/>
                <w:sz w:val="21"/>
                <w:szCs w:val="21"/>
              </w:rPr>
              <w:t>未来几年，</w:t>
            </w:r>
            <w:r>
              <w:rPr>
                <w:kern w:val="2"/>
                <w:sz w:val="21"/>
                <w:szCs w:val="21"/>
              </w:rPr>
              <w:t>中央及各地方政府从这一角度出发制定的宏观调控政策</w:t>
            </w:r>
            <w:r>
              <w:rPr>
                <w:rFonts w:hint="eastAsia"/>
                <w:kern w:val="2"/>
                <w:sz w:val="21"/>
                <w:szCs w:val="21"/>
              </w:rPr>
              <w:t>将会</w:t>
            </w:r>
            <w:r>
              <w:rPr>
                <w:kern w:val="2"/>
                <w:sz w:val="21"/>
                <w:szCs w:val="21"/>
              </w:rPr>
              <w:t>给</w:t>
            </w:r>
            <w:r>
              <w:rPr>
                <w:rFonts w:hint="eastAsia" w:ascii="宋体" w:hAnsi="宋体"/>
                <w:kern w:val="2"/>
                <w:sz w:val="21"/>
                <w:szCs w:val="21"/>
              </w:rPr>
              <w:t>缝制机械设备行业</w:t>
            </w:r>
            <w:r>
              <w:rPr>
                <w:kern w:val="2"/>
                <w:sz w:val="21"/>
                <w:szCs w:val="21"/>
              </w:rPr>
              <w:t>的发展带来积极的作用。</w:t>
            </w:r>
          </w:p>
        </w:tc>
        <w:tc>
          <w:tcPr>
            <w:tcW w:w="5017" w:type="dxa"/>
            <w:tcBorders>
              <w:top w:val="single" w:color="auto" w:sz="6" w:space="0"/>
              <w:left w:val="single" w:color="auto" w:sz="4" w:space="0"/>
              <w:bottom w:val="single" w:color="auto" w:sz="6" w:space="0"/>
            </w:tcBorders>
            <w:noWrap/>
            <w:vAlign w:val="center"/>
          </w:tcPr>
          <w:p w14:paraId="6527CC9B">
            <w:pPr>
              <w:rPr>
                <w:rFonts w:ascii="宋体" w:hAnsi="宋体"/>
                <w:kern w:val="2"/>
                <w:sz w:val="21"/>
                <w:szCs w:val="21"/>
              </w:rPr>
            </w:pPr>
            <w:r>
              <w:rPr>
                <w:rFonts w:hint="eastAsia" w:ascii="宋体" w:hAnsi="宋体" w:cs="宋体"/>
                <w:sz w:val="21"/>
                <w:szCs w:val="21"/>
              </w:rPr>
              <w:t>◆</w:t>
            </w:r>
            <w:r>
              <w:rPr>
                <w:rFonts w:hint="eastAsia" w:ascii="宋体" w:hAnsi="宋体"/>
                <w:kern w:val="2"/>
                <w:sz w:val="21"/>
                <w:szCs w:val="21"/>
              </w:rPr>
              <w:t>相关研究预测，十四五期间GDP增速。</w:t>
            </w:r>
          </w:p>
          <w:p w14:paraId="42E15191">
            <w:pPr>
              <w:rPr>
                <w:rFonts w:ascii="宋体" w:hAnsi="宋体"/>
                <w:kern w:val="2"/>
                <w:sz w:val="21"/>
                <w:szCs w:val="21"/>
              </w:rPr>
            </w:pPr>
            <w:r>
              <w:rPr>
                <w:rFonts w:hint="eastAsia" w:ascii="宋体" w:hAnsi="宋体" w:cs="宋体"/>
                <w:sz w:val="21"/>
                <w:szCs w:val="21"/>
              </w:rPr>
              <w:t>◆</w:t>
            </w:r>
            <w:r>
              <w:rPr>
                <w:rFonts w:hint="eastAsia"/>
                <w:kern w:val="2"/>
                <w:sz w:val="21"/>
                <w:szCs w:val="21"/>
              </w:rPr>
              <w:t>开始实施适度从紧的财政政策，在收紧银行、谨慎放款的政策下，民营企业融资途径减少，投资势头可能会得到抑制，进而引起原材料价格上涨，压缩企业的利润空间。</w:t>
            </w:r>
          </w:p>
          <w:p w14:paraId="5902F9CC">
            <w:pPr>
              <w:rPr>
                <w:rFonts w:ascii="宋体" w:hAnsi="宋体"/>
                <w:kern w:val="2"/>
                <w:sz w:val="21"/>
                <w:szCs w:val="21"/>
              </w:rPr>
            </w:pPr>
            <w:r>
              <w:rPr>
                <w:rFonts w:hint="eastAsia" w:ascii="宋体" w:hAnsi="宋体" w:cs="宋体"/>
                <w:sz w:val="21"/>
                <w:szCs w:val="21"/>
              </w:rPr>
              <w:t>◆</w:t>
            </w:r>
            <w:r>
              <w:rPr>
                <w:rFonts w:hint="eastAsia"/>
                <w:kern w:val="2"/>
                <w:sz w:val="21"/>
                <w:szCs w:val="21"/>
              </w:rPr>
              <w:t>从2015年开始，持续攀升的通货膨胀率对原材料价格、各类运营成本以及劳动力价格产生非常大的影响。</w:t>
            </w:r>
          </w:p>
        </w:tc>
      </w:tr>
      <w:tr w14:paraId="292E00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329" w:hRule="atLeast"/>
          <w:jc w:val="center"/>
        </w:trPr>
        <w:tc>
          <w:tcPr>
            <w:tcW w:w="4271" w:type="dxa"/>
            <w:tcBorders>
              <w:top w:val="single" w:color="auto" w:sz="6" w:space="0"/>
              <w:bottom w:val="single" w:color="auto" w:sz="6" w:space="0"/>
              <w:right w:val="single" w:color="auto" w:sz="4" w:space="0"/>
            </w:tcBorders>
            <w:shd w:val="clear" w:color="auto" w:fill="757070"/>
            <w:noWrap/>
            <w:vAlign w:val="center"/>
          </w:tcPr>
          <w:p w14:paraId="487696C7">
            <w:pPr>
              <w:jc w:val="center"/>
              <w:rPr>
                <w:rFonts w:ascii="宋体" w:hAnsi="宋体"/>
                <w:b/>
                <w:color w:val="FFFFFF"/>
                <w:kern w:val="2"/>
                <w:szCs w:val="21"/>
              </w:rPr>
            </w:pPr>
            <w:r>
              <w:rPr>
                <w:rFonts w:hint="eastAsia" w:ascii="宋体" w:hAnsi="宋体"/>
                <w:b/>
                <w:color w:val="FFFFFF"/>
                <w:kern w:val="2"/>
                <w:szCs w:val="21"/>
              </w:rPr>
              <w:t>技术环境分析(T)</w:t>
            </w:r>
          </w:p>
        </w:tc>
        <w:tc>
          <w:tcPr>
            <w:tcW w:w="5017" w:type="dxa"/>
            <w:tcBorders>
              <w:top w:val="single" w:color="auto" w:sz="6" w:space="0"/>
              <w:left w:val="single" w:color="auto" w:sz="4" w:space="0"/>
              <w:bottom w:val="single" w:color="auto" w:sz="6" w:space="0"/>
            </w:tcBorders>
            <w:shd w:val="clear" w:color="auto" w:fill="757070"/>
            <w:noWrap/>
            <w:vAlign w:val="center"/>
          </w:tcPr>
          <w:p w14:paraId="08831E4C">
            <w:pPr>
              <w:jc w:val="center"/>
              <w:rPr>
                <w:rFonts w:ascii="宋体" w:hAnsi="宋体"/>
                <w:b/>
                <w:color w:val="FFFFFF"/>
                <w:kern w:val="2"/>
                <w:szCs w:val="21"/>
              </w:rPr>
            </w:pPr>
            <w:r>
              <w:rPr>
                <w:rFonts w:hint="eastAsia" w:ascii="宋体" w:hAnsi="宋体"/>
                <w:b/>
                <w:color w:val="FFFFFF"/>
                <w:kern w:val="2"/>
                <w:szCs w:val="21"/>
              </w:rPr>
              <w:t>社会文化分析(S)</w:t>
            </w:r>
          </w:p>
        </w:tc>
      </w:tr>
      <w:tr w14:paraId="2E911F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2537" w:hRule="atLeast"/>
          <w:jc w:val="center"/>
        </w:trPr>
        <w:tc>
          <w:tcPr>
            <w:tcW w:w="4271" w:type="dxa"/>
            <w:tcBorders>
              <w:bottom w:val="single" w:color="auto" w:sz="6" w:space="0"/>
              <w:right w:val="single" w:color="auto" w:sz="4" w:space="0"/>
            </w:tcBorders>
            <w:noWrap/>
            <w:vAlign w:val="center"/>
          </w:tcPr>
          <w:p w14:paraId="64D460D8">
            <w:pPr>
              <w:rPr>
                <w:kern w:val="2"/>
                <w:sz w:val="21"/>
                <w:szCs w:val="21"/>
              </w:rPr>
            </w:pPr>
            <w:r>
              <w:rPr>
                <w:rFonts w:hint="eastAsia" w:ascii="宋体" w:hAnsi="宋体" w:cs="宋体"/>
                <w:sz w:val="21"/>
                <w:szCs w:val="21"/>
              </w:rPr>
              <w:t>◆</w:t>
            </w:r>
            <w:r>
              <w:rPr>
                <w:rFonts w:hint="eastAsia"/>
                <w:kern w:val="2"/>
                <w:sz w:val="21"/>
                <w:szCs w:val="21"/>
              </w:rPr>
              <w:t>信息化水平的提高大幅提升了公司管理的效率，节省了管理成本。</w:t>
            </w:r>
          </w:p>
          <w:p w14:paraId="42941E3A">
            <w:pPr>
              <w:jc w:val="center"/>
              <w:rPr>
                <w:kern w:val="2"/>
                <w:sz w:val="21"/>
                <w:szCs w:val="21"/>
              </w:rPr>
            </w:pPr>
            <w:r>
              <w:rPr>
                <w:rFonts w:hint="eastAsia" w:ascii="宋体" w:hAnsi="宋体" w:cs="宋体"/>
                <w:sz w:val="21"/>
                <w:szCs w:val="21"/>
              </w:rPr>
              <w:t>◆</w:t>
            </w:r>
            <w:r>
              <w:rPr>
                <w:rFonts w:hint="eastAsia"/>
                <w:kern w:val="2"/>
                <w:sz w:val="21"/>
                <w:szCs w:val="21"/>
              </w:rPr>
              <w:t>各种新材料、新技术、新工艺的开发应用提高了产品的附加值，增强了产品的竞争力。</w:t>
            </w:r>
          </w:p>
          <w:p w14:paraId="47587627">
            <w:pPr>
              <w:rPr>
                <w:rFonts w:ascii="宋体" w:hAnsi="宋体" w:cs="宋体"/>
                <w:sz w:val="21"/>
                <w:szCs w:val="21"/>
              </w:rPr>
            </w:pPr>
            <w:r>
              <w:rPr>
                <w:rFonts w:hint="eastAsia" w:ascii="宋体" w:hAnsi="宋体" w:cs="宋体"/>
                <w:sz w:val="21"/>
                <w:szCs w:val="21"/>
              </w:rPr>
              <w:t>◆整个产业设备先进性在提高，从而提高了高效，以及产品质量等。</w:t>
            </w:r>
          </w:p>
        </w:tc>
        <w:tc>
          <w:tcPr>
            <w:tcW w:w="5017" w:type="dxa"/>
            <w:tcBorders>
              <w:left w:val="single" w:color="auto" w:sz="4" w:space="0"/>
              <w:bottom w:val="single" w:color="auto" w:sz="6" w:space="0"/>
            </w:tcBorders>
            <w:noWrap/>
            <w:vAlign w:val="center"/>
          </w:tcPr>
          <w:p w14:paraId="27B9A344">
            <w:pPr>
              <w:rPr>
                <w:kern w:val="2"/>
                <w:sz w:val="21"/>
                <w:szCs w:val="21"/>
              </w:rPr>
            </w:pPr>
            <w:r>
              <w:rPr>
                <w:rFonts w:hint="eastAsia" w:ascii="宋体" w:hAnsi="宋体" w:cs="宋体"/>
                <w:sz w:val="21"/>
                <w:szCs w:val="21"/>
              </w:rPr>
              <w:t>◆</w:t>
            </w:r>
            <w:r>
              <w:rPr>
                <w:rFonts w:hint="eastAsia"/>
                <w:kern w:val="2"/>
                <w:sz w:val="21"/>
                <w:szCs w:val="21"/>
              </w:rPr>
              <w:t>教育水平的提高促进了人口素质的不断提高，为企业提供了具有竞争力的人力资源。</w:t>
            </w:r>
          </w:p>
          <w:p w14:paraId="17B92D2A">
            <w:pPr>
              <w:spacing w:line="240" w:lineRule="exact"/>
              <w:rPr>
                <w:kern w:val="2"/>
                <w:sz w:val="21"/>
                <w:szCs w:val="21"/>
              </w:rPr>
            </w:pPr>
          </w:p>
          <w:p w14:paraId="36066658">
            <w:pPr>
              <w:rPr>
                <w:kern w:val="2"/>
                <w:sz w:val="21"/>
                <w:szCs w:val="21"/>
              </w:rPr>
            </w:pPr>
            <w:r>
              <w:rPr>
                <w:rFonts w:hint="eastAsia" w:ascii="宋体" w:hAnsi="宋体" w:cs="宋体"/>
                <w:sz w:val="21"/>
                <w:szCs w:val="21"/>
              </w:rPr>
              <w:t>◆</w:t>
            </w:r>
            <w:r>
              <w:rPr>
                <w:rFonts w:hint="eastAsia"/>
                <w:kern w:val="2"/>
                <w:sz w:val="21"/>
                <w:szCs w:val="21"/>
              </w:rPr>
              <w:t>同时员工对工作的需求也发生了变化，需求层次不断提高。</w:t>
            </w:r>
          </w:p>
        </w:tc>
      </w:tr>
    </w:tbl>
    <w:p w14:paraId="107BE42A">
      <w:pPr>
        <w:adjustRightInd w:val="0"/>
        <w:snapToGrid w:val="0"/>
        <w:spacing w:line="360" w:lineRule="auto"/>
        <w:jc w:val="center"/>
        <w:rPr>
          <w:rFonts w:ascii="宋体" w:hAnsi="宋体"/>
          <w:b/>
        </w:rPr>
      </w:pPr>
    </w:p>
    <w:p w14:paraId="7BECE9CF">
      <w:pPr>
        <w:adjustRightInd w:val="0"/>
        <w:snapToGrid w:val="0"/>
        <w:spacing w:line="360" w:lineRule="auto"/>
        <w:jc w:val="center"/>
        <w:rPr>
          <w:rFonts w:ascii="宋体" w:hAnsi="宋体"/>
          <w:b/>
        </w:rPr>
      </w:pPr>
    </w:p>
    <w:p w14:paraId="4AD2A023">
      <w:pPr>
        <w:adjustRightInd w:val="0"/>
        <w:snapToGrid w:val="0"/>
        <w:spacing w:line="360" w:lineRule="auto"/>
        <w:jc w:val="center"/>
        <w:rPr>
          <w:rFonts w:ascii="宋体" w:hAnsi="宋体"/>
          <w:b/>
        </w:rPr>
      </w:pPr>
      <w:r>
        <w:rPr>
          <w:rFonts w:hint="eastAsia" w:ascii="宋体" w:hAnsi="宋体"/>
          <w:b/>
        </w:rPr>
        <w:t>表4.2-3 公司的关键成功因素</w:t>
      </w:r>
    </w:p>
    <w:tbl>
      <w:tblPr>
        <w:tblStyle w:val="22"/>
        <w:tblW w:w="9198"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57" w:type="dxa"/>
          <w:left w:w="108" w:type="dxa"/>
          <w:bottom w:w="57" w:type="dxa"/>
          <w:right w:w="108" w:type="dxa"/>
        </w:tblCellMar>
      </w:tblPr>
      <w:tblGrid>
        <w:gridCol w:w="1946"/>
        <w:gridCol w:w="7252"/>
      </w:tblGrid>
      <w:tr w14:paraId="4105EF9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57" w:type="dxa"/>
            <w:left w:w="108" w:type="dxa"/>
            <w:bottom w:w="57" w:type="dxa"/>
            <w:right w:w="108" w:type="dxa"/>
          </w:tblCellMar>
        </w:tblPrEx>
        <w:trPr>
          <w:trHeight w:val="697" w:hRule="atLeast"/>
          <w:jc w:val="center"/>
        </w:trPr>
        <w:tc>
          <w:tcPr>
            <w:tcW w:w="1946" w:type="dxa"/>
            <w:shd w:val="clear" w:color="auto" w:fill="757070"/>
            <w:noWrap/>
            <w:vAlign w:val="center"/>
          </w:tcPr>
          <w:p w14:paraId="0D5634F6">
            <w:pPr>
              <w:adjustRightInd w:val="0"/>
              <w:snapToGrid w:val="0"/>
              <w:jc w:val="center"/>
              <w:rPr>
                <w:rFonts w:ascii="Arial" w:hAnsi="Arial" w:cs="Arial"/>
                <w:b/>
                <w:szCs w:val="21"/>
              </w:rPr>
            </w:pPr>
            <w:r>
              <w:rPr>
                <w:rFonts w:hint="eastAsia" w:ascii="Arial" w:hAnsi="宋体" w:cs="Arial"/>
                <w:b/>
                <w:szCs w:val="21"/>
              </w:rPr>
              <w:t>公司可持续发展的重要</w:t>
            </w:r>
            <w:r>
              <w:rPr>
                <w:rFonts w:ascii="Arial" w:hAnsi="宋体" w:cs="Arial"/>
                <w:b/>
                <w:szCs w:val="21"/>
              </w:rPr>
              <w:t>因素</w:t>
            </w:r>
          </w:p>
        </w:tc>
        <w:tc>
          <w:tcPr>
            <w:tcW w:w="7252" w:type="dxa"/>
            <w:shd w:val="clear" w:color="auto" w:fill="757070"/>
            <w:noWrap/>
            <w:vAlign w:val="center"/>
          </w:tcPr>
          <w:p w14:paraId="3F3A7777">
            <w:pPr>
              <w:adjustRightInd w:val="0"/>
              <w:snapToGrid w:val="0"/>
              <w:jc w:val="center"/>
              <w:rPr>
                <w:rFonts w:ascii="Arial" w:hAnsi="Arial" w:cs="Arial"/>
                <w:b/>
                <w:szCs w:val="21"/>
              </w:rPr>
            </w:pPr>
            <w:r>
              <w:rPr>
                <w:rFonts w:ascii="Arial" w:hAnsi="宋体" w:cs="Arial"/>
                <w:b/>
                <w:szCs w:val="21"/>
              </w:rPr>
              <w:t>具体解释</w:t>
            </w:r>
          </w:p>
        </w:tc>
      </w:tr>
      <w:tr w14:paraId="7F8636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57" w:type="dxa"/>
            <w:left w:w="108" w:type="dxa"/>
            <w:bottom w:w="57" w:type="dxa"/>
            <w:right w:w="108" w:type="dxa"/>
          </w:tblCellMar>
        </w:tblPrEx>
        <w:trPr>
          <w:trHeight w:val="397" w:hRule="atLeast"/>
          <w:jc w:val="center"/>
        </w:trPr>
        <w:tc>
          <w:tcPr>
            <w:tcW w:w="1946" w:type="dxa"/>
            <w:noWrap/>
            <w:vAlign w:val="center"/>
          </w:tcPr>
          <w:p w14:paraId="1BC63CA5">
            <w:pPr>
              <w:adjustRightInd w:val="0"/>
              <w:snapToGrid w:val="0"/>
              <w:spacing w:line="320" w:lineRule="exact"/>
              <w:jc w:val="center"/>
              <w:rPr>
                <w:rFonts w:ascii="宋体" w:hAnsi="宋体" w:cs="Arial"/>
                <w:sz w:val="21"/>
                <w:szCs w:val="21"/>
              </w:rPr>
            </w:pPr>
            <w:r>
              <w:rPr>
                <w:rFonts w:ascii="宋体" w:hAnsi="宋体" w:cs="Arial"/>
                <w:sz w:val="21"/>
                <w:szCs w:val="21"/>
              </w:rPr>
              <w:t>高层</w:t>
            </w:r>
            <w:r>
              <w:rPr>
                <w:rFonts w:hint="eastAsia" w:ascii="宋体" w:hAnsi="宋体" w:cs="Arial"/>
                <w:sz w:val="21"/>
                <w:szCs w:val="21"/>
              </w:rPr>
              <w:t>领导</w:t>
            </w:r>
            <w:r>
              <w:rPr>
                <w:rFonts w:ascii="宋体" w:hAnsi="宋体" w:cs="Arial"/>
                <w:sz w:val="21"/>
                <w:szCs w:val="21"/>
              </w:rPr>
              <w:t>的决策与战略执行力</w:t>
            </w:r>
          </w:p>
        </w:tc>
        <w:tc>
          <w:tcPr>
            <w:tcW w:w="7252" w:type="dxa"/>
            <w:noWrap/>
            <w:vAlign w:val="center"/>
          </w:tcPr>
          <w:p w14:paraId="1F113AEB">
            <w:pPr>
              <w:spacing w:line="320" w:lineRule="exact"/>
              <w:rPr>
                <w:rFonts w:ascii="宋体" w:hAnsi="宋体" w:cs="宋体"/>
                <w:sz w:val="21"/>
                <w:szCs w:val="21"/>
              </w:rPr>
            </w:pPr>
            <w:r>
              <w:rPr>
                <w:rFonts w:hint="eastAsia" w:ascii="宋体" w:hAnsi="宋体" w:cs="宋体"/>
                <w:sz w:val="21"/>
                <w:szCs w:val="21"/>
              </w:rPr>
              <w:t>1、高层领导洞悉市场变化能力强，能够快速反应，做出正确的决策；</w:t>
            </w:r>
          </w:p>
          <w:p w14:paraId="730E0CF4">
            <w:pPr>
              <w:spacing w:line="320" w:lineRule="exact"/>
              <w:rPr>
                <w:rFonts w:ascii="宋体" w:hAnsi="宋体" w:cs="宋体"/>
                <w:sz w:val="21"/>
                <w:szCs w:val="21"/>
              </w:rPr>
            </w:pPr>
            <w:r>
              <w:rPr>
                <w:rFonts w:hint="eastAsia" w:ascii="宋体" w:hAnsi="宋体" w:cs="宋体"/>
                <w:sz w:val="21"/>
                <w:szCs w:val="21"/>
              </w:rPr>
              <w:t>2、借鉴同行业企业的成功经验及相关政策的引导，做出正确的决策；</w:t>
            </w:r>
          </w:p>
          <w:p w14:paraId="7D13E6B2">
            <w:pPr>
              <w:adjustRightInd w:val="0"/>
              <w:snapToGrid w:val="0"/>
              <w:spacing w:line="320" w:lineRule="exact"/>
              <w:rPr>
                <w:rFonts w:ascii="宋体" w:hAnsi="宋体" w:cs="Arial"/>
                <w:color w:val="0000FF"/>
                <w:sz w:val="21"/>
                <w:szCs w:val="21"/>
              </w:rPr>
            </w:pPr>
            <w:r>
              <w:rPr>
                <w:rFonts w:hint="eastAsia" w:ascii="宋体" w:hAnsi="宋体" w:cs="宋体"/>
                <w:sz w:val="21"/>
                <w:szCs w:val="21"/>
              </w:rPr>
              <w:t>3、中层的积极配合，响应高层号召，具有较强的执行力。</w:t>
            </w:r>
          </w:p>
        </w:tc>
      </w:tr>
      <w:tr w14:paraId="5AF430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57" w:type="dxa"/>
            <w:left w:w="108" w:type="dxa"/>
            <w:bottom w:w="57" w:type="dxa"/>
            <w:right w:w="108" w:type="dxa"/>
          </w:tblCellMar>
        </w:tblPrEx>
        <w:trPr>
          <w:trHeight w:val="397" w:hRule="atLeast"/>
          <w:jc w:val="center"/>
        </w:trPr>
        <w:tc>
          <w:tcPr>
            <w:tcW w:w="1946" w:type="dxa"/>
            <w:noWrap/>
            <w:vAlign w:val="center"/>
          </w:tcPr>
          <w:p w14:paraId="5AF1EF61">
            <w:pPr>
              <w:adjustRightInd w:val="0"/>
              <w:snapToGrid w:val="0"/>
              <w:spacing w:after="93" w:afterLines="30" w:line="320" w:lineRule="exact"/>
              <w:jc w:val="center"/>
              <w:rPr>
                <w:rFonts w:ascii="宋体" w:hAnsi="宋体" w:cs="宋体"/>
                <w:color w:val="000000"/>
                <w:sz w:val="21"/>
                <w:szCs w:val="21"/>
              </w:rPr>
            </w:pPr>
            <w:r>
              <w:rPr>
                <w:rFonts w:hint="eastAsia" w:ascii="宋体" w:hAnsi="宋体" w:cs="宋体"/>
                <w:color w:val="000000"/>
                <w:sz w:val="21"/>
                <w:szCs w:val="21"/>
              </w:rPr>
              <w:t>牢固的市场地位</w:t>
            </w:r>
          </w:p>
        </w:tc>
        <w:tc>
          <w:tcPr>
            <w:tcW w:w="7252" w:type="dxa"/>
            <w:noWrap/>
            <w:vAlign w:val="center"/>
          </w:tcPr>
          <w:p w14:paraId="0E793508">
            <w:pPr>
              <w:spacing w:line="320" w:lineRule="exact"/>
              <w:rPr>
                <w:rFonts w:ascii="宋体" w:hAnsi="宋体" w:cs="宋体"/>
                <w:sz w:val="21"/>
                <w:szCs w:val="21"/>
              </w:rPr>
            </w:pPr>
            <w:r>
              <w:rPr>
                <w:rFonts w:hint="eastAsia" w:ascii="宋体" w:hAnsi="宋体" w:cs="宋体"/>
                <w:sz w:val="21"/>
                <w:szCs w:val="21"/>
              </w:rPr>
              <w:t>公司通过</w:t>
            </w:r>
            <w:r>
              <w:rPr>
                <w:rFonts w:hint="eastAsia"/>
                <w:kern w:val="2"/>
                <w:sz w:val="21"/>
                <w:szCs w:val="21"/>
              </w:rPr>
              <w:t>与战略合作客户</w:t>
            </w:r>
            <w:r>
              <w:rPr>
                <w:rFonts w:hint="eastAsia" w:ascii="宋体" w:hAnsi="宋体" w:cs="宋体"/>
                <w:sz w:val="21"/>
                <w:szCs w:val="21"/>
              </w:rPr>
              <w:t>建成较完善的销售与服务网络，市场地位牢固，实现互利双赢、共同发展。</w:t>
            </w:r>
          </w:p>
        </w:tc>
      </w:tr>
      <w:tr w14:paraId="05BFB9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57" w:type="dxa"/>
            <w:left w:w="108" w:type="dxa"/>
            <w:bottom w:w="57" w:type="dxa"/>
            <w:right w:w="108" w:type="dxa"/>
          </w:tblCellMar>
        </w:tblPrEx>
        <w:trPr>
          <w:trHeight w:val="397" w:hRule="atLeast"/>
          <w:jc w:val="center"/>
        </w:trPr>
        <w:tc>
          <w:tcPr>
            <w:tcW w:w="1946" w:type="dxa"/>
            <w:noWrap/>
            <w:vAlign w:val="center"/>
          </w:tcPr>
          <w:p w14:paraId="64FEFC1B">
            <w:pPr>
              <w:adjustRightInd w:val="0"/>
              <w:snapToGrid w:val="0"/>
              <w:spacing w:line="320" w:lineRule="exact"/>
              <w:jc w:val="center"/>
              <w:rPr>
                <w:color w:val="000000"/>
                <w:kern w:val="2"/>
                <w:sz w:val="21"/>
                <w:szCs w:val="21"/>
              </w:rPr>
            </w:pPr>
            <w:r>
              <w:rPr>
                <w:rFonts w:hint="eastAsia" w:ascii="宋体" w:hAnsi="宋体" w:cs="宋体"/>
                <w:sz w:val="21"/>
                <w:szCs w:val="21"/>
              </w:rPr>
              <w:t>先进的技术</w:t>
            </w:r>
          </w:p>
        </w:tc>
        <w:tc>
          <w:tcPr>
            <w:tcW w:w="7252" w:type="dxa"/>
            <w:noWrap/>
            <w:vAlign w:val="center"/>
          </w:tcPr>
          <w:p w14:paraId="251A8727">
            <w:pPr>
              <w:rPr>
                <w:rFonts w:ascii="宋体" w:hAnsi="宋体" w:cs="新宋体"/>
                <w:color w:val="000000"/>
                <w:spacing w:val="-6"/>
                <w:kern w:val="2"/>
                <w:sz w:val="21"/>
                <w:szCs w:val="21"/>
              </w:rPr>
            </w:pPr>
            <w:r>
              <w:rPr>
                <w:rFonts w:hint="eastAsia" w:ascii="宋体" w:hAnsi="宋体" w:cs="宋体"/>
                <w:sz w:val="21"/>
                <w:szCs w:val="21"/>
              </w:rPr>
              <w:t>公司在跟科研院校合作的情况下，不断提升技术创新能力。</w:t>
            </w:r>
          </w:p>
        </w:tc>
      </w:tr>
      <w:tr w14:paraId="14B6542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57" w:type="dxa"/>
            <w:left w:w="108" w:type="dxa"/>
            <w:bottom w:w="57" w:type="dxa"/>
            <w:right w:w="108" w:type="dxa"/>
          </w:tblCellMar>
        </w:tblPrEx>
        <w:trPr>
          <w:jc w:val="center"/>
        </w:trPr>
        <w:tc>
          <w:tcPr>
            <w:tcW w:w="1946" w:type="dxa"/>
            <w:noWrap/>
            <w:vAlign w:val="center"/>
          </w:tcPr>
          <w:p w14:paraId="274A0CD5">
            <w:pPr>
              <w:adjustRightInd w:val="0"/>
              <w:snapToGrid w:val="0"/>
              <w:spacing w:line="320" w:lineRule="exact"/>
              <w:jc w:val="center"/>
              <w:rPr>
                <w:rFonts w:ascii="宋体" w:hAnsi="宋体" w:cs="Arial"/>
                <w:sz w:val="21"/>
                <w:szCs w:val="21"/>
              </w:rPr>
            </w:pPr>
            <w:r>
              <w:rPr>
                <w:rFonts w:ascii="宋体" w:hAnsi="宋体" w:cs="Arial"/>
                <w:sz w:val="21"/>
                <w:szCs w:val="21"/>
              </w:rPr>
              <w:t>企业文化</w:t>
            </w:r>
          </w:p>
        </w:tc>
        <w:tc>
          <w:tcPr>
            <w:tcW w:w="7252" w:type="dxa"/>
            <w:noWrap/>
            <w:vAlign w:val="center"/>
          </w:tcPr>
          <w:p w14:paraId="5EDB0E09">
            <w:pPr>
              <w:adjustRightInd w:val="0"/>
              <w:snapToGrid w:val="0"/>
              <w:spacing w:line="320" w:lineRule="exact"/>
              <w:rPr>
                <w:rFonts w:ascii="宋体" w:hAnsi="宋体" w:cs="Arial"/>
                <w:color w:val="0000FF"/>
                <w:sz w:val="21"/>
                <w:szCs w:val="21"/>
              </w:rPr>
            </w:pPr>
            <w:r>
              <w:rPr>
                <w:rFonts w:ascii="宋体" w:hAnsi="宋体" w:cs="Arial"/>
                <w:kern w:val="2"/>
                <w:sz w:val="21"/>
                <w:szCs w:val="21"/>
              </w:rPr>
              <w:t>公司形成了独具特色的企业文化，主张团结、协作，使每位员工都有归宿感及更广阔的空间。</w:t>
            </w:r>
          </w:p>
        </w:tc>
      </w:tr>
    </w:tbl>
    <w:p w14:paraId="31C615D6">
      <w:pPr>
        <w:spacing w:before="156" w:beforeLines="50"/>
        <w:jc w:val="center"/>
        <w:rPr>
          <w:rFonts w:ascii="宋体" w:hAnsi="宋体"/>
        </w:rPr>
      </w:pPr>
      <w:r>
        <w:rPr>
          <w:rFonts w:hint="eastAsia" w:ascii="宋体" w:hAnsi="宋体"/>
        </w:rPr>
        <w:t>公司运用五力模型图对行业竞争环境进行分析，具体见下图4.2-3</w:t>
      </w:r>
    </w:p>
    <w:p w14:paraId="17406DCA">
      <w:pPr>
        <w:spacing w:before="156" w:beforeLines="50"/>
        <w:jc w:val="center"/>
        <w:rPr>
          <w:rFonts w:ascii="宋体" w:hAnsi="宋体"/>
        </w:rPr>
      </w:pPr>
    </w:p>
    <w:p w14:paraId="1DC096F5">
      <w:pPr>
        <w:spacing w:before="156" w:beforeLines="50" w:line="480" w:lineRule="auto"/>
        <w:jc w:val="center"/>
        <w:rPr>
          <w:rFonts w:ascii="宋体" w:hAnsi="宋体"/>
        </w:rPr>
      </w:pPr>
      <w:r>
        <w:drawing>
          <wp:inline distT="0" distB="0" distL="114300" distR="114300">
            <wp:extent cx="5483225" cy="4395470"/>
            <wp:effectExtent l="0" t="0" r="3175" b="5080"/>
            <wp:docPr id="3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4"/>
                    <pic:cNvPicPr>
                      <a:picLocks noChangeAspect="1"/>
                    </pic:cNvPicPr>
                  </pic:nvPicPr>
                  <pic:blipFill>
                    <a:blip r:embed="rId14"/>
                    <a:stretch>
                      <a:fillRect/>
                    </a:stretch>
                  </pic:blipFill>
                  <pic:spPr>
                    <a:xfrm>
                      <a:off x="0" y="0"/>
                      <a:ext cx="5483225" cy="4395470"/>
                    </a:xfrm>
                    <a:prstGeom prst="rect">
                      <a:avLst/>
                    </a:prstGeom>
                    <a:noFill/>
                    <a:ln>
                      <a:noFill/>
                    </a:ln>
                  </pic:spPr>
                </pic:pic>
              </a:graphicData>
            </a:graphic>
          </wp:inline>
        </w:drawing>
      </w:r>
    </w:p>
    <w:p w14:paraId="006BEDCE">
      <w:pPr>
        <w:rPr>
          <w:rFonts w:ascii="宋体" w:hAnsi="宋体"/>
          <w:b/>
        </w:rPr>
      </w:pPr>
    </w:p>
    <w:p w14:paraId="478E9F2C">
      <w:pPr>
        <w:spacing w:line="360" w:lineRule="auto"/>
        <w:ind w:firstLine="480" w:firstLineChars="200"/>
        <w:rPr>
          <w:rFonts w:ascii="宋体" w:hAnsi="宋体"/>
        </w:rPr>
      </w:pPr>
      <w:r>
        <w:rPr>
          <w:rFonts w:hint="eastAsia" w:ascii="宋体" w:hAnsi="宋体"/>
        </w:rPr>
        <w:t>综合对公司的外部宏观环境、产业环境和企业内部资源的分析，运用SWOT分析方法，结合当前的实际运营状况，总结出公司发展中的比较优势、面临问题、发展机遇和存在的挑战，如表4.2-4所示：</w:t>
      </w:r>
    </w:p>
    <w:p w14:paraId="457D42B0">
      <w:pPr>
        <w:spacing w:before="156" w:beforeLines="50" w:line="360" w:lineRule="auto"/>
        <w:jc w:val="center"/>
        <w:rPr>
          <w:rFonts w:ascii="宋体" w:hAnsi="宋体"/>
          <w:b/>
        </w:rPr>
      </w:pPr>
      <w:r>
        <w:rPr>
          <w:rFonts w:hint="eastAsia" w:ascii="宋体" w:hAnsi="宋体"/>
          <w:b/>
        </w:rPr>
        <w:t>表4.2-4 SWOT矩阵分析</w:t>
      </w:r>
    </w:p>
    <w:tbl>
      <w:tblPr>
        <w:tblStyle w:val="22"/>
        <w:tblW w:w="896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57" w:type="dxa"/>
          <w:left w:w="0" w:type="dxa"/>
          <w:bottom w:w="57" w:type="dxa"/>
          <w:right w:w="0" w:type="dxa"/>
        </w:tblCellMar>
      </w:tblPr>
      <w:tblGrid>
        <w:gridCol w:w="440"/>
        <w:gridCol w:w="2510"/>
        <w:gridCol w:w="3332"/>
        <w:gridCol w:w="2684"/>
      </w:tblGrid>
      <w:tr w14:paraId="4F9E3E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0" w:type="dxa"/>
            <w:bottom w:w="57" w:type="dxa"/>
            <w:right w:w="0" w:type="dxa"/>
          </w:tblCellMar>
        </w:tblPrEx>
        <w:trPr>
          <w:trHeight w:val="1774" w:hRule="atLeast"/>
          <w:jc w:val="center"/>
        </w:trPr>
        <w:tc>
          <w:tcPr>
            <w:tcW w:w="2950" w:type="dxa"/>
            <w:gridSpan w:val="2"/>
            <w:tcBorders>
              <w:top w:val="single" w:color="auto" w:sz="12" w:space="0"/>
              <w:bottom w:val="single" w:color="auto" w:sz="6" w:space="0"/>
              <w:tl2br w:val="single" w:color="auto" w:sz="4" w:space="0"/>
            </w:tcBorders>
            <w:shd w:val="clear" w:color="auto" w:fill="757070"/>
            <w:noWrap/>
            <w:vAlign w:val="center"/>
          </w:tcPr>
          <w:p w14:paraId="717427DC">
            <w:pPr>
              <w:ind w:right="60"/>
              <w:jc w:val="right"/>
              <w:rPr>
                <w:rFonts w:ascii="宋体" w:hAnsi="宋体" w:cs="宋体"/>
                <w:szCs w:val="21"/>
              </w:rPr>
            </w:pPr>
            <w:r>
              <w:rPr>
                <w:rFonts w:hint="eastAsia" w:ascii="宋体" w:hAnsi="宋体" w:cs="宋体"/>
                <w:b/>
                <w:szCs w:val="21"/>
              </w:rPr>
              <w:t>内部优势与劣势</w:t>
            </w:r>
          </w:p>
          <w:p w14:paraId="102A1F88">
            <w:pPr>
              <w:adjustRightInd w:val="0"/>
              <w:snapToGrid w:val="0"/>
              <w:ind w:firstLine="361"/>
              <w:rPr>
                <w:rFonts w:ascii="宋体" w:hAnsi="宋体" w:cs="宋体"/>
                <w:b/>
                <w:kern w:val="2"/>
                <w:szCs w:val="21"/>
              </w:rPr>
            </w:pPr>
          </w:p>
          <w:p w14:paraId="3B085A94">
            <w:pPr>
              <w:adjustRightInd w:val="0"/>
              <w:snapToGrid w:val="0"/>
              <w:rPr>
                <w:rFonts w:ascii="宋体" w:hAnsi="宋体"/>
                <w:b/>
                <w:kern w:val="2"/>
                <w:sz w:val="18"/>
                <w:szCs w:val="18"/>
              </w:rPr>
            </w:pPr>
            <w:r>
              <w:rPr>
                <w:rFonts w:hint="eastAsia" w:ascii="宋体" w:hAnsi="宋体" w:cs="宋体"/>
                <w:b/>
                <w:kern w:val="2"/>
                <w:szCs w:val="21"/>
              </w:rPr>
              <w:t xml:space="preserve"> 外部机会与威胁</w:t>
            </w:r>
          </w:p>
        </w:tc>
        <w:tc>
          <w:tcPr>
            <w:tcW w:w="3332" w:type="dxa"/>
            <w:tcBorders>
              <w:top w:val="single" w:color="auto" w:sz="12" w:space="0"/>
              <w:bottom w:val="single" w:color="auto" w:sz="6" w:space="0"/>
            </w:tcBorders>
            <w:shd w:val="clear" w:color="auto" w:fill="757070"/>
            <w:noWrap/>
            <w:vAlign w:val="center"/>
          </w:tcPr>
          <w:p w14:paraId="4A87C61E">
            <w:pPr>
              <w:spacing w:line="260" w:lineRule="exact"/>
              <w:rPr>
                <w:rFonts w:ascii="宋体" w:hAnsi="宋体" w:cs="宋体"/>
                <w:b/>
                <w:szCs w:val="21"/>
              </w:rPr>
            </w:pPr>
            <w:r>
              <w:rPr>
                <w:rFonts w:hint="eastAsia" w:ascii="宋体" w:hAnsi="宋体" w:cs="宋体"/>
                <w:b/>
                <w:szCs w:val="21"/>
              </w:rPr>
              <w:t>优势（S</w:t>
            </w:r>
            <w:r>
              <w:rPr>
                <w:rFonts w:ascii="宋体" w:hAnsi="宋体" w:cs="宋体"/>
                <w:b/>
                <w:szCs w:val="21"/>
              </w:rPr>
              <w:t>）</w:t>
            </w:r>
          </w:p>
          <w:p w14:paraId="55C84B62">
            <w:pPr>
              <w:spacing w:line="260" w:lineRule="exact"/>
              <w:rPr>
                <w:rFonts w:ascii="宋体" w:hAnsi="宋体" w:cs="宋体"/>
                <w:szCs w:val="21"/>
              </w:rPr>
            </w:pPr>
            <w:r>
              <w:rPr>
                <w:rFonts w:hint="eastAsia" w:ascii="宋体" w:hAnsi="宋体" w:cs="宋体"/>
                <w:szCs w:val="21"/>
              </w:rPr>
              <w:t>S</w:t>
            </w:r>
            <w:r>
              <w:rPr>
                <w:rFonts w:ascii="宋体" w:hAnsi="宋体" w:cs="宋体"/>
                <w:szCs w:val="21"/>
              </w:rPr>
              <w:t>1</w:t>
            </w:r>
            <w:r>
              <w:rPr>
                <w:rFonts w:hint="eastAsia" w:ascii="宋体" w:hAnsi="宋体" w:cs="宋体"/>
                <w:szCs w:val="21"/>
              </w:rPr>
              <w:t xml:space="preserve"> 强大的生产能力；</w:t>
            </w:r>
          </w:p>
          <w:p w14:paraId="0000CA51">
            <w:pPr>
              <w:spacing w:line="260" w:lineRule="exact"/>
              <w:rPr>
                <w:rFonts w:ascii="宋体" w:hAnsi="宋体" w:cs="宋体"/>
                <w:szCs w:val="21"/>
              </w:rPr>
            </w:pPr>
            <w:r>
              <w:rPr>
                <w:rFonts w:ascii="宋体" w:hAnsi="宋体" w:cs="宋体"/>
                <w:szCs w:val="21"/>
              </w:rPr>
              <w:t>S</w:t>
            </w:r>
            <w:r>
              <w:rPr>
                <w:rFonts w:hint="eastAsia" w:ascii="宋体" w:hAnsi="宋体" w:cs="宋体"/>
                <w:szCs w:val="21"/>
              </w:rPr>
              <w:t>2 市场地位牢固；</w:t>
            </w:r>
          </w:p>
          <w:p w14:paraId="395E457D">
            <w:pPr>
              <w:spacing w:line="260" w:lineRule="exact"/>
              <w:rPr>
                <w:rFonts w:ascii="宋体" w:hAnsi="宋体" w:cs="宋体"/>
                <w:szCs w:val="21"/>
              </w:rPr>
            </w:pPr>
            <w:r>
              <w:rPr>
                <w:rFonts w:ascii="宋体" w:hAnsi="宋体" w:cs="宋体"/>
                <w:szCs w:val="21"/>
              </w:rPr>
              <w:t>S</w:t>
            </w:r>
            <w:r>
              <w:rPr>
                <w:rFonts w:hint="eastAsia" w:ascii="宋体" w:hAnsi="宋体" w:cs="宋体"/>
                <w:szCs w:val="21"/>
              </w:rPr>
              <w:t>3 先进的技术；</w:t>
            </w:r>
          </w:p>
          <w:p w14:paraId="709CB1DD">
            <w:pPr>
              <w:spacing w:line="260" w:lineRule="exact"/>
              <w:rPr>
                <w:rFonts w:ascii="宋体" w:hAnsi="宋体" w:cs="宋体"/>
                <w:szCs w:val="21"/>
              </w:rPr>
            </w:pPr>
            <w:r>
              <w:rPr>
                <w:rFonts w:ascii="宋体" w:hAnsi="宋体" w:cs="宋体"/>
                <w:szCs w:val="21"/>
              </w:rPr>
              <w:t>S</w:t>
            </w:r>
            <w:r>
              <w:rPr>
                <w:rFonts w:hint="eastAsia" w:ascii="宋体" w:hAnsi="宋体" w:cs="宋体"/>
                <w:szCs w:val="21"/>
              </w:rPr>
              <w:t>4拥有产业群带来的产品配套优势。</w:t>
            </w:r>
          </w:p>
        </w:tc>
        <w:tc>
          <w:tcPr>
            <w:tcW w:w="2684" w:type="dxa"/>
            <w:tcBorders>
              <w:top w:val="single" w:color="auto" w:sz="12" w:space="0"/>
              <w:bottom w:val="single" w:color="auto" w:sz="6" w:space="0"/>
            </w:tcBorders>
            <w:shd w:val="clear" w:color="auto" w:fill="757070"/>
            <w:noWrap/>
            <w:vAlign w:val="center"/>
          </w:tcPr>
          <w:p w14:paraId="466050AA">
            <w:pPr>
              <w:spacing w:line="300" w:lineRule="exact"/>
              <w:rPr>
                <w:rFonts w:ascii="宋体" w:hAnsi="宋体" w:cs="宋体"/>
                <w:b/>
                <w:szCs w:val="21"/>
              </w:rPr>
            </w:pPr>
            <w:r>
              <w:rPr>
                <w:rFonts w:hint="eastAsia" w:ascii="宋体" w:hAnsi="宋体" w:cs="宋体"/>
                <w:b/>
                <w:szCs w:val="21"/>
              </w:rPr>
              <w:t>劣势(W)</w:t>
            </w:r>
          </w:p>
          <w:p w14:paraId="78035A74">
            <w:pPr>
              <w:spacing w:line="300" w:lineRule="exact"/>
              <w:rPr>
                <w:rFonts w:ascii="宋体" w:hAnsi="宋体" w:cs="宋体"/>
                <w:szCs w:val="21"/>
              </w:rPr>
            </w:pPr>
            <w:r>
              <w:rPr>
                <w:rFonts w:hint="eastAsia" w:ascii="宋体" w:hAnsi="宋体" w:cs="宋体"/>
                <w:szCs w:val="21"/>
              </w:rPr>
              <w:t>w1 高端技术人才缺乏；</w:t>
            </w:r>
          </w:p>
          <w:p w14:paraId="33B20608">
            <w:pPr>
              <w:spacing w:line="300" w:lineRule="exact"/>
              <w:rPr>
                <w:rFonts w:ascii="宋体" w:hAnsi="宋体" w:cs="宋体"/>
                <w:szCs w:val="21"/>
              </w:rPr>
            </w:pPr>
            <w:r>
              <w:rPr>
                <w:rFonts w:hint="eastAsia" w:ascii="宋体" w:hAnsi="宋体" w:cs="宋体"/>
                <w:szCs w:val="21"/>
              </w:rPr>
              <w:t>w2产品国内市场占有份额低。</w:t>
            </w:r>
          </w:p>
        </w:tc>
      </w:tr>
      <w:tr w14:paraId="09A820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0" w:type="dxa"/>
            <w:bottom w:w="57" w:type="dxa"/>
            <w:right w:w="0" w:type="dxa"/>
          </w:tblCellMar>
        </w:tblPrEx>
        <w:trPr>
          <w:trHeight w:val="2731" w:hRule="atLeast"/>
          <w:jc w:val="center"/>
        </w:trPr>
        <w:tc>
          <w:tcPr>
            <w:tcW w:w="440" w:type="dxa"/>
            <w:noWrap/>
            <w:vAlign w:val="center"/>
          </w:tcPr>
          <w:p w14:paraId="04CA7CDB">
            <w:pPr>
              <w:adjustRightInd w:val="0"/>
              <w:snapToGrid w:val="0"/>
              <w:jc w:val="center"/>
              <w:rPr>
                <w:rFonts w:ascii="宋体" w:hAnsi="宋体"/>
                <w:color w:val="FF0000"/>
                <w:kern w:val="2"/>
                <w:sz w:val="21"/>
                <w:szCs w:val="21"/>
              </w:rPr>
            </w:pPr>
          </w:p>
        </w:tc>
        <w:tc>
          <w:tcPr>
            <w:tcW w:w="2510" w:type="dxa"/>
            <w:noWrap/>
            <w:tcMar>
              <w:left w:w="108" w:type="dxa"/>
              <w:right w:w="108" w:type="dxa"/>
            </w:tcMar>
            <w:vAlign w:val="center"/>
          </w:tcPr>
          <w:p w14:paraId="67248A97">
            <w:pPr>
              <w:rPr>
                <w:rFonts w:ascii="宋体" w:hAnsi="宋体" w:cs="宋体"/>
                <w:b/>
                <w:sz w:val="21"/>
                <w:szCs w:val="21"/>
              </w:rPr>
            </w:pPr>
            <w:r>
              <w:rPr>
                <w:rFonts w:hint="eastAsia" w:ascii="宋体" w:hAnsi="宋体" w:cs="宋体"/>
                <w:b/>
                <w:sz w:val="21"/>
                <w:szCs w:val="21"/>
              </w:rPr>
              <w:t>机会（O）</w:t>
            </w:r>
          </w:p>
          <w:p w14:paraId="7FE5A30F">
            <w:pPr>
              <w:rPr>
                <w:rFonts w:ascii="宋体" w:hAnsi="宋体" w:cs="宋体"/>
                <w:sz w:val="21"/>
                <w:szCs w:val="21"/>
              </w:rPr>
            </w:pPr>
            <w:r>
              <w:rPr>
                <w:rFonts w:ascii="宋体" w:hAnsi="宋体" w:cs="宋体"/>
                <w:sz w:val="21"/>
                <w:szCs w:val="21"/>
              </w:rPr>
              <w:t>O</w:t>
            </w:r>
            <w:r>
              <w:rPr>
                <w:rFonts w:hint="eastAsia" w:ascii="宋体" w:hAnsi="宋体" w:cs="宋体"/>
                <w:sz w:val="21"/>
                <w:szCs w:val="21"/>
              </w:rPr>
              <w:t>1市场容量增长态势；</w:t>
            </w:r>
          </w:p>
          <w:p w14:paraId="27AD7F58">
            <w:pPr>
              <w:rPr>
                <w:rFonts w:ascii="宋体" w:hAnsi="宋体" w:cs="宋体"/>
                <w:sz w:val="21"/>
                <w:szCs w:val="21"/>
              </w:rPr>
            </w:pPr>
            <w:r>
              <w:rPr>
                <w:rFonts w:ascii="宋体" w:hAnsi="宋体" w:cs="宋体"/>
                <w:sz w:val="21"/>
                <w:szCs w:val="21"/>
              </w:rPr>
              <w:t>O</w:t>
            </w:r>
            <w:r>
              <w:rPr>
                <w:rFonts w:hint="eastAsia" w:ascii="宋体" w:hAnsi="宋体" w:cs="宋体"/>
                <w:sz w:val="21"/>
                <w:szCs w:val="21"/>
              </w:rPr>
              <w:t>2宏观经济的持续增长；</w:t>
            </w:r>
          </w:p>
          <w:p w14:paraId="45FB276A">
            <w:pPr>
              <w:rPr>
                <w:rFonts w:ascii="宋体" w:hAnsi="宋体" w:cs="宋体"/>
                <w:sz w:val="21"/>
                <w:szCs w:val="21"/>
              </w:rPr>
            </w:pPr>
            <w:r>
              <w:rPr>
                <w:rFonts w:ascii="宋体" w:hAnsi="宋体" w:cs="宋体"/>
                <w:sz w:val="21"/>
                <w:szCs w:val="21"/>
              </w:rPr>
              <w:t>O</w:t>
            </w:r>
            <w:r>
              <w:rPr>
                <w:rFonts w:hint="eastAsia" w:ascii="宋体" w:hAnsi="宋体" w:cs="宋体"/>
                <w:sz w:val="21"/>
                <w:szCs w:val="21"/>
              </w:rPr>
              <w:t>3高新技术企业税收优惠。</w:t>
            </w:r>
          </w:p>
        </w:tc>
        <w:tc>
          <w:tcPr>
            <w:tcW w:w="3332" w:type="dxa"/>
            <w:noWrap/>
            <w:tcMar>
              <w:left w:w="108" w:type="dxa"/>
              <w:right w:w="108" w:type="dxa"/>
            </w:tcMar>
            <w:vAlign w:val="center"/>
          </w:tcPr>
          <w:p w14:paraId="4F23DC2F">
            <w:pPr>
              <w:spacing w:line="280" w:lineRule="exact"/>
              <w:rPr>
                <w:rFonts w:ascii="宋体" w:hAnsi="宋体" w:cs="宋体"/>
                <w:b/>
                <w:sz w:val="21"/>
                <w:szCs w:val="21"/>
              </w:rPr>
            </w:pPr>
            <w:r>
              <w:rPr>
                <w:rFonts w:hint="eastAsia" w:ascii="宋体" w:hAnsi="宋体" w:cs="宋体"/>
                <w:b/>
                <w:sz w:val="21"/>
                <w:szCs w:val="21"/>
              </w:rPr>
              <w:t>方案一：SO战略</w:t>
            </w:r>
          </w:p>
          <w:p w14:paraId="2DC2C646">
            <w:pPr>
              <w:spacing w:line="280" w:lineRule="exact"/>
              <w:rPr>
                <w:rFonts w:ascii="宋体" w:hAnsi="宋体" w:cs="宋体"/>
                <w:b/>
                <w:sz w:val="21"/>
                <w:szCs w:val="21"/>
              </w:rPr>
            </w:pPr>
            <w:r>
              <w:rPr>
                <w:rFonts w:hint="eastAsia" w:ascii="宋体" w:hAnsi="宋体" w:cs="宋体"/>
                <w:b/>
                <w:sz w:val="21"/>
                <w:szCs w:val="21"/>
              </w:rPr>
              <w:t>（发挥优势，把握机会）</w:t>
            </w:r>
          </w:p>
          <w:p w14:paraId="243D450C">
            <w:pPr>
              <w:spacing w:line="280" w:lineRule="exact"/>
              <w:rPr>
                <w:rFonts w:ascii="宋体" w:hAnsi="宋体" w:cs="宋体"/>
                <w:sz w:val="21"/>
                <w:szCs w:val="21"/>
              </w:rPr>
            </w:pPr>
            <w:r>
              <w:rPr>
                <w:rFonts w:hint="eastAsia" w:ascii="宋体" w:hAnsi="宋体" w:cs="宋体"/>
                <w:sz w:val="21"/>
                <w:szCs w:val="21"/>
              </w:rPr>
              <w:t>（1）利用自身产品的质量和制造优势，继续拓展国际和国内市场，扩大产品市场占有率；</w:t>
            </w:r>
          </w:p>
          <w:p w14:paraId="5D8E9A20">
            <w:pPr>
              <w:spacing w:line="280" w:lineRule="exact"/>
              <w:rPr>
                <w:rFonts w:ascii="宋体" w:hAnsi="宋体" w:cs="宋体"/>
                <w:sz w:val="21"/>
                <w:szCs w:val="21"/>
              </w:rPr>
            </w:pPr>
            <w:r>
              <w:rPr>
                <w:rFonts w:hint="eastAsia" w:ascii="宋体" w:hAnsi="宋体" w:cs="宋体"/>
                <w:sz w:val="21"/>
                <w:szCs w:val="21"/>
              </w:rPr>
              <w:t>（2）利用公司的产业链进一步整合上下游资源；</w:t>
            </w:r>
          </w:p>
          <w:p w14:paraId="42BBA361">
            <w:pPr>
              <w:adjustRightInd w:val="0"/>
              <w:snapToGrid w:val="0"/>
              <w:spacing w:line="280" w:lineRule="exact"/>
              <w:rPr>
                <w:rFonts w:ascii="宋体" w:hAnsi="宋体"/>
                <w:vanish/>
                <w:kern w:val="2"/>
                <w:sz w:val="21"/>
                <w:szCs w:val="21"/>
              </w:rPr>
            </w:pPr>
            <w:r>
              <w:rPr>
                <w:rFonts w:hint="eastAsia" w:ascii="宋体" w:hAnsi="宋体" w:cs="宋体"/>
                <w:sz w:val="21"/>
                <w:szCs w:val="21"/>
              </w:rPr>
              <w:t>（3）坚持主业，做大做强，提高企业竞争力。</w:t>
            </w:r>
          </w:p>
        </w:tc>
        <w:tc>
          <w:tcPr>
            <w:tcW w:w="2684" w:type="dxa"/>
            <w:noWrap/>
            <w:tcMar>
              <w:left w:w="108" w:type="dxa"/>
              <w:right w:w="108" w:type="dxa"/>
            </w:tcMar>
            <w:vAlign w:val="center"/>
          </w:tcPr>
          <w:p w14:paraId="33778D57">
            <w:pPr>
              <w:spacing w:line="280" w:lineRule="exact"/>
              <w:rPr>
                <w:rFonts w:ascii="宋体" w:hAnsi="宋体" w:cs="宋体"/>
                <w:b/>
                <w:sz w:val="21"/>
                <w:szCs w:val="21"/>
              </w:rPr>
            </w:pPr>
            <w:r>
              <w:rPr>
                <w:rFonts w:hint="eastAsia" w:ascii="宋体" w:hAnsi="宋体" w:cs="宋体"/>
                <w:b/>
                <w:sz w:val="21"/>
                <w:szCs w:val="21"/>
              </w:rPr>
              <w:t>方案二：WO战略</w:t>
            </w:r>
          </w:p>
          <w:p w14:paraId="0C7618ED">
            <w:pPr>
              <w:spacing w:line="280" w:lineRule="exact"/>
              <w:rPr>
                <w:rFonts w:ascii="宋体" w:hAnsi="宋体" w:cs="宋体"/>
                <w:b/>
                <w:sz w:val="21"/>
                <w:szCs w:val="21"/>
              </w:rPr>
            </w:pPr>
            <w:r>
              <w:rPr>
                <w:rFonts w:hint="eastAsia" w:ascii="宋体" w:hAnsi="宋体" w:cs="宋体"/>
                <w:b/>
                <w:sz w:val="21"/>
                <w:szCs w:val="21"/>
              </w:rPr>
              <w:t>（把握机会，剔除劣势）</w:t>
            </w:r>
          </w:p>
          <w:p w14:paraId="29A6F92A">
            <w:pPr>
              <w:spacing w:line="280" w:lineRule="exact"/>
              <w:rPr>
                <w:rFonts w:ascii="宋体" w:hAnsi="宋体" w:cs="宋体"/>
                <w:sz w:val="21"/>
                <w:szCs w:val="21"/>
              </w:rPr>
            </w:pPr>
            <w:r>
              <w:rPr>
                <w:rFonts w:hint="eastAsia" w:ascii="宋体" w:hAnsi="宋体" w:cs="宋体"/>
                <w:sz w:val="21"/>
                <w:szCs w:val="21"/>
              </w:rPr>
              <w:t>（1）打造产品系统供应商品牌，提升品牌竞争力；</w:t>
            </w:r>
          </w:p>
          <w:p w14:paraId="05B19B86">
            <w:pPr>
              <w:spacing w:line="280" w:lineRule="exact"/>
              <w:rPr>
                <w:rFonts w:ascii="宋体" w:hAnsi="宋体"/>
                <w:vanish/>
                <w:kern w:val="2"/>
                <w:sz w:val="21"/>
                <w:szCs w:val="21"/>
              </w:rPr>
            </w:pPr>
            <w:r>
              <w:rPr>
                <w:rFonts w:hint="eastAsia" w:ascii="宋体" w:hAnsi="宋体" w:cs="宋体"/>
                <w:sz w:val="21"/>
                <w:szCs w:val="21"/>
              </w:rPr>
              <w:t>（2）推进和完善管理干部队伍的建设，继续引进有相关经验的行业人才。</w:t>
            </w:r>
          </w:p>
        </w:tc>
      </w:tr>
      <w:tr w14:paraId="7A298A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0" w:type="dxa"/>
            <w:bottom w:w="57" w:type="dxa"/>
            <w:right w:w="0" w:type="dxa"/>
          </w:tblCellMar>
        </w:tblPrEx>
        <w:trPr>
          <w:trHeight w:val="2513" w:hRule="atLeast"/>
          <w:jc w:val="center"/>
        </w:trPr>
        <w:tc>
          <w:tcPr>
            <w:tcW w:w="440" w:type="dxa"/>
            <w:noWrap/>
            <w:vAlign w:val="center"/>
          </w:tcPr>
          <w:p w14:paraId="11EBDB6E">
            <w:pPr>
              <w:adjustRightInd w:val="0"/>
              <w:snapToGrid w:val="0"/>
              <w:jc w:val="center"/>
              <w:rPr>
                <w:rFonts w:ascii="宋体" w:hAnsi="宋体"/>
                <w:color w:val="FF0000"/>
                <w:kern w:val="2"/>
                <w:sz w:val="21"/>
                <w:szCs w:val="21"/>
              </w:rPr>
            </w:pPr>
          </w:p>
        </w:tc>
        <w:tc>
          <w:tcPr>
            <w:tcW w:w="2510" w:type="dxa"/>
            <w:noWrap/>
            <w:tcMar>
              <w:left w:w="108" w:type="dxa"/>
              <w:right w:w="108" w:type="dxa"/>
            </w:tcMar>
            <w:vAlign w:val="center"/>
          </w:tcPr>
          <w:p w14:paraId="204DB9F1">
            <w:pPr>
              <w:spacing w:line="300" w:lineRule="exact"/>
              <w:rPr>
                <w:rFonts w:ascii="宋体" w:hAnsi="宋体" w:cs="宋体"/>
                <w:b/>
                <w:sz w:val="21"/>
                <w:szCs w:val="21"/>
              </w:rPr>
            </w:pPr>
            <w:r>
              <w:rPr>
                <w:rFonts w:hint="eastAsia" w:ascii="宋体" w:hAnsi="宋体" w:cs="宋体"/>
                <w:b/>
                <w:sz w:val="21"/>
                <w:szCs w:val="21"/>
              </w:rPr>
              <w:t>挑战（T</w:t>
            </w:r>
            <w:r>
              <w:rPr>
                <w:rFonts w:ascii="宋体" w:hAnsi="宋体" w:cs="宋体"/>
                <w:b/>
                <w:sz w:val="21"/>
                <w:szCs w:val="21"/>
              </w:rPr>
              <w:t>）</w:t>
            </w:r>
          </w:p>
          <w:p w14:paraId="60E3281E">
            <w:pPr>
              <w:spacing w:line="300" w:lineRule="exact"/>
              <w:rPr>
                <w:rFonts w:ascii="宋体" w:hAnsi="宋体" w:cs="宋体"/>
                <w:sz w:val="21"/>
                <w:szCs w:val="21"/>
              </w:rPr>
            </w:pPr>
            <w:r>
              <w:rPr>
                <w:rFonts w:ascii="宋体" w:hAnsi="宋体" w:cs="宋体"/>
                <w:sz w:val="21"/>
                <w:szCs w:val="21"/>
              </w:rPr>
              <w:t>T</w:t>
            </w:r>
            <w:r>
              <w:rPr>
                <w:rFonts w:hint="eastAsia" w:ascii="宋体" w:hAnsi="宋体" w:cs="宋体"/>
                <w:sz w:val="21"/>
                <w:szCs w:val="21"/>
              </w:rPr>
              <w:t>1 市场不正当竞争，国内同行业竞争激烈；</w:t>
            </w:r>
          </w:p>
          <w:p w14:paraId="0586F160">
            <w:pPr>
              <w:spacing w:line="300" w:lineRule="exact"/>
              <w:rPr>
                <w:rFonts w:ascii="宋体" w:hAnsi="宋体" w:cs="宋体"/>
                <w:sz w:val="21"/>
                <w:szCs w:val="21"/>
              </w:rPr>
            </w:pPr>
            <w:r>
              <w:rPr>
                <w:rFonts w:ascii="宋体" w:hAnsi="宋体" w:cs="宋体"/>
                <w:sz w:val="21"/>
                <w:szCs w:val="21"/>
              </w:rPr>
              <w:t>T</w:t>
            </w:r>
            <w:r>
              <w:rPr>
                <w:rFonts w:hint="eastAsia" w:ascii="宋体" w:hAnsi="宋体" w:cs="宋体"/>
                <w:sz w:val="21"/>
                <w:szCs w:val="21"/>
              </w:rPr>
              <w:t>2 原料质量、价格；</w:t>
            </w:r>
          </w:p>
          <w:p w14:paraId="24E6A7A0">
            <w:pPr>
              <w:adjustRightInd w:val="0"/>
              <w:snapToGrid w:val="0"/>
              <w:rPr>
                <w:rFonts w:ascii="宋体" w:hAnsi="宋体" w:cs="宋体"/>
                <w:sz w:val="21"/>
                <w:szCs w:val="21"/>
              </w:rPr>
            </w:pPr>
            <w:r>
              <w:rPr>
                <w:rFonts w:ascii="宋体" w:hAnsi="宋体" w:cs="宋体"/>
                <w:sz w:val="21"/>
                <w:szCs w:val="21"/>
              </w:rPr>
              <w:t>T</w:t>
            </w:r>
            <w:r>
              <w:rPr>
                <w:rFonts w:hint="eastAsia" w:ascii="宋体" w:hAnsi="宋体" w:cs="宋体"/>
                <w:sz w:val="21"/>
                <w:szCs w:val="21"/>
              </w:rPr>
              <w:t>3</w:t>
            </w:r>
            <w:r>
              <w:rPr>
                <w:rFonts w:hint="eastAsia"/>
                <w:sz w:val="21"/>
                <w:szCs w:val="21"/>
              </w:rPr>
              <w:t>对高级人才素质的要求越来越高，人才需求竞争加剧，关键岗位熟练工和技术工短缺。</w:t>
            </w:r>
          </w:p>
        </w:tc>
        <w:tc>
          <w:tcPr>
            <w:tcW w:w="3332" w:type="dxa"/>
            <w:noWrap/>
            <w:tcMar>
              <w:left w:w="108" w:type="dxa"/>
              <w:right w:w="108" w:type="dxa"/>
            </w:tcMar>
            <w:vAlign w:val="center"/>
          </w:tcPr>
          <w:p w14:paraId="3FB95DFF">
            <w:pPr>
              <w:spacing w:line="280" w:lineRule="exact"/>
              <w:rPr>
                <w:rFonts w:ascii="宋体" w:hAnsi="宋体" w:cs="宋体"/>
                <w:b/>
                <w:sz w:val="21"/>
                <w:szCs w:val="21"/>
              </w:rPr>
            </w:pPr>
            <w:r>
              <w:rPr>
                <w:rFonts w:hint="eastAsia" w:ascii="宋体" w:hAnsi="宋体" w:cs="宋体"/>
                <w:b/>
                <w:sz w:val="21"/>
                <w:szCs w:val="21"/>
              </w:rPr>
              <w:t>方案三：ST战略</w:t>
            </w:r>
          </w:p>
          <w:p w14:paraId="4557D44E">
            <w:pPr>
              <w:spacing w:line="280" w:lineRule="exact"/>
              <w:rPr>
                <w:rFonts w:ascii="宋体" w:hAnsi="宋体" w:cs="宋体"/>
                <w:b/>
                <w:sz w:val="21"/>
                <w:szCs w:val="21"/>
              </w:rPr>
            </w:pPr>
            <w:r>
              <w:rPr>
                <w:rFonts w:hint="eastAsia" w:ascii="宋体" w:hAnsi="宋体" w:cs="宋体"/>
                <w:b/>
                <w:sz w:val="21"/>
                <w:szCs w:val="21"/>
              </w:rPr>
              <w:t>（发挥优势，应对挑战）</w:t>
            </w:r>
          </w:p>
          <w:p w14:paraId="557897EA">
            <w:pPr>
              <w:spacing w:line="280" w:lineRule="exact"/>
              <w:rPr>
                <w:rFonts w:ascii="宋体" w:hAnsi="宋体" w:cs="宋体"/>
                <w:sz w:val="21"/>
                <w:szCs w:val="21"/>
              </w:rPr>
            </w:pPr>
            <w:r>
              <w:rPr>
                <w:rFonts w:hint="eastAsia" w:ascii="宋体" w:hAnsi="宋体" w:cs="宋体"/>
                <w:sz w:val="21"/>
                <w:szCs w:val="21"/>
              </w:rPr>
              <w:t>（1）加强对竞争对手的研究；</w:t>
            </w:r>
          </w:p>
          <w:p w14:paraId="0E68D536">
            <w:pPr>
              <w:spacing w:line="280" w:lineRule="exact"/>
              <w:rPr>
                <w:rFonts w:ascii="宋体" w:hAnsi="宋体" w:cs="宋体"/>
                <w:sz w:val="21"/>
                <w:szCs w:val="21"/>
              </w:rPr>
            </w:pPr>
            <w:r>
              <w:rPr>
                <w:rFonts w:hint="eastAsia" w:ascii="宋体" w:hAnsi="宋体" w:cs="宋体"/>
                <w:sz w:val="21"/>
                <w:szCs w:val="21"/>
              </w:rPr>
              <w:t>（2）利用国家政策，实施战略布点和低成本扩张；</w:t>
            </w:r>
          </w:p>
          <w:p w14:paraId="66C82CFD">
            <w:pPr>
              <w:adjustRightInd w:val="0"/>
              <w:snapToGrid w:val="0"/>
              <w:spacing w:line="280" w:lineRule="exact"/>
              <w:rPr>
                <w:rFonts w:ascii="宋体" w:hAnsi="宋体"/>
                <w:vanish/>
                <w:kern w:val="2"/>
                <w:sz w:val="21"/>
                <w:szCs w:val="21"/>
              </w:rPr>
            </w:pPr>
            <w:r>
              <w:rPr>
                <w:rFonts w:hint="eastAsia" w:ascii="宋体" w:hAnsi="宋体" w:cs="宋体"/>
                <w:sz w:val="21"/>
                <w:szCs w:val="21"/>
              </w:rPr>
              <w:t>（3）利用</w:t>
            </w:r>
            <w:r>
              <w:rPr>
                <w:rFonts w:hint="eastAsia"/>
                <w:kern w:val="2"/>
                <w:sz w:val="21"/>
                <w:szCs w:val="21"/>
              </w:rPr>
              <w:t>各种新材料、新技术、新工艺的开发应用提高产品的附加值，增强产品的竞争力</w:t>
            </w:r>
          </w:p>
        </w:tc>
        <w:tc>
          <w:tcPr>
            <w:tcW w:w="2684" w:type="dxa"/>
            <w:noWrap/>
            <w:tcMar>
              <w:left w:w="108" w:type="dxa"/>
              <w:right w:w="108" w:type="dxa"/>
            </w:tcMar>
            <w:vAlign w:val="center"/>
          </w:tcPr>
          <w:p w14:paraId="2872E4D7">
            <w:pPr>
              <w:spacing w:line="280" w:lineRule="exact"/>
              <w:rPr>
                <w:rFonts w:ascii="宋体" w:hAnsi="宋体" w:cs="宋体"/>
                <w:b/>
                <w:sz w:val="21"/>
                <w:szCs w:val="21"/>
              </w:rPr>
            </w:pPr>
            <w:r>
              <w:rPr>
                <w:rFonts w:hint="eastAsia" w:ascii="宋体" w:hAnsi="宋体" w:cs="宋体"/>
                <w:b/>
                <w:sz w:val="21"/>
                <w:szCs w:val="21"/>
              </w:rPr>
              <w:t>方案四：WT战略</w:t>
            </w:r>
          </w:p>
          <w:p w14:paraId="5AC1DA67">
            <w:pPr>
              <w:spacing w:line="280" w:lineRule="exact"/>
              <w:rPr>
                <w:rFonts w:ascii="宋体" w:hAnsi="宋体" w:cs="宋体"/>
                <w:b/>
                <w:sz w:val="21"/>
                <w:szCs w:val="21"/>
              </w:rPr>
            </w:pPr>
            <w:r>
              <w:rPr>
                <w:rFonts w:hint="eastAsia" w:ascii="宋体" w:hAnsi="宋体" w:cs="宋体"/>
                <w:b/>
                <w:sz w:val="21"/>
                <w:szCs w:val="21"/>
              </w:rPr>
              <w:t>（剔除劣势，应对挑战）</w:t>
            </w:r>
          </w:p>
          <w:p w14:paraId="59E49A80">
            <w:pPr>
              <w:spacing w:line="280" w:lineRule="exact"/>
              <w:rPr>
                <w:rFonts w:ascii="宋体" w:hAnsi="宋体" w:cs="宋体"/>
                <w:sz w:val="21"/>
                <w:szCs w:val="21"/>
              </w:rPr>
            </w:pPr>
            <w:r>
              <w:rPr>
                <w:rFonts w:hint="eastAsia" w:ascii="宋体" w:hAnsi="宋体" w:cs="宋体"/>
                <w:sz w:val="21"/>
                <w:szCs w:val="21"/>
              </w:rPr>
              <w:t>（1）突破原有营销模式，在目前体制的基础上加大内部市场营销；</w:t>
            </w:r>
          </w:p>
          <w:p w14:paraId="32080EB8">
            <w:pPr>
              <w:adjustRightInd w:val="0"/>
              <w:snapToGrid w:val="0"/>
              <w:spacing w:line="280" w:lineRule="exact"/>
              <w:rPr>
                <w:rFonts w:ascii="宋体" w:hAnsi="宋体"/>
                <w:vanish/>
                <w:kern w:val="2"/>
                <w:sz w:val="21"/>
                <w:szCs w:val="21"/>
              </w:rPr>
            </w:pPr>
            <w:r>
              <w:rPr>
                <w:rFonts w:hint="eastAsia" w:ascii="宋体" w:hAnsi="宋体" w:cs="宋体"/>
                <w:sz w:val="21"/>
                <w:szCs w:val="21"/>
              </w:rPr>
              <w:t>（2）加强对高端产品的研发与市场营销。</w:t>
            </w:r>
          </w:p>
        </w:tc>
      </w:tr>
    </w:tbl>
    <w:p w14:paraId="26A3D872">
      <w:pPr>
        <w:rPr>
          <w:rFonts w:ascii="宋体" w:hAnsi="宋体"/>
          <w:b/>
        </w:rPr>
      </w:pPr>
    </w:p>
    <w:p w14:paraId="76B34E86">
      <w:pPr>
        <w:spacing w:before="156" w:beforeLines="50" w:line="360" w:lineRule="auto"/>
        <w:ind w:firstLine="482" w:firstLineChars="200"/>
        <w:rPr>
          <w:rFonts w:hint="eastAsia" w:ascii="宋体" w:hAnsi="宋体" w:eastAsia="宋体"/>
          <w:b/>
          <w:lang w:eastAsia="zh-CN"/>
        </w:rPr>
      </w:pPr>
      <w:r>
        <w:rPr>
          <w:rFonts w:hint="eastAsia" w:ascii="宋体" w:hAnsi="宋体"/>
          <w:b/>
        </w:rPr>
        <w:t>c）战略</w:t>
      </w:r>
      <w:r>
        <w:rPr>
          <w:rFonts w:hint="eastAsia" w:ascii="宋体" w:hAnsi="宋体"/>
          <w:b/>
          <w:lang w:eastAsia="zh-CN"/>
        </w:rPr>
        <w:t>目标</w:t>
      </w:r>
    </w:p>
    <w:p w14:paraId="4CA121FF">
      <w:pPr>
        <w:spacing w:line="460" w:lineRule="exact"/>
        <w:ind w:firstLine="480" w:firstLineChars="200"/>
      </w:pPr>
      <w:r>
        <w:rPr>
          <w:rFonts w:hint="eastAsia"/>
        </w:rPr>
        <w:t>中凯建筑工程涂料，一直致力于为不断发展的中国建筑业提供全面的专业涂装解决方案。凭借完善的产品体系、优良的产品品质、专业的涂装服务、丰富的案例经验，中凯在全国各地工程项目中得以广泛应用。中凯专职工程销售人员会综合考虑产品的安全性、外立面效果、漆膜持久性、施工便利性、项目所在地的外部环境等各方面因素，制定产品方案:还会针对特殊项目，从客户需求出发，由工程研发团队量身定制产品及涂装方案。中凯工程技术服务团队会按项目实际情况提出专属工艺方案，按流程开展施工培训、技术交底、现场指导、阶段验收等工作，保证项目施工质量。这一切奠定了中凯已成为专业客户信赖的品牌，为其提供更经济可靠的专业涂装解决方案</w:t>
      </w:r>
      <w:r>
        <w:rPr>
          <w:rFonts w:hint="eastAsia"/>
          <w:lang w:eastAsia="zh-CN"/>
        </w:rPr>
        <w:t>。</w:t>
      </w:r>
      <w:r>
        <w:rPr>
          <w:rFonts w:hint="eastAsia"/>
        </w:rPr>
        <w:t>202</w:t>
      </w:r>
      <w:r>
        <w:rPr>
          <w:rFonts w:hint="eastAsia"/>
          <w:lang w:val="en-US" w:eastAsia="zh-CN"/>
        </w:rPr>
        <w:t>6</w:t>
      </w:r>
      <w:r>
        <w:rPr>
          <w:rFonts w:hint="eastAsia"/>
        </w:rPr>
        <w:t>-20</w:t>
      </w:r>
      <w:r>
        <w:rPr>
          <w:rFonts w:hint="eastAsia"/>
          <w:lang w:val="en-US" w:eastAsia="zh-CN"/>
        </w:rPr>
        <w:t>30</w:t>
      </w:r>
      <w:r>
        <w:rPr>
          <w:rFonts w:hint="eastAsia"/>
        </w:rPr>
        <w:t>年力争实现销售额每年递增10%，利润增长1</w:t>
      </w:r>
      <w:r>
        <w:rPr>
          <w:rFonts w:hint="eastAsia"/>
          <w:lang w:val="en-US" w:eastAsia="zh-CN"/>
        </w:rPr>
        <w:t>0</w:t>
      </w:r>
      <w:r>
        <w:rPr>
          <w:rFonts w:hint="eastAsia"/>
        </w:rPr>
        <w:t>%。产品抽查合格率≥98%。。</w:t>
      </w:r>
    </w:p>
    <w:p w14:paraId="5CA2090E">
      <w:pPr>
        <w:tabs>
          <w:tab w:val="left" w:pos="6930"/>
        </w:tabs>
        <w:autoSpaceDE w:val="0"/>
        <w:autoSpaceDN w:val="0"/>
        <w:adjustRightInd w:val="0"/>
        <w:spacing w:line="480" w:lineRule="auto"/>
        <w:rPr>
          <w:rFonts w:ascii="宋体" w:hAnsi="宋体" w:cs="Arial"/>
        </w:rPr>
      </w:pPr>
      <w:r>
        <w:rPr>
          <w:rFonts w:hint="eastAsia" w:ascii="宋体" w:hAnsi="宋体" w:cs="宋体"/>
          <w:b/>
          <w:bCs/>
          <w:szCs w:val="32"/>
        </w:rPr>
        <w:t>4.2.2.3 战略和战略目标</w:t>
      </w:r>
    </w:p>
    <w:p w14:paraId="4F423A9F">
      <w:pPr>
        <w:tabs>
          <w:tab w:val="left" w:pos="6930"/>
        </w:tabs>
        <w:autoSpaceDE w:val="0"/>
        <w:autoSpaceDN w:val="0"/>
        <w:adjustRightInd w:val="0"/>
        <w:spacing w:line="360" w:lineRule="auto"/>
        <w:rPr>
          <w:rFonts w:ascii="宋体" w:hAnsi="宋体" w:cs="宋体"/>
          <w:b/>
        </w:rPr>
      </w:pPr>
      <w:r>
        <w:rPr>
          <w:rFonts w:hint="eastAsia" w:ascii="宋体" w:hAnsi="宋体" w:cs="宋体"/>
          <w:b/>
          <w:bCs/>
          <w:szCs w:val="32"/>
        </w:rPr>
        <w:t>4.2.2.3.1</w:t>
      </w:r>
      <w:r>
        <w:rPr>
          <w:rFonts w:hint="eastAsia" w:ascii="宋体" w:hAnsi="宋体" w:cs="宋体"/>
          <w:b/>
        </w:rPr>
        <w:t>战略目标以及关键指标</w:t>
      </w:r>
    </w:p>
    <w:p w14:paraId="3ACFCC1D">
      <w:pPr>
        <w:tabs>
          <w:tab w:val="left" w:pos="6930"/>
        </w:tabs>
        <w:autoSpaceDE w:val="0"/>
        <w:autoSpaceDN w:val="0"/>
        <w:adjustRightInd w:val="0"/>
        <w:spacing w:line="360" w:lineRule="auto"/>
        <w:ind w:firstLine="480" w:firstLineChars="200"/>
        <w:rPr>
          <w:rFonts w:ascii="宋体" w:hAnsi="宋体" w:cs="Arial"/>
        </w:rPr>
      </w:pPr>
      <w:r>
        <w:rPr>
          <w:rFonts w:hint="eastAsia" w:ascii="宋体" w:hAnsi="宋体" w:cs="Arial"/>
        </w:rPr>
        <w:t>公司在每一个五年周期的末年，根据内、外部因素和竞争态势的变化，结合上一个周期战略目标的执行情况，开展制定下一个发展周期的战略。在每一年末，制定下一年度公司的目标计划，确保公司战略制订与短期计划区间的适应性。</w:t>
      </w:r>
    </w:p>
    <w:p w14:paraId="50D65305">
      <w:pPr>
        <w:adjustRightInd w:val="0"/>
        <w:snapToGrid w:val="0"/>
        <w:spacing w:line="360" w:lineRule="auto"/>
        <w:ind w:firstLine="420"/>
        <w:jc w:val="center"/>
        <w:rPr>
          <w:rFonts w:ascii="宋体" w:hAnsi="宋体"/>
          <w:b/>
        </w:rPr>
      </w:pPr>
      <w:r>
        <w:rPr>
          <w:rFonts w:ascii="宋体" w:hAnsi="宋体"/>
          <w:b/>
        </w:rPr>
        <w:t>表4</w:t>
      </w:r>
      <w:r>
        <w:rPr>
          <w:rFonts w:hint="eastAsia" w:ascii="宋体" w:hAnsi="宋体"/>
          <w:b/>
        </w:rPr>
        <w:t>.</w:t>
      </w:r>
      <w:r>
        <w:rPr>
          <w:rFonts w:ascii="宋体" w:hAnsi="宋体"/>
          <w:b/>
        </w:rPr>
        <w:t>2</w:t>
      </w:r>
      <w:r>
        <w:rPr>
          <w:rFonts w:hint="eastAsia" w:ascii="宋体" w:hAnsi="宋体"/>
          <w:b/>
        </w:rPr>
        <w:t>-5公司长短期的总体战略目标</w:t>
      </w:r>
    </w:p>
    <w:tbl>
      <w:tblPr>
        <w:tblStyle w:val="22"/>
        <w:tblW w:w="903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57" w:type="dxa"/>
          <w:left w:w="0" w:type="dxa"/>
          <w:bottom w:w="57" w:type="dxa"/>
          <w:right w:w="0" w:type="dxa"/>
        </w:tblCellMar>
      </w:tblPr>
      <w:tblGrid>
        <w:gridCol w:w="608"/>
        <w:gridCol w:w="2851"/>
        <w:gridCol w:w="2882"/>
        <w:gridCol w:w="2698"/>
      </w:tblGrid>
      <w:tr w14:paraId="435538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0" w:type="dxa"/>
            <w:bottom w:w="57" w:type="dxa"/>
            <w:right w:w="0" w:type="dxa"/>
          </w:tblCellMar>
        </w:tblPrEx>
        <w:trPr>
          <w:trHeight w:val="333" w:hRule="atLeast"/>
          <w:jc w:val="center"/>
        </w:trPr>
        <w:tc>
          <w:tcPr>
            <w:tcW w:w="608" w:type="dxa"/>
            <w:tcBorders>
              <w:top w:val="single" w:color="auto" w:sz="12" w:space="0"/>
              <w:bottom w:val="single" w:color="auto" w:sz="6" w:space="0"/>
            </w:tcBorders>
            <w:shd w:val="clear" w:color="auto" w:fill="757070"/>
            <w:noWrap/>
            <w:vAlign w:val="center"/>
          </w:tcPr>
          <w:p w14:paraId="493BC287">
            <w:pPr>
              <w:adjustRightInd w:val="0"/>
              <w:snapToGrid w:val="0"/>
              <w:jc w:val="center"/>
              <w:rPr>
                <w:rFonts w:ascii="宋体" w:hAnsi="宋体"/>
                <w:b/>
                <w:kern w:val="2"/>
                <w:szCs w:val="21"/>
              </w:rPr>
            </w:pPr>
            <w:r>
              <w:rPr>
                <w:rFonts w:hint="eastAsia" w:ascii="宋体" w:hAnsi="宋体"/>
                <w:b/>
                <w:kern w:val="2"/>
                <w:szCs w:val="21"/>
              </w:rPr>
              <w:t>阶段</w:t>
            </w:r>
          </w:p>
        </w:tc>
        <w:tc>
          <w:tcPr>
            <w:tcW w:w="2851" w:type="dxa"/>
            <w:tcBorders>
              <w:top w:val="single" w:color="auto" w:sz="12" w:space="0"/>
              <w:bottom w:val="single" w:color="auto" w:sz="6" w:space="0"/>
            </w:tcBorders>
            <w:shd w:val="clear" w:color="auto" w:fill="757070"/>
            <w:noWrap/>
            <w:vAlign w:val="center"/>
          </w:tcPr>
          <w:p w14:paraId="14A29B79">
            <w:pPr>
              <w:adjustRightInd w:val="0"/>
              <w:snapToGrid w:val="0"/>
              <w:ind w:firstLine="361"/>
              <w:jc w:val="center"/>
              <w:rPr>
                <w:rFonts w:ascii="宋体" w:hAnsi="宋体"/>
                <w:b/>
                <w:kern w:val="2"/>
                <w:szCs w:val="21"/>
              </w:rPr>
            </w:pPr>
            <w:r>
              <w:rPr>
                <w:rFonts w:hint="eastAsia" w:ascii="宋体" w:hAnsi="宋体"/>
                <w:b/>
                <w:kern w:val="2"/>
                <w:szCs w:val="21"/>
                <w:lang w:val="zh-CN"/>
              </w:rPr>
              <w:t>战略驱动阶段（</w:t>
            </w:r>
            <w:r>
              <w:rPr>
                <w:rFonts w:hint="eastAsia" w:ascii="宋体" w:hAnsi="宋体"/>
                <w:b/>
                <w:kern w:val="2"/>
                <w:szCs w:val="21"/>
              </w:rPr>
              <w:t>20</w:t>
            </w:r>
            <w:r>
              <w:rPr>
                <w:rFonts w:ascii="宋体" w:hAnsi="宋体"/>
                <w:b/>
                <w:kern w:val="2"/>
                <w:szCs w:val="21"/>
              </w:rPr>
              <w:t>2</w:t>
            </w:r>
            <w:r>
              <w:rPr>
                <w:rFonts w:hint="eastAsia" w:ascii="宋体" w:hAnsi="宋体"/>
                <w:b/>
                <w:kern w:val="2"/>
                <w:szCs w:val="21"/>
                <w:lang w:val="en-US" w:eastAsia="zh-CN"/>
              </w:rPr>
              <w:t>5</w:t>
            </w:r>
            <w:r>
              <w:rPr>
                <w:rFonts w:hint="eastAsia" w:ascii="宋体" w:hAnsi="宋体"/>
                <w:b/>
                <w:kern w:val="2"/>
                <w:szCs w:val="21"/>
              </w:rPr>
              <w:t>年）</w:t>
            </w:r>
          </w:p>
        </w:tc>
        <w:tc>
          <w:tcPr>
            <w:tcW w:w="2882" w:type="dxa"/>
            <w:tcBorders>
              <w:top w:val="single" w:color="auto" w:sz="12" w:space="0"/>
              <w:bottom w:val="single" w:color="auto" w:sz="6" w:space="0"/>
            </w:tcBorders>
            <w:shd w:val="clear" w:color="auto" w:fill="757070"/>
            <w:noWrap/>
            <w:vAlign w:val="center"/>
          </w:tcPr>
          <w:p w14:paraId="3D33300C">
            <w:pPr>
              <w:adjustRightInd w:val="0"/>
              <w:snapToGrid w:val="0"/>
              <w:ind w:firstLine="361"/>
              <w:rPr>
                <w:rFonts w:ascii="宋体" w:hAnsi="宋体"/>
                <w:b/>
                <w:kern w:val="2"/>
                <w:szCs w:val="21"/>
              </w:rPr>
            </w:pPr>
            <w:r>
              <w:rPr>
                <w:rFonts w:hint="eastAsia" w:ascii="宋体" w:hAnsi="宋体"/>
                <w:b/>
                <w:kern w:val="2"/>
                <w:szCs w:val="21"/>
                <w:lang w:val="zh-CN"/>
              </w:rPr>
              <w:t>能力驱动阶段</w:t>
            </w:r>
            <w:r>
              <w:rPr>
                <w:rFonts w:hint="eastAsia" w:ascii="宋体" w:hAnsi="宋体"/>
                <w:b/>
                <w:kern w:val="2"/>
                <w:szCs w:val="21"/>
              </w:rPr>
              <w:t>（202</w:t>
            </w:r>
            <w:r>
              <w:rPr>
                <w:rFonts w:hint="eastAsia" w:ascii="宋体" w:hAnsi="宋体"/>
                <w:b/>
                <w:kern w:val="2"/>
                <w:szCs w:val="21"/>
                <w:lang w:val="en-US" w:eastAsia="zh-CN"/>
              </w:rPr>
              <w:t>6</w:t>
            </w:r>
            <w:r>
              <w:rPr>
                <w:rFonts w:hint="eastAsia" w:ascii="宋体" w:hAnsi="宋体"/>
                <w:b/>
                <w:kern w:val="2"/>
                <w:szCs w:val="21"/>
              </w:rPr>
              <w:t>年）</w:t>
            </w:r>
          </w:p>
        </w:tc>
        <w:tc>
          <w:tcPr>
            <w:tcW w:w="2698" w:type="dxa"/>
            <w:tcBorders>
              <w:top w:val="single" w:color="auto" w:sz="12" w:space="0"/>
              <w:bottom w:val="single" w:color="auto" w:sz="6" w:space="0"/>
            </w:tcBorders>
            <w:shd w:val="clear" w:color="auto" w:fill="757070"/>
            <w:noWrap/>
            <w:vAlign w:val="center"/>
          </w:tcPr>
          <w:p w14:paraId="6FC713F3">
            <w:pPr>
              <w:adjustRightInd w:val="0"/>
              <w:snapToGrid w:val="0"/>
              <w:jc w:val="center"/>
              <w:rPr>
                <w:rFonts w:ascii="宋体" w:hAnsi="宋体"/>
                <w:b/>
                <w:kern w:val="2"/>
                <w:szCs w:val="21"/>
              </w:rPr>
            </w:pPr>
            <w:r>
              <w:rPr>
                <w:rFonts w:hint="eastAsia" w:ascii="宋体" w:hAnsi="宋体"/>
                <w:b/>
                <w:kern w:val="2"/>
                <w:szCs w:val="21"/>
                <w:lang w:val="zh-CN"/>
              </w:rPr>
              <w:t xml:space="preserve"> 价值驱动阶段</w:t>
            </w:r>
            <w:r>
              <w:rPr>
                <w:rFonts w:hint="eastAsia" w:ascii="宋体" w:hAnsi="宋体"/>
                <w:b/>
                <w:kern w:val="2"/>
                <w:szCs w:val="21"/>
              </w:rPr>
              <w:t>（202</w:t>
            </w:r>
            <w:r>
              <w:rPr>
                <w:rFonts w:hint="eastAsia" w:ascii="宋体" w:hAnsi="宋体"/>
                <w:b/>
                <w:kern w:val="2"/>
                <w:szCs w:val="21"/>
                <w:lang w:val="en-US" w:eastAsia="zh-CN"/>
              </w:rPr>
              <w:t>6</w:t>
            </w:r>
            <w:r>
              <w:rPr>
                <w:rFonts w:hint="eastAsia" w:ascii="宋体" w:hAnsi="宋体"/>
                <w:b/>
                <w:kern w:val="2"/>
                <w:szCs w:val="21"/>
              </w:rPr>
              <w:t>-20</w:t>
            </w:r>
            <w:r>
              <w:rPr>
                <w:rFonts w:hint="eastAsia" w:ascii="宋体" w:hAnsi="宋体"/>
                <w:b/>
                <w:kern w:val="2"/>
                <w:szCs w:val="21"/>
                <w:lang w:val="en-US" w:eastAsia="zh-CN"/>
              </w:rPr>
              <w:t>30</w:t>
            </w:r>
            <w:r>
              <w:rPr>
                <w:rFonts w:hint="eastAsia" w:ascii="宋体" w:hAnsi="宋体"/>
                <w:b/>
                <w:kern w:val="2"/>
                <w:szCs w:val="21"/>
              </w:rPr>
              <w:t>年）</w:t>
            </w:r>
          </w:p>
        </w:tc>
      </w:tr>
      <w:tr w14:paraId="185E1E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0" w:type="dxa"/>
            <w:bottom w:w="57" w:type="dxa"/>
            <w:right w:w="0" w:type="dxa"/>
          </w:tblCellMar>
        </w:tblPrEx>
        <w:trPr>
          <w:trHeight w:val="636" w:hRule="atLeast"/>
          <w:jc w:val="center"/>
        </w:trPr>
        <w:tc>
          <w:tcPr>
            <w:tcW w:w="608" w:type="dxa"/>
            <w:tcBorders>
              <w:top w:val="single" w:color="auto" w:sz="6" w:space="0"/>
            </w:tcBorders>
            <w:noWrap/>
            <w:vAlign w:val="center"/>
          </w:tcPr>
          <w:p w14:paraId="37553933">
            <w:pPr>
              <w:adjustRightInd w:val="0"/>
              <w:snapToGrid w:val="0"/>
              <w:jc w:val="center"/>
              <w:rPr>
                <w:rFonts w:ascii="宋体" w:hAnsi="宋体"/>
                <w:kern w:val="2"/>
                <w:sz w:val="22"/>
                <w:szCs w:val="20"/>
              </w:rPr>
            </w:pPr>
            <w:r>
              <w:rPr>
                <w:rFonts w:hint="eastAsia" w:ascii="宋体" w:hAnsi="宋体"/>
                <w:kern w:val="2"/>
                <w:sz w:val="22"/>
                <w:szCs w:val="20"/>
              </w:rPr>
              <w:t>目标</w:t>
            </w:r>
          </w:p>
        </w:tc>
        <w:tc>
          <w:tcPr>
            <w:tcW w:w="2851" w:type="dxa"/>
            <w:tcBorders>
              <w:top w:val="single" w:color="auto" w:sz="6" w:space="0"/>
            </w:tcBorders>
            <w:noWrap/>
            <w:tcMar>
              <w:left w:w="108" w:type="dxa"/>
              <w:right w:w="108" w:type="dxa"/>
            </w:tcMar>
            <w:vAlign w:val="center"/>
          </w:tcPr>
          <w:p w14:paraId="5B801C83">
            <w:pPr>
              <w:adjustRightInd w:val="0"/>
              <w:snapToGrid w:val="0"/>
              <w:rPr>
                <w:rFonts w:ascii="宋体" w:hAnsi="宋体"/>
                <w:vanish/>
                <w:kern w:val="2"/>
                <w:sz w:val="22"/>
                <w:szCs w:val="20"/>
              </w:rPr>
            </w:pPr>
            <w:r>
              <w:rPr>
                <w:rFonts w:hint="eastAsia" w:ascii="宋体" w:hAnsi="宋体"/>
                <w:kern w:val="2"/>
                <w:sz w:val="22"/>
                <w:szCs w:val="20"/>
                <w:lang w:val="zh-CN"/>
              </w:rPr>
              <w:t>专注于</w:t>
            </w:r>
            <w:r>
              <w:rPr>
                <w:rFonts w:hint="eastAsia" w:ascii="宋体" w:hAnsi="宋体"/>
                <w:kern w:val="2"/>
                <w:sz w:val="22"/>
                <w:szCs w:val="20"/>
              </w:rPr>
              <w:t>建筑工程涂料行业</w:t>
            </w:r>
            <w:r>
              <w:rPr>
                <w:rFonts w:hint="eastAsia" w:ascii="宋体" w:hAnsi="宋体"/>
                <w:kern w:val="2"/>
                <w:sz w:val="22"/>
                <w:szCs w:val="20"/>
                <w:lang w:val="zh-CN"/>
              </w:rPr>
              <w:t>，扩大生产规模。</w:t>
            </w:r>
          </w:p>
        </w:tc>
        <w:tc>
          <w:tcPr>
            <w:tcW w:w="2882" w:type="dxa"/>
            <w:tcBorders>
              <w:top w:val="single" w:color="auto" w:sz="6" w:space="0"/>
            </w:tcBorders>
            <w:noWrap/>
            <w:tcMar>
              <w:left w:w="108" w:type="dxa"/>
              <w:right w:w="108" w:type="dxa"/>
            </w:tcMar>
            <w:vAlign w:val="center"/>
          </w:tcPr>
          <w:p w14:paraId="5CD2B643">
            <w:pPr>
              <w:adjustRightInd w:val="0"/>
              <w:snapToGrid w:val="0"/>
              <w:rPr>
                <w:rFonts w:ascii="宋体" w:hAnsi="宋体"/>
                <w:vanish/>
                <w:kern w:val="2"/>
                <w:sz w:val="22"/>
                <w:szCs w:val="20"/>
                <w:highlight w:val="yellow"/>
              </w:rPr>
            </w:pPr>
            <w:r>
              <w:rPr>
                <w:rFonts w:hint="eastAsia" w:ascii="宋体" w:hAnsi="宋体"/>
                <w:kern w:val="2"/>
                <w:sz w:val="22"/>
                <w:szCs w:val="20"/>
              </w:rPr>
              <w:t>整合相关资源，占领市场。</w:t>
            </w:r>
          </w:p>
        </w:tc>
        <w:tc>
          <w:tcPr>
            <w:tcW w:w="2698" w:type="dxa"/>
            <w:tcBorders>
              <w:top w:val="single" w:color="auto" w:sz="6" w:space="0"/>
            </w:tcBorders>
            <w:noWrap/>
            <w:tcMar>
              <w:left w:w="108" w:type="dxa"/>
              <w:right w:w="108" w:type="dxa"/>
            </w:tcMar>
            <w:vAlign w:val="center"/>
          </w:tcPr>
          <w:p w14:paraId="1AA71F07">
            <w:pPr>
              <w:adjustRightInd w:val="0"/>
              <w:snapToGrid w:val="0"/>
              <w:rPr>
                <w:rFonts w:ascii="宋体" w:hAnsi="宋体"/>
                <w:vanish/>
                <w:kern w:val="2"/>
                <w:sz w:val="22"/>
                <w:szCs w:val="20"/>
                <w:highlight w:val="yellow"/>
              </w:rPr>
            </w:pPr>
            <w:r>
              <w:rPr>
                <w:rFonts w:hint="eastAsia" w:ascii="宋体" w:hAnsi="宋体"/>
                <w:kern w:val="2"/>
                <w:sz w:val="22"/>
                <w:szCs w:val="20"/>
              </w:rPr>
              <w:t>成为行业领先者，占领市场为相关方创造价值。</w:t>
            </w:r>
          </w:p>
        </w:tc>
      </w:tr>
      <w:tr w14:paraId="4A4904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0" w:type="dxa"/>
            <w:bottom w:w="57" w:type="dxa"/>
            <w:right w:w="0" w:type="dxa"/>
          </w:tblCellMar>
        </w:tblPrEx>
        <w:trPr>
          <w:trHeight w:val="624" w:hRule="atLeast"/>
          <w:jc w:val="center"/>
        </w:trPr>
        <w:tc>
          <w:tcPr>
            <w:tcW w:w="608" w:type="dxa"/>
            <w:noWrap/>
            <w:vAlign w:val="center"/>
          </w:tcPr>
          <w:p w14:paraId="6DC878E5">
            <w:pPr>
              <w:adjustRightInd w:val="0"/>
              <w:snapToGrid w:val="0"/>
              <w:jc w:val="center"/>
              <w:rPr>
                <w:rFonts w:ascii="宋体" w:hAnsi="宋体"/>
                <w:kern w:val="2"/>
                <w:sz w:val="22"/>
                <w:szCs w:val="20"/>
              </w:rPr>
            </w:pPr>
            <w:r>
              <w:rPr>
                <w:rFonts w:hint="eastAsia" w:ascii="宋体" w:hAnsi="宋体"/>
                <w:kern w:val="2"/>
                <w:sz w:val="22"/>
                <w:szCs w:val="20"/>
              </w:rPr>
              <w:t>要点</w:t>
            </w:r>
          </w:p>
        </w:tc>
        <w:tc>
          <w:tcPr>
            <w:tcW w:w="2851" w:type="dxa"/>
            <w:noWrap/>
            <w:tcMar>
              <w:left w:w="108" w:type="dxa"/>
              <w:right w:w="108" w:type="dxa"/>
            </w:tcMar>
            <w:vAlign w:val="center"/>
          </w:tcPr>
          <w:p w14:paraId="3ED2D490">
            <w:pPr>
              <w:adjustRightInd w:val="0"/>
              <w:snapToGrid w:val="0"/>
              <w:rPr>
                <w:rFonts w:ascii="宋体" w:hAnsi="宋体"/>
                <w:vanish/>
                <w:kern w:val="2"/>
                <w:sz w:val="22"/>
                <w:szCs w:val="20"/>
              </w:rPr>
            </w:pPr>
            <w:r>
              <w:rPr>
                <w:rFonts w:hint="eastAsia" w:ascii="宋体" w:hAnsi="宋体"/>
                <w:kern w:val="2"/>
                <w:sz w:val="22"/>
                <w:szCs w:val="20"/>
              </w:rPr>
              <w:t>生产</w:t>
            </w:r>
            <w:r>
              <w:rPr>
                <w:rFonts w:hint="eastAsia" w:ascii="宋体" w:hAnsi="宋体"/>
                <w:kern w:val="2"/>
                <w:sz w:val="22"/>
                <w:szCs w:val="20"/>
                <w:lang w:val="zh-CN"/>
              </w:rPr>
              <w:t>专业化；建立多样性销售模式；提高公司科研能力。</w:t>
            </w:r>
          </w:p>
        </w:tc>
        <w:tc>
          <w:tcPr>
            <w:tcW w:w="2882" w:type="dxa"/>
            <w:noWrap/>
            <w:tcMar>
              <w:left w:w="108" w:type="dxa"/>
              <w:right w:w="108" w:type="dxa"/>
            </w:tcMar>
            <w:vAlign w:val="center"/>
          </w:tcPr>
          <w:p w14:paraId="39317D64">
            <w:pPr>
              <w:adjustRightInd w:val="0"/>
              <w:snapToGrid w:val="0"/>
              <w:rPr>
                <w:rFonts w:ascii="宋体" w:hAnsi="宋体"/>
                <w:vanish/>
                <w:kern w:val="2"/>
                <w:sz w:val="22"/>
                <w:szCs w:val="20"/>
              </w:rPr>
            </w:pPr>
            <w:r>
              <w:rPr>
                <w:rFonts w:hint="eastAsia" w:ascii="宋体" w:hAnsi="宋体"/>
                <w:kern w:val="2"/>
                <w:sz w:val="22"/>
                <w:szCs w:val="20"/>
                <w:lang w:val="zh-CN"/>
              </w:rPr>
              <w:t>重点发展具有行业导向性的产品。</w:t>
            </w:r>
          </w:p>
        </w:tc>
        <w:tc>
          <w:tcPr>
            <w:tcW w:w="2698" w:type="dxa"/>
            <w:noWrap/>
            <w:tcMar>
              <w:left w:w="108" w:type="dxa"/>
              <w:right w:w="108" w:type="dxa"/>
            </w:tcMar>
            <w:vAlign w:val="center"/>
          </w:tcPr>
          <w:p w14:paraId="3AA44071">
            <w:pPr>
              <w:adjustRightInd w:val="0"/>
              <w:snapToGrid w:val="0"/>
              <w:rPr>
                <w:rFonts w:ascii="宋体" w:hAnsi="宋体"/>
                <w:vanish/>
                <w:kern w:val="2"/>
                <w:sz w:val="22"/>
                <w:szCs w:val="20"/>
              </w:rPr>
            </w:pPr>
            <w:r>
              <w:rPr>
                <w:rFonts w:hint="eastAsia" w:ascii="宋体" w:hAnsi="宋体"/>
                <w:kern w:val="2"/>
                <w:sz w:val="22"/>
                <w:szCs w:val="20"/>
                <w:lang w:val="zh-CN"/>
              </w:rPr>
              <w:t>以国际发展方向拓展，同时在国内立足自主品牌。</w:t>
            </w:r>
          </w:p>
        </w:tc>
      </w:tr>
    </w:tbl>
    <w:p w14:paraId="193E62E4">
      <w:pPr>
        <w:autoSpaceDE w:val="0"/>
        <w:autoSpaceDN w:val="0"/>
        <w:adjustRightInd w:val="0"/>
        <w:spacing w:line="360" w:lineRule="auto"/>
        <w:rPr>
          <w:rFonts w:ascii="宋体" w:hAnsi="宋体"/>
        </w:rPr>
      </w:pPr>
      <w:r>
        <w:rPr>
          <w:rFonts w:hint="eastAsia" w:ascii="宋体" w:hAnsi="宋体"/>
        </w:rPr>
        <w:t>公司通过优劣势分析，对战略目标进行细化和分解，明确公司发展长短期的战略目标值（见表4.2-6）。</w:t>
      </w:r>
    </w:p>
    <w:p w14:paraId="09647B28">
      <w:pPr>
        <w:autoSpaceDE w:val="0"/>
        <w:autoSpaceDN w:val="0"/>
        <w:adjustRightInd w:val="0"/>
        <w:spacing w:line="360" w:lineRule="auto"/>
        <w:jc w:val="center"/>
        <w:rPr>
          <w:rFonts w:ascii="宋体" w:hAnsi="宋体"/>
        </w:rPr>
      </w:pPr>
      <w:r>
        <w:rPr>
          <w:rFonts w:hint="eastAsia" w:ascii="宋体" w:hAnsi="宋体" w:cs="宋体"/>
          <w:b/>
        </w:rPr>
        <w:t>表</w:t>
      </w:r>
      <w:r>
        <w:rPr>
          <w:rFonts w:ascii="宋体" w:hAnsi="宋体" w:cs="宋体"/>
          <w:b/>
        </w:rPr>
        <w:t xml:space="preserve"> 4.2-</w:t>
      </w:r>
      <w:r>
        <w:rPr>
          <w:rFonts w:hint="eastAsia" w:ascii="宋体" w:hAnsi="宋体" w:cs="宋体"/>
          <w:b/>
        </w:rPr>
        <w:t>6关键战略目标分解和对应时间表</w:t>
      </w:r>
    </w:p>
    <w:tbl>
      <w:tblPr>
        <w:tblStyle w:val="22"/>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70"/>
        <w:gridCol w:w="489"/>
        <w:gridCol w:w="1350"/>
        <w:gridCol w:w="1056"/>
        <w:gridCol w:w="1056"/>
        <w:gridCol w:w="1056"/>
        <w:gridCol w:w="1056"/>
        <w:gridCol w:w="1056"/>
        <w:gridCol w:w="1067"/>
      </w:tblGrid>
      <w:tr w14:paraId="1830F5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9" w:hRule="atLeast"/>
          <w:tblHeader/>
          <w:jc w:val="center"/>
        </w:trPr>
        <w:tc>
          <w:tcPr>
            <w:tcW w:w="379" w:type="pct"/>
            <w:vMerge w:val="restart"/>
            <w:shd w:val="clear" w:color="auto" w:fill="938953"/>
            <w:vAlign w:val="center"/>
          </w:tcPr>
          <w:p w14:paraId="6ED55517">
            <w:pPr>
              <w:jc w:val="center"/>
              <w:rPr>
                <w:rFonts w:ascii="宋体" w:hAnsi="宋体" w:cs="宋体"/>
                <w:b/>
                <w:color w:val="FFFFFF"/>
                <w:sz w:val="21"/>
                <w:szCs w:val="21"/>
              </w:rPr>
            </w:pPr>
            <w:bookmarkStart w:id="19" w:name="_Hlk112229703"/>
            <w:r>
              <w:rPr>
                <w:rFonts w:hint="eastAsia" w:ascii="宋体" w:hAnsi="宋体" w:cs="宋体"/>
                <w:b/>
                <w:color w:val="FFFFFF"/>
                <w:sz w:val="21"/>
                <w:szCs w:val="21"/>
              </w:rPr>
              <w:t>维度</w:t>
            </w:r>
          </w:p>
        </w:tc>
        <w:tc>
          <w:tcPr>
            <w:tcW w:w="276" w:type="pct"/>
            <w:vMerge w:val="restart"/>
            <w:shd w:val="clear" w:color="auto" w:fill="938953"/>
            <w:vAlign w:val="center"/>
          </w:tcPr>
          <w:p w14:paraId="092E4FF7">
            <w:pPr>
              <w:jc w:val="center"/>
              <w:rPr>
                <w:rFonts w:ascii="宋体" w:hAnsi="宋体" w:cs="宋体"/>
                <w:b/>
                <w:color w:val="FFFFFF"/>
                <w:sz w:val="21"/>
                <w:szCs w:val="21"/>
              </w:rPr>
            </w:pPr>
            <w:r>
              <w:rPr>
                <w:rFonts w:hint="eastAsia" w:ascii="宋体" w:hAnsi="宋体" w:cs="宋体"/>
                <w:b/>
                <w:color w:val="FFFFFF"/>
                <w:sz w:val="21"/>
                <w:szCs w:val="21"/>
              </w:rPr>
              <w:t>序号</w:t>
            </w:r>
          </w:p>
        </w:tc>
        <w:tc>
          <w:tcPr>
            <w:tcW w:w="762" w:type="pct"/>
            <w:vMerge w:val="restart"/>
            <w:shd w:val="clear" w:color="auto" w:fill="938953"/>
            <w:vAlign w:val="center"/>
          </w:tcPr>
          <w:p w14:paraId="50BE6CE7">
            <w:pPr>
              <w:jc w:val="center"/>
              <w:rPr>
                <w:rFonts w:ascii="宋体" w:hAnsi="宋体" w:cs="宋体"/>
                <w:b/>
                <w:color w:val="FFFFFF"/>
                <w:sz w:val="21"/>
                <w:szCs w:val="21"/>
              </w:rPr>
            </w:pPr>
            <w:r>
              <w:rPr>
                <w:rFonts w:hint="eastAsia" w:ascii="宋体" w:hAnsi="宋体" w:cs="宋体"/>
                <w:b/>
                <w:color w:val="FFFFFF"/>
                <w:sz w:val="21"/>
                <w:szCs w:val="21"/>
              </w:rPr>
              <w:t>KPI</w:t>
            </w:r>
          </w:p>
        </w:tc>
        <w:tc>
          <w:tcPr>
            <w:tcW w:w="3582" w:type="pct"/>
            <w:gridSpan w:val="6"/>
            <w:tcBorders>
              <w:right w:val="single" w:color="auto" w:sz="12" w:space="0"/>
            </w:tcBorders>
            <w:shd w:val="clear" w:color="auto" w:fill="938953"/>
          </w:tcPr>
          <w:p w14:paraId="3464C045">
            <w:pPr>
              <w:jc w:val="center"/>
              <w:rPr>
                <w:rFonts w:ascii="宋体" w:hAnsi="宋体" w:cs="宋体"/>
                <w:b/>
                <w:color w:val="FFFFFF"/>
                <w:sz w:val="21"/>
                <w:szCs w:val="21"/>
              </w:rPr>
            </w:pPr>
            <w:r>
              <w:rPr>
                <w:rFonts w:hint="eastAsia" w:ascii="宋体" w:hAnsi="宋体" w:cs="宋体"/>
                <w:b/>
                <w:color w:val="FFFFFF"/>
                <w:sz w:val="21"/>
                <w:szCs w:val="21"/>
              </w:rPr>
              <w:t>时间段</w:t>
            </w:r>
          </w:p>
        </w:tc>
      </w:tr>
      <w:tr w14:paraId="22B4DB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9" w:hRule="atLeast"/>
          <w:tblHeader/>
          <w:jc w:val="center"/>
        </w:trPr>
        <w:tc>
          <w:tcPr>
            <w:tcW w:w="379" w:type="pct"/>
            <w:vMerge w:val="continue"/>
            <w:shd w:val="clear" w:color="auto" w:fill="938953"/>
            <w:vAlign w:val="center"/>
          </w:tcPr>
          <w:p w14:paraId="2948FDF0">
            <w:pPr>
              <w:jc w:val="center"/>
              <w:rPr>
                <w:rFonts w:ascii="宋体" w:hAnsi="宋体" w:cs="宋体"/>
                <w:b/>
                <w:color w:val="FFFFFF"/>
                <w:sz w:val="21"/>
                <w:szCs w:val="21"/>
              </w:rPr>
            </w:pPr>
          </w:p>
        </w:tc>
        <w:tc>
          <w:tcPr>
            <w:tcW w:w="276" w:type="pct"/>
            <w:vMerge w:val="continue"/>
            <w:shd w:val="clear" w:color="auto" w:fill="938953"/>
            <w:vAlign w:val="center"/>
          </w:tcPr>
          <w:p w14:paraId="7042A040">
            <w:pPr>
              <w:jc w:val="center"/>
              <w:rPr>
                <w:rFonts w:ascii="宋体" w:hAnsi="宋体" w:cs="宋体"/>
                <w:b/>
                <w:color w:val="FFFFFF"/>
                <w:sz w:val="21"/>
                <w:szCs w:val="21"/>
              </w:rPr>
            </w:pPr>
          </w:p>
        </w:tc>
        <w:tc>
          <w:tcPr>
            <w:tcW w:w="762" w:type="pct"/>
            <w:vMerge w:val="continue"/>
            <w:shd w:val="clear" w:color="auto" w:fill="938953"/>
            <w:vAlign w:val="center"/>
          </w:tcPr>
          <w:p w14:paraId="470A9CB4">
            <w:pPr>
              <w:jc w:val="center"/>
              <w:rPr>
                <w:rFonts w:ascii="宋体" w:hAnsi="宋体" w:cs="宋体"/>
                <w:b/>
                <w:color w:val="FFFFFF"/>
                <w:sz w:val="21"/>
                <w:szCs w:val="21"/>
              </w:rPr>
            </w:pPr>
          </w:p>
        </w:tc>
        <w:tc>
          <w:tcPr>
            <w:tcW w:w="596" w:type="pct"/>
            <w:shd w:val="clear" w:color="auto" w:fill="938953"/>
            <w:vAlign w:val="center"/>
          </w:tcPr>
          <w:p w14:paraId="7D2A7D21">
            <w:pPr>
              <w:jc w:val="center"/>
              <w:rPr>
                <w:rFonts w:hint="eastAsia" w:ascii="宋体" w:hAnsi="宋体" w:eastAsia="宋体" w:cs="宋体"/>
                <w:b/>
                <w:color w:val="FFFFFF"/>
                <w:sz w:val="21"/>
                <w:szCs w:val="21"/>
                <w:lang w:val="en-US" w:eastAsia="zh-CN" w:bidi="ar-SA"/>
              </w:rPr>
            </w:pPr>
            <w:r>
              <w:rPr>
                <w:rFonts w:hint="eastAsia" w:ascii="宋体" w:hAnsi="宋体" w:cs="宋体"/>
                <w:b/>
                <w:color w:val="FFFFFF"/>
                <w:sz w:val="21"/>
                <w:szCs w:val="21"/>
              </w:rPr>
              <w:t>202</w:t>
            </w:r>
            <w:r>
              <w:rPr>
                <w:rFonts w:hint="eastAsia" w:ascii="宋体" w:hAnsi="宋体" w:cs="宋体"/>
                <w:b/>
                <w:color w:val="FFFFFF"/>
                <w:sz w:val="21"/>
                <w:szCs w:val="21"/>
                <w:lang w:val="en-US" w:eastAsia="zh-CN"/>
              </w:rPr>
              <w:t>5</w:t>
            </w:r>
          </w:p>
        </w:tc>
        <w:tc>
          <w:tcPr>
            <w:tcW w:w="596" w:type="pct"/>
            <w:shd w:val="clear" w:color="auto" w:fill="938953"/>
            <w:vAlign w:val="top"/>
          </w:tcPr>
          <w:p w14:paraId="620F4FBA">
            <w:pPr>
              <w:jc w:val="center"/>
              <w:rPr>
                <w:rFonts w:hint="eastAsia" w:ascii="宋体" w:hAnsi="宋体" w:eastAsia="宋体" w:cs="宋体"/>
                <w:b/>
                <w:color w:val="FFFFFF"/>
                <w:sz w:val="21"/>
                <w:szCs w:val="21"/>
                <w:lang w:val="en-US" w:eastAsia="zh-CN" w:bidi="ar-SA"/>
              </w:rPr>
            </w:pPr>
            <w:r>
              <w:rPr>
                <w:rFonts w:hint="eastAsia" w:ascii="宋体" w:hAnsi="宋体" w:cs="宋体"/>
                <w:b/>
                <w:color w:val="FFFFFF"/>
                <w:sz w:val="21"/>
                <w:szCs w:val="21"/>
              </w:rPr>
              <w:t>202</w:t>
            </w:r>
            <w:r>
              <w:rPr>
                <w:rFonts w:hint="eastAsia" w:ascii="宋体" w:hAnsi="宋体" w:cs="宋体"/>
                <w:b/>
                <w:color w:val="FFFFFF"/>
                <w:sz w:val="21"/>
                <w:szCs w:val="21"/>
                <w:lang w:val="en-US" w:eastAsia="zh-CN"/>
              </w:rPr>
              <w:t>6</w:t>
            </w:r>
          </w:p>
        </w:tc>
        <w:tc>
          <w:tcPr>
            <w:tcW w:w="596" w:type="pct"/>
            <w:shd w:val="clear" w:color="auto" w:fill="938953"/>
            <w:vAlign w:val="center"/>
          </w:tcPr>
          <w:p w14:paraId="00726C6A">
            <w:pPr>
              <w:jc w:val="center"/>
              <w:rPr>
                <w:rFonts w:hint="eastAsia" w:ascii="宋体" w:hAnsi="宋体" w:eastAsia="宋体" w:cs="宋体"/>
                <w:b/>
                <w:color w:val="FFFFFF"/>
                <w:sz w:val="21"/>
                <w:szCs w:val="21"/>
                <w:lang w:val="en-US" w:eastAsia="zh-CN" w:bidi="ar-SA"/>
              </w:rPr>
            </w:pPr>
            <w:r>
              <w:rPr>
                <w:rFonts w:hint="eastAsia" w:ascii="宋体" w:hAnsi="宋体" w:cs="宋体"/>
                <w:b/>
                <w:color w:val="FFFFFF"/>
                <w:sz w:val="21"/>
                <w:szCs w:val="21"/>
              </w:rPr>
              <w:t>202</w:t>
            </w:r>
            <w:r>
              <w:rPr>
                <w:rFonts w:hint="eastAsia" w:ascii="宋体" w:hAnsi="宋体" w:cs="宋体"/>
                <w:b/>
                <w:color w:val="FFFFFF"/>
                <w:sz w:val="21"/>
                <w:szCs w:val="21"/>
                <w:lang w:val="en-US" w:eastAsia="zh-CN"/>
              </w:rPr>
              <w:t>7</w:t>
            </w:r>
          </w:p>
        </w:tc>
        <w:tc>
          <w:tcPr>
            <w:tcW w:w="596" w:type="pct"/>
            <w:tcBorders>
              <w:right w:val="single" w:color="auto" w:sz="12" w:space="0"/>
            </w:tcBorders>
            <w:shd w:val="clear" w:color="auto" w:fill="938953"/>
            <w:vAlign w:val="top"/>
          </w:tcPr>
          <w:p w14:paraId="40B5C9D1">
            <w:pPr>
              <w:jc w:val="center"/>
              <w:rPr>
                <w:rFonts w:hint="eastAsia" w:ascii="宋体" w:hAnsi="宋体" w:eastAsia="宋体" w:cs="宋体"/>
                <w:b/>
                <w:color w:val="FFFFFF"/>
                <w:sz w:val="21"/>
                <w:szCs w:val="21"/>
                <w:lang w:val="en-US" w:eastAsia="zh-CN" w:bidi="ar-SA"/>
              </w:rPr>
            </w:pPr>
            <w:r>
              <w:rPr>
                <w:rFonts w:hint="eastAsia" w:ascii="宋体" w:hAnsi="宋体" w:cs="宋体"/>
                <w:b/>
                <w:color w:val="FFFFFF"/>
                <w:sz w:val="21"/>
                <w:szCs w:val="21"/>
              </w:rPr>
              <w:t>202</w:t>
            </w:r>
            <w:r>
              <w:rPr>
                <w:rFonts w:hint="eastAsia" w:ascii="宋体" w:hAnsi="宋体" w:cs="宋体"/>
                <w:b/>
                <w:color w:val="FFFFFF"/>
                <w:sz w:val="21"/>
                <w:szCs w:val="21"/>
                <w:lang w:val="en-US" w:eastAsia="zh-CN"/>
              </w:rPr>
              <w:t>8</w:t>
            </w:r>
          </w:p>
        </w:tc>
        <w:tc>
          <w:tcPr>
            <w:tcW w:w="596" w:type="pct"/>
            <w:tcBorders>
              <w:right w:val="single" w:color="auto" w:sz="12" w:space="0"/>
            </w:tcBorders>
            <w:shd w:val="clear" w:color="auto" w:fill="938953"/>
            <w:vAlign w:val="top"/>
          </w:tcPr>
          <w:p w14:paraId="190C3052">
            <w:pPr>
              <w:jc w:val="center"/>
              <w:rPr>
                <w:rFonts w:hint="eastAsia" w:ascii="宋体" w:hAnsi="宋体" w:eastAsia="宋体" w:cs="宋体"/>
                <w:b/>
                <w:color w:val="FFFFFF"/>
                <w:sz w:val="21"/>
                <w:szCs w:val="21"/>
                <w:lang w:val="en-US" w:eastAsia="zh-CN" w:bidi="ar-SA"/>
              </w:rPr>
            </w:pPr>
            <w:r>
              <w:rPr>
                <w:rFonts w:hint="eastAsia" w:ascii="宋体" w:hAnsi="宋体" w:cs="宋体"/>
                <w:b/>
                <w:color w:val="FFFFFF"/>
                <w:sz w:val="21"/>
                <w:szCs w:val="21"/>
              </w:rPr>
              <w:t>202</w:t>
            </w:r>
            <w:r>
              <w:rPr>
                <w:rFonts w:hint="eastAsia" w:ascii="宋体" w:hAnsi="宋体" w:cs="宋体"/>
                <w:b/>
                <w:color w:val="FFFFFF"/>
                <w:sz w:val="21"/>
                <w:szCs w:val="21"/>
                <w:lang w:val="en-US" w:eastAsia="zh-CN"/>
              </w:rPr>
              <w:t>9</w:t>
            </w:r>
          </w:p>
        </w:tc>
        <w:tc>
          <w:tcPr>
            <w:tcW w:w="601" w:type="pct"/>
            <w:tcBorders>
              <w:right w:val="single" w:color="auto" w:sz="12" w:space="0"/>
            </w:tcBorders>
            <w:shd w:val="clear" w:color="auto" w:fill="938953"/>
          </w:tcPr>
          <w:p w14:paraId="03A66D1E">
            <w:pPr>
              <w:jc w:val="center"/>
              <w:rPr>
                <w:rFonts w:hint="default" w:ascii="宋体" w:hAnsi="宋体" w:eastAsia="宋体" w:cs="宋体"/>
                <w:b/>
                <w:color w:val="FFFFFF"/>
                <w:sz w:val="21"/>
                <w:szCs w:val="21"/>
                <w:lang w:val="en-US" w:eastAsia="zh-CN"/>
              </w:rPr>
            </w:pPr>
            <w:r>
              <w:rPr>
                <w:rFonts w:hint="eastAsia" w:ascii="宋体" w:hAnsi="宋体" w:cs="宋体"/>
                <w:b/>
                <w:color w:val="FFFFFF"/>
                <w:sz w:val="21"/>
                <w:szCs w:val="21"/>
              </w:rPr>
              <w:t>20</w:t>
            </w:r>
            <w:r>
              <w:rPr>
                <w:rFonts w:hint="eastAsia" w:ascii="宋体" w:hAnsi="宋体" w:cs="宋体"/>
                <w:b/>
                <w:color w:val="FFFFFF"/>
                <w:sz w:val="21"/>
                <w:szCs w:val="21"/>
                <w:lang w:val="en-US" w:eastAsia="zh-CN"/>
              </w:rPr>
              <w:t>30</w:t>
            </w:r>
          </w:p>
        </w:tc>
      </w:tr>
      <w:tr w14:paraId="348AF2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379" w:type="pct"/>
            <w:vMerge w:val="restart"/>
            <w:vAlign w:val="center"/>
          </w:tcPr>
          <w:p w14:paraId="0F5AB77D">
            <w:pPr>
              <w:jc w:val="center"/>
              <w:rPr>
                <w:rFonts w:ascii="宋体" w:hAnsi="宋体" w:cs="宋体"/>
                <w:sz w:val="21"/>
                <w:szCs w:val="21"/>
              </w:rPr>
            </w:pPr>
            <w:r>
              <w:rPr>
                <w:rFonts w:hint="eastAsia" w:ascii="宋体" w:hAnsi="宋体" w:cs="宋体"/>
                <w:sz w:val="21"/>
                <w:szCs w:val="21"/>
              </w:rPr>
              <w:t>财务与预算</w:t>
            </w:r>
          </w:p>
        </w:tc>
        <w:tc>
          <w:tcPr>
            <w:tcW w:w="276" w:type="pct"/>
            <w:vAlign w:val="center"/>
          </w:tcPr>
          <w:p w14:paraId="263DDD86">
            <w:pPr>
              <w:jc w:val="center"/>
              <w:rPr>
                <w:rFonts w:ascii="宋体" w:hAnsi="宋体" w:cs="宋体"/>
                <w:sz w:val="21"/>
                <w:szCs w:val="21"/>
              </w:rPr>
            </w:pPr>
            <w:r>
              <w:rPr>
                <w:rFonts w:hint="eastAsia" w:ascii="宋体" w:hAnsi="宋体" w:cs="宋体"/>
                <w:sz w:val="21"/>
                <w:szCs w:val="21"/>
              </w:rPr>
              <w:t>1</w:t>
            </w:r>
          </w:p>
        </w:tc>
        <w:tc>
          <w:tcPr>
            <w:tcW w:w="762" w:type="pct"/>
            <w:vAlign w:val="center"/>
          </w:tcPr>
          <w:p w14:paraId="2E68307A">
            <w:pPr>
              <w:jc w:val="center"/>
              <w:rPr>
                <w:rFonts w:ascii="宋体" w:hAnsi="宋体" w:cs="宋体"/>
                <w:sz w:val="21"/>
                <w:szCs w:val="21"/>
              </w:rPr>
            </w:pPr>
            <w:r>
              <w:rPr>
                <w:rFonts w:hint="eastAsia" w:ascii="宋体" w:hAnsi="宋体" w:cs="宋体"/>
                <w:sz w:val="21"/>
                <w:szCs w:val="21"/>
              </w:rPr>
              <w:t>公司销售额（万元）</w:t>
            </w:r>
          </w:p>
        </w:tc>
        <w:tc>
          <w:tcPr>
            <w:tcW w:w="596" w:type="pct"/>
            <w:shd w:val="clear" w:color="auto" w:fill="auto"/>
            <w:vAlign w:val="center"/>
          </w:tcPr>
          <w:p w14:paraId="6E188724">
            <w:pPr>
              <w:jc w:val="center"/>
              <w:rPr>
                <w:rFonts w:hint="default" w:ascii="宋体" w:hAnsi="宋体" w:eastAsia="宋体" w:cs="宋体"/>
                <w:sz w:val="21"/>
                <w:szCs w:val="21"/>
                <w:lang w:val="en-US" w:eastAsia="zh-CN" w:bidi="ar-SA"/>
              </w:rPr>
            </w:pPr>
            <w:r>
              <w:rPr>
                <w:rFonts w:hint="eastAsia" w:ascii="宋体" w:hAnsi="宋体" w:cs="宋体"/>
                <w:sz w:val="21"/>
                <w:szCs w:val="21"/>
                <w:lang w:val="en-US" w:eastAsia="zh-CN"/>
              </w:rPr>
              <w:t>2236</w:t>
            </w:r>
          </w:p>
        </w:tc>
        <w:tc>
          <w:tcPr>
            <w:tcW w:w="596" w:type="pct"/>
            <w:shd w:val="clear" w:color="auto" w:fill="auto"/>
            <w:vAlign w:val="center"/>
          </w:tcPr>
          <w:p w14:paraId="3E057394">
            <w:pPr>
              <w:jc w:val="center"/>
              <w:rPr>
                <w:rFonts w:hint="default" w:ascii="宋体" w:hAnsi="宋体" w:eastAsia="宋体" w:cs="宋体"/>
                <w:sz w:val="21"/>
                <w:szCs w:val="21"/>
                <w:lang w:val="en-US" w:eastAsia="zh-CN" w:bidi="ar-SA"/>
              </w:rPr>
            </w:pPr>
            <w:r>
              <w:rPr>
                <w:rFonts w:hint="eastAsia" w:ascii="宋体" w:hAnsi="宋体" w:cs="宋体"/>
                <w:sz w:val="21"/>
                <w:szCs w:val="21"/>
                <w:lang w:val="en-US" w:eastAsia="zh-CN"/>
              </w:rPr>
              <w:t>2550</w:t>
            </w:r>
          </w:p>
        </w:tc>
        <w:tc>
          <w:tcPr>
            <w:tcW w:w="596" w:type="pct"/>
            <w:shd w:val="clear" w:color="auto" w:fill="auto"/>
            <w:vAlign w:val="center"/>
          </w:tcPr>
          <w:p w14:paraId="722FC636">
            <w:pPr>
              <w:jc w:val="center"/>
              <w:rPr>
                <w:rFonts w:hint="default" w:ascii="宋体" w:hAnsi="宋体" w:eastAsia="宋体" w:cs="宋体"/>
                <w:sz w:val="21"/>
                <w:szCs w:val="21"/>
                <w:lang w:val="en-US" w:eastAsia="zh-CN" w:bidi="ar-SA"/>
              </w:rPr>
            </w:pPr>
            <w:r>
              <w:rPr>
                <w:rFonts w:hint="eastAsia" w:ascii="宋体" w:hAnsi="宋体" w:cs="宋体"/>
                <w:sz w:val="21"/>
                <w:szCs w:val="21"/>
                <w:lang w:val="en-US" w:eastAsia="zh-CN"/>
              </w:rPr>
              <w:t>3150</w:t>
            </w:r>
          </w:p>
        </w:tc>
        <w:tc>
          <w:tcPr>
            <w:tcW w:w="596" w:type="pct"/>
            <w:shd w:val="clear" w:color="auto" w:fill="auto"/>
            <w:vAlign w:val="center"/>
          </w:tcPr>
          <w:p w14:paraId="2DD3F077">
            <w:pPr>
              <w:jc w:val="center"/>
              <w:rPr>
                <w:rFonts w:hint="default" w:ascii="宋体" w:hAnsi="宋体" w:eastAsia="宋体" w:cs="宋体"/>
                <w:sz w:val="21"/>
                <w:szCs w:val="21"/>
                <w:lang w:val="en-US" w:eastAsia="zh-CN" w:bidi="ar-SA"/>
              </w:rPr>
            </w:pPr>
            <w:r>
              <w:rPr>
                <w:rFonts w:hint="eastAsia" w:ascii="宋体" w:hAnsi="宋体" w:cs="宋体"/>
                <w:sz w:val="21"/>
                <w:szCs w:val="21"/>
                <w:lang w:val="en-US" w:eastAsia="zh-CN"/>
              </w:rPr>
              <w:t>3500</w:t>
            </w:r>
          </w:p>
        </w:tc>
        <w:tc>
          <w:tcPr>
            <w:tcW w:w="596" w:type="pct"/>
            <w:shd w:val="clear" w:color="auto" w:fill="auto"/>
            <w:vAlign w:val="center"/>
          </w:tcPr>
          <w:p w14:paraId="36BCDFF8">
            <w:pPr>
              <w:jc w:val="center"/>
              <w:rPr>
                <w:rFonts w:hint="default" w:ascii="宋体" w:hAnsi="宋体" w:eastAsia="宋体" w:cs="宋体"/>
                <w:sz w:val="21"/>
                <w:szCs w:val="21"/>
                <w:lang w:val="en-US" w:eastAsia="zh-CN" w:bidi="ar-SA"/>
              </w:rPr>
            </w:pPr>
            <w:r>
              <w:rPr>
                <w:rFonts w:hint="eastAsia" w:ascii="宋体" w:hAnsi="宋体" w:cs="宋体"/>
                <w:sz w:val="21"/>
                <w:szCs w:val="21"/>
                <w:lang w:val="en-US" w:eastAsia="zh-CN"/>
              </w:rPr>
              <w:t>3900</w:t>
            </w:r>
          </w:p>
        </w:tc>
        <w:tc>
          <w:tcPr>
            <w:tcW w:w="601" w:type="pct"/>
            <w:vAlign w:val="center"/>
          </w:tcPr>
          <w:p w14:paraId="06E905AA">
            <w:pPr>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4500</w:t>
            </w:r>
          </w:p>
        </w:tc>
      </w:tr>
      <w:tr w14:paraId="1BB4FA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379" w:type="pct"/>
            <w:vMerge w:val="continue"/>
            <w:vAlign w:val="center"/>
          </w:tcPr>
          <w:p w14:paraId="518D6962">
            <w:pPr>
              <w:jc w:val="center"/>
              <w:rPr>
                <w:rFonts w:ascii="宋体" w:hAnsi="宋体" w:cs="宋体"/>
                <w:sz w:val="21"/>
                <w:szCs w:val="21"/>
              </w:rPr>
            </w:pPr>
          </w:p>
        </w:tc>
        <w:tc>
          <w:tcPr>
            <w:tcW w:w="276" w:type="pct"/>
            <w:vAlign w:val="center"/>
          </w:tcPr>
          <w:p w14:paraId="3910C2D2">
            <w:pPr>
              <w:jc w:val="center"/>
              <w:rPr>
                <w:rFonts w:ascii="宋体" w:hAnsi="宋体" w:cs="宋体"/>
                <w:sz w:val="21"/>
                <w:szCs w:val="21"/>
              </w:rPr>
            </w:pPr>
            <w:r>
              <w:rPr>
                <w:rFonts w:hint="eastAsia" w:ascii="宋体" w:hAnsi="宋体" w:cs="宋体"/>
                <w:sz w:val="21"/>
                <w:szCs w:val="21"/>
              </w:rPr>
              <w:t>2</w:t>
            </w:r>
          </w:p>
        </w:tc>
        <w:tc>
          <w:tcPr>
            <w:tcW w:w="762" w:type="pct"/>
            <w:vAlign w:val="center"/>
          </w:tcPr>
          <w:p w14:paraId="530ED38C">
            <w:pPr>
              <w:jc w:val="center"/>
              <w:rPr>
                <w:rFonts w:ascii="宋体" w:hAnsi="宋体" w:cs="宋体"/>
                <w:sz w:val="21"/>
                <w:szCs w:val="21"/>
              </w:rPr>
            </w:pPr>
            <w:r>
              <w:rPr>
                <w:rFonts w:hint="eastAsia" w:ascii="宋体" w:hAnsi="宋体" w:cs="宋体"/>
                <w:sz w:val="21"/>
                <w:szCs w:val="21"/>
              </w:rPr>
              <w:t>公司利润额（万元）</w:t>
            </w:r>
          </w:p>
        </w:tc>
        <w:tc>
          <w:tcPr>
            <w:tcW w:w="596" w:type="pct"/>
            <w:shd w:val="clear" w:color="auto" w:fill="auto"/>
            <w:vAlign w:val="center"/>
          </w:tcPr>
          <w:p w14:paraId="7AD672DB">
            <w:pPr>
              <w:jc w:val="center"/>
              <w:rPr>
                <w:rFonts w:hint="default" w:ascii="宋体" w:hAnsi="宋体" w:eastAsia="宋体" w:cs="宋体"/>
                <w:sz w:val="21"/>
                <w:szCs w:val="21"/>
                <w:lang w:val="en-US" w:eastAsia="zh-CN" w:bidi="ar-SA"/>
              </w:rPr>
            </w:pPr>
            <w:r>
              <w:rPr>
                <w:rFonts w:hint="eastAsia" w:ascii="宋体" w:hAnsi="宋体" w:cs="宋体"/>
                <w:sz w:val="21"/>
                <w:szCs w:val="21"/>
                <w:lang w:val="en-US" w:eastAsia="zh-CN"/>
              </w:rPr>
              <w:t>90</w:t>
            </w:r>
          </w:p>
        </w:tc>
        <w:tc>
          <w:tcPr>
            <w:tcW w:w="596" w:type="pct"/>
            <w:shd w:val="clear" w:color="auto" w:fill="auto"/>
            <w:vAlign w:val="center"/>
          </w:tcPr>
          <w:p w14:paraId="100122F6">
            <w:pPr>
              <w:jc w:val="center"/>
              <w:rPr>
                <w:rFonts w:ascii="宋体" w:hAnsi="宋体" w:eastAsia="宋体" w:cs="宋体"/>
                <w:sz w:val="21"/>
                <w:szCs w:val="21"/>
                <w:lang w:val="en-US" w:eastAsia="zh-CN" w:bidi="ar-SA"/>
              </w:rPr>
            </w:pPr>
            <w:r>
              <w:rPr>
                <w:rFonts w:hint="eastAsia" w:ascii="宋体" w:hAnsi="宋体" w:cs="宋体"/>
                <w:sz w:val="21"/>
                <w:szCs w:val="21"/>
                <w:lang w:val="en-US" w:eastAsia="zh-CN"/>
              </w:rPr>
              <w:t>125</w:t>
            </w:r>
            <w:r>
              <w:rPr>
                <w:rFonts w:hint="eastAsia" w:ascii="宋体" w:hAnsi="宋体" w:cs="宋体"/>
                <w:sz w:val="21"/>
                <w:szCs w:val="21"/>
              </w:rPr>
              <w:t xml:space="preserve"> </w:t>
            </w:r>
          </w:p>
        </w:tc>
        <w:tc>
          <w:tcPr>
            <w:tcW w:w="596" w:type="pct"/>
            <w:shd w:val="clear" w:color="auto" w:fill="auto"/>
            <w:vAlign w:val="center"/>
          </w:tcPr>
          <w:p w14:paraId="16A70452">
            <w:pPr>
              <w:jc w:val="center"/>
              <w:rPr>
                <w:rFonts w:hint="default" w:ascii="宋体" w:hAnsi="宋体" w:eastAsia="宋体" w:cs="宋体"/>
                <w:sz w:val="21"/>
                <w:szCs w:val="21"/>
                <w:lang w:val="en-US" w:eastAsia="zh-CN" w:bidi="ar-SA"/>
              </w:rPr>
            </w:pPr>
            <w:r>
              <w:rPr>
                <w:rFonts w:hint="eastAsia" w:ascii="宋体" w:hAnsi="宋体" w:cs="宋体"/>
                <w:sz w:val="21"/>
                <w:szCs w:val="21"/>
              </w:rPr>
              <w:t xml:space="preserve"> </w:t>
            </w:r>
            <w:r>
              <w:rPr>
                <w:rFonts w:hint="eastAsia" w:ascii="宋体" w:hAnsi="宋体" w:cs="宋体"/>
                <w:sz w:val="21"/>
                <w:szCs w:val="21"/>
                <w:lang w:val="en-US" w:eastAsia="zh-CN"/>
              </w:rPr>
              <w:t>150</w:t>
            </w:r>
            <w:r>
              <w:rPr>
                <w:rFonts w:hint="eastAsia" w:ascii="宋体" w:hAnsi="宋体" w:cs="宋体"/>
                <w:sz w:val="21"/>
                <w:szCs w:val="21"/>
              </w:rPr>
              <w:t xml:space="preserve"> </w:t>
            </w:r>
          </w:p>
        </w:tc>
        <w:tc>
          <w:tcPr>
            <w:tcW w:w="596" w:type="pct"/>
            <w:shd w:val="clear" w:color="auto" w:fill="auto"/>
            <w:vAlign w:val="center"/>
          </w:tcPr>
          <w:p w14:paraId="205D862C">
            <w:pPr>
              <w:jc w:val="center"/>
              <w:rPr>
                <w:rFonts w:hint="default" w:ascii="宋体" w:hAnsi="宋体" w:eastAsia="宋体" w:cs="宋体"/>
                <w:sz w:val="21"/>
                <w:szCs w:val="21"/>
                <w:lang w:val="en-US" w:eastAsia="zh-CN" w:bidi="ar-SA"/>
              </w:rPr>
            </w:pPr>
            <w:r>
              <w:rPr>
                <w:rFonts w:hint="eastAsia" w:ascii="宋体" w:hAnsi="宋体" w:cs="宋体"/>
                <w:sz w:val="21"/>
                <w:szCs w:val="21"/>
                <w:lang w:val="en-US" w:eastAsia="zh-CN"/>
              </w:rPr>
              <w:t>170</w:t>
            </w:r>
          </w:p>
        </w:tc>
        <w:tc>
          <w:tcPr>
            <w:tcW w:w="596" w:type="pct"/>
            <w:shd w:val="clear" w:color="auto" w:fill="auto"/>
            <w:vAlign w:val="center"/>
          </w:tcPr>
          <w:p w14:paraId="3EF10B4B">
            <w:pPr>
              <w:jc w:val="center"/>
              <w:rPr>
                <w:rFonts w:ascii="宋体" w:hAnsi="宋体" w:eastAsia="宋体" w:cs="宋体"/>
                <w:sz w:val="21"/>
                <w:szCs w:val="21"/>
                <w:lang w:val="en-US" w:eastAsia="zh-CN" w:bidi="ar-SA"/>
              </w:rPr>
            </w:pPr>
            <w:r>
              <w:rPr>
                <w:rFonts w:hint="eastAsia" w:ascii="宋体" w:hAnsi="宋体" w:cs="宋体"/>
                <w:sz w:val="21"/>
                <w:szCs w:val="21"/>
                <w:lang w:val="en-US" w:eastAsia="zh-CN"/>
              </w:rPr>
              <w:t>190</w:t>
            </w:r>
            <w:r>
              <w:rPr>
                <w:rFonts w:hint="eastAsia" w:ascii="宋体" w:hAnsi="宋体" w:cs="宋体"/>
                <w:sz w:val="21"/>
                <w:szCs w:val="21"/>
              </w:rPr>
              <w:t xml:space="preserve"> </w:t>
            </w:r>
          </w:p>
        </w:tc>
        <w:tc>
          <w:tcPr>
            <w:tcW w:w="601" w:type="pct"/>
            <w:vAlign w:val="center"/>
          </w:tcPr>
          <w:p w14:paraId="404B16C3">
            <w:pPr>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210</w:t>
            </w:r>
          </w:p>
        </w:tc>
      </w:tr>
      <w:tr w14:paraId="58CB71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379" w:type="pct"/>
            <w:vMerge w:val="restart"/>
            <w:vAlign w:val="center"/>
          </w:tcPr>
          <w:p w14:paraId="08FADB2B">
            <w:pPr>
              <w:jc w:val="center"/>
              <w:rPr>
                <w:rFonts w:ascii="宋体" w:hAnsi="宋体" w:cs="宋体"/>
                <w:sz w:val="21"/>
                <w:szCs w:val="21"/>
              </w:rPr>
            </w:pPr>
            <w:r>
              <w:rPr>
                <w:rFonts w:hint="eastAsia" w:ascii="宋体" w:hAnsi="宋体" w:cs="宋体"/>
                <w:sz w:val="21"/>
                <w:szCs w:val="21"/>
              </w:rPr>
              <w:t>顾客与市场</w:t>
            </w:r>
          </w:p>
        </w:tc>
        <w:tc>
          <w:tcPr>
            <w:tcW w:w="276" w:type="pct"/>
            <w:vAlign w:val="center"/>
          </w:tcPr>
          <w:p w14:paraId="1AB6ABDB">
            <w:pPr>
              <w:jc w:val="center"/>
              <w:rPr>
                <w:rFonts w:ascii="宋体" w:hAnsi="宋体" w:cs="宋体"/>
                <w:sz w:val="21"/>
                <w:szCs w:val="21"/>
              </w:rPr>
            </w:pPr>
            <w:r>
              <w:rPr>
                <w:rFonts w:hint="eastAsia" w:ascii="宋体" w:hAnsi="宋体" w:cs="宋体"/>
                <w:sz w:val="21"/>
                <w:szCs w:val="21"/>
              </w:rPr>
              <w:t>3</w:t>
            </w:r>
          </w:p>
        </w:tc>
        <w:tc>
          <w:tcPr>
            <w:tcW w:w="762" w:type="pct"/>
            <w:vAlign w:val="center"/>
          </w:tcPr>
          <w:p w14:paraId="6CEBC2FA">
            <w:pPr>
              <w:jc w:val="center"/>
              <w:rPr>
                <w:rFonts w:ascii="宋体" w:hAnsi="宋体" w:cs="宋体"/>
                <w:sz w:val="21"/>
                <w:szCs w:val="21"/>
              </w:rPr>
            </w:pPr>
            <w:r>
              <w:rPr>
                <w:rFonts w:hint="eastAsia" w:ascii="宋体" w:hAnsi="宋体" w:cs="宋体"/>
                <w:sz w:val="21"/>
                <w:szCs w:val="21"/>
              </w:rPr>
              <w:t>顾客满意度（%）</w:t>
            </w:r>
          </w:p>
        </w:tc>
        <w:tc>
          <w:tcPr>
            <w:tcW w:w="596" w:type="pct"/>
            <w:shd w:val="clear" w:color="auto" w:fill="auto"/>
            <w:vAlign w:val="center"/>
          </w:tcPr>
          <w:p w14:paraId="2BA3E988">
            <w:pPr>
              <w:jc w:val="center"/>
              <w:rPr>
                <w:rFonts w:ascii="宋体" w:hAnsi="宋体" w:eastAsia="宋体" w:cs="宋体"/>
                <w:sz w:val="21"/>
                <w:szCs w:val="21"/>
                <w:lang w:val="en-US" w:eastAsia="zh-CN" w:bidi="ar-SA"/>
              </w:rPr>
            </w:pPr>
            <w:r>
              <w:rPr>
                <w:rFonts w:hint="eastAsia" w:ascii="宋体" w:hAnsi="宋体" w:cs="宋体"/>
                <w:sz w:val="21"/>
                <w:szCs w:val="21"/>
                <w:lang w:val="en-US" w:eastAsia="zh-CN" w:bidi="ar-SA"/>
              </w:rPr>
              <w:t>98</w:t>
            </w:r>
          </w:p>
        </w:tc>
        <w:tc>
          <w:tcPr>
            <w:tcW w:w="596" w:type="pct"/>
            <w:shd w:val="clear" w:color="auto" w:fill="auto"/>
            <w:vAlign w:val="center"/>
          </w:tcPr>
          <w:p w14:paraId="4A42D1DC">
            <w:pPr>
              <w:jc w:val="center"/>
              <w:rPr>
                <w:rFonts w:hint="default" w:ascii="宋体" w:hAnsi="宋体" w:eastAsia="宋体" w:cs="宋体"/>
                <w:sz w:val="21"/>
                <w:szCs w:val="21"/>
                <w:lang w:val="en-US" w:eastAsia="zh-CN" w:bidi="ar-SA"/>
              </w:rPr>
            </w:pPr>
            <w:r>
              <w:rPr>
                <w:rFonts w:hint="eastAsia" w:ascii="宋体" w:hAnsi="宋体" w:cs="宋体"/>
                <w:sz w:val="21"/>
                <w:szCs w:val="21"/>
              </w:rPr>
              <w:t>9</w:t>
            </w:r>
            <w:r>
              <w:rPr>
                <w:rFonts w:hint="eastAsia" w:ascii="宋体" w:hAnsi="宋体" w:cs="宋体"/>
                <w:sz w:val="21"/>
                <w:szCs w:val="21"/>
                <w:lang w:val="en-US" w:eastAsia="zh-CN"/>
              </w:rPr>
              <w:t>8.5</w:t>
            </w:r>
          </w:p>
        </w:tc>
        <w:tc>
          <w:tcPr>
            <w:tcW w:w="596" w:type="pct"/>
            <w:shd w:val="clear" w:color="auto" w:fill="auto"/>
            <w:vAlign w:val="center"/>
          </w:tcPr>
          <w:p w14:paraId="0079BB65">
            <w:pPr>
              <w:jc w:val="center"/>
              <w:rPr>
                <w:rFonts w:hint="default" w:ascii="宋体" w:hAnsi="宋体" w:eastAsia="宋体" w:cs="宋体"/>
                <w:sz w:val="21"/>
                <w:szCs w:val="21"/>
                <w:lang w:val="en-US" w:eastAsia="zh-CN" w:bidi="ar-SA"/>
              </w:rPr>
            </w:pPr>
            <w:r>
              <w:rPr>
                <w:rFonts w:hint="eastAsia" w:ascii="宋体" w:hAnsi="宋体" w:cs="宋体"/>
                <w:sz w:val="21"/>
                <w:szCs w:val="21"/>
              </w:rPr>
              <w:t>99</w:t>
            </w:r>
          </w:p>
        </w:tc>
        <w:tc>
          <w:tcPr>
            <w:tcW w:w="596" w:type="pct"/>
            <w:tcBorders>
              <w:right w:val="single" w:color="auto" w:sz="12" w:space="0"/>
            </w:tcBorders>
            <w:shd w:val="clear" w:color="auto" w:fill="auto"/>
            <w:vAlign w:val="center"/>
          </w:tcPr>
          <w:p w14:paraId="5916B655">
            <w:pPr>
              <w:jc w:val="center"/>
              <w:rPr>
                <w:rFonts w:hint="default" w:ascii="宋体" w:hAnsi="宋体" w:eastAsia="宋体" w:cs="宋体"/>
                <w:sz w:val="21"/>
                <w:szCs w:val="21"/>
                <w:lang w:val="en-US" w:eastAsia="zh-CN" w:bidi="ar-SA"/>
              </w:rPr>
            </w:pPr>
            <w:r>
              <w:rPr>
                <w:rFonts w:hint="eastAsia" w:ascii="宋体" w:hAnsi="宋体" w:cs="宋体"/>
                <w:sz w:val="21"/>
                <w:szCs w:val="21"/>
                <w:lang w:val="en-US" w:eastAsia="zh-CN"/>
              </w:rPr>
              <w:t>99</w:t>
            </w:r>
          </w:p>
        </w:tc>
        <w:tc>
          <w:tcPr>
            <w:tcW w:w="596" w:type="pct"/>
            <w:tcBorders>
              <w:right w:val="single" w:color="auto" w:sz="12" w:space="0"/>
            </w:tcBorders>
            <w:shd w:val="clear" w:color="auto" w:fill="auto"/>
            <w:vAlign w:val="center"/>
          </w:tcPr>
          <w:p w14:paraId="575DADE6">
            <w:pPr>
              <w:jc w:val="center"/>
              <w:rPr>
                <w:rFonts w:ascii="宋体" w:hAnsi="宋体" w:eastAsia="宋体" w:cs="宋体"/>
                <w:sz w:val="21"/>
                <w:szCs w:val="21"/>
                <w:lang w:val="en-US" w:eastAsia="zh-CN" w:bidi="ar-SA"/>
              </w:rPr>
            </w:pPr>
            <w:r>
              <w:rPr>
                <w:rFonts w:hint="eastAsia" w:ascii="宋体" w:hAnsi="宋体" w:cs="宋体"/>
                <w:sz w:val="21"/>
                <w:szCs w:val="21"/>
              </w:rPr>
              <w:t>99</w:t>
            </w:r>
          </w:p>
        </w:tc>
        <w:tc>
          <w:tcPr>
            <w:tcW w:w="601" w:type="pct"/>
            <w:tcBorders>
              <w:right w:val="single" w:color="auto" w:sz="12" w:space="0"/>
            </w:tcBorders>
            <w:vAlign w:val="center"/>
          </w:tcPr>
          <w:p w14:paraId="3FE53FC0">
            <w:pPr>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99</w:t>
            </w:r>
          </w:p>
        </w:tc>
      </w:tr>
      <w:tr w14:paraId="05FDEA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379" w:type="pct"/>
            <w:vMerge w:val="continue"/>
            <w:vAlign w:val="center"/>
          </w:tcPr>
          <w:p w14:paraId="0FCE4A04">
            <w:pPr>
              <w:jc w:val="center"/>
              <w:rPr>
                <w:rFonts w:ascii="宋体" w:hAnsi="宋体" w:cs="宋体"/>
                <w:sz w:val="21"/>
                <w:szCs w:val="21"/>
              </w:rPr>
            </w:pPr>
          </w:p>
        </w:tc>
        <w:tc>
          <w:tcPr>
            <w:tcW w:w="276" w:type="pct"/>
            <w:vAlign w:val="center"/>
          </w:tcPr>
          <w:p w14:paraId="77FA415C">
            <w:pPr>
              <w:jc w:val="center"/>
              <w:rPr>
                <w:rFonts w:ascii="宋体" w:hAnsi="宋体" w:cs="宋体"/>
                <w:sz w:val="21"/>
                <w:szCs w:val="21"/>
              </w:rPr>
            </w:pPr>
            <w:r>
              <w:rPr>
                <w:rFonts w:hint="eastAsia" w:ascii="宋体" w:hAnsi="宋体" w:cs="宋体"/>
                <w:sz w:val="21"/>
                <w:szCs w:val="21"/>
              </w:rPr>
              <w:t>4</w:t>
            </w:r>
          </w:p>
        </w:tc>
        <w:tc>
          <w:tcPr>
            <w:tcW w:w="762" w:type="pct"/>
            <w:vAlign w:val="center"/>
          </w:tcPr>
          <w:p w14:paraId="56AA5251">
            <w:pPr>
              <w:jc w:val="center"/>
              <w:rPr>
                <w:rFonts w:ascii="宋体" w:hAnsi="宋体" w:cs="宋体"/>
                <w:sz w:val="21"/>
                <w:szCs w:val="21"/>
              </w:rPr>
            </w:pPr>
            <w:r>
              <w:rPr>
                <w:rFonts w:hint="eastAsia" w:ascii="宋体" w:hAnsi="宋体" w:cs="宋体"/>
                <w:sz w:val="21"/>
                <w:szCs w:val="21"/>
              </w:rPr>
              <w:t>目标市场占有率（%）</w:t>
            </w:r>
          </w:p>
        </w:tc>
        <w:tc>
          <w:tcPr>
            <w:tcW w:w="596" w:type="pct"/>
            <w:shd w:val="clear" w:color="auto" w:fill="auto"/>
            <w:vAlign w:val="center"/>
          </w:tcPr>
          <w:p w14:paraId="5F24DCD8">
            <w:pPr>
              <w:jc w:val="center"/>
              <w:rPr>
                <w:rFonts w:hint="default" w:ascii="宋体" w:hAnsi="宋体" w:eastAsia="宋体" w:cs="宋体"/>
                <w:sz w:val="21"/>
                <w:szCs w:val="21"/>
                <w:lang w:val="en-US" w:eastAsia="zh-CN" w:bidi="ar-SA"/>
              </w:rPr>
            </w:pPr>
            <w:r>
              <w:rPr>
                <w:rFonts w:hint="eastAsia" w:ascii="宋体" w:hAnsi="宋体" w:cs="宋体"/>
                <w:sz w:val="21"/>
                <w:szCs w:val="21"/>
                <w:lang w:val="en-US" w:eastAsia="zh-CN" w:bidi="ar-SA"/>
              </w:rPr>
              <w:t>5</w:t>
            </w:r>
          </w:p>
        </w:tc>
        <w:tc>
          <w:tcPr>
            <w:tcW w:w="596" w:type="pct"/>
            <w:shd w:val="clear" w:color="auto" w:fill="auto"/>
            <w:vAlign w:val="center"/>
          </w:tcPr>
          <w:p w14:paraId="24392822">
            <w:pPr>
              <w:jc w:val="center"/>
              <w:rPr>
                <w:rFonts w:hint="default" w:ascii="宋体" w:hAnsi="宋体" w:eastAsia="宋体" w:cs="宋体"/>
                <w:sz w:val="21"/>
                <w:szCs w:val="21"/>
                <w:lang w:val="en-US" w:eastAsia="zh-CN" w:bidi="ar-SA"/>
              </w:rPr>
            </w:pPr>
            <w:r>
              <w:rPr>
                <w:rFonts w:hint="eastAsia" w:ascii="宋体" w:hAnsi="宋体" w:cs="宋体"/>
                <w:sz w:val="21"/>
                <w:szCs w:val="21"/>
                <w:lang w:val="en-US" w:eastAsia="zh-CN" w:bidi="ar-SA"/>
              </w:rPr>
              <w:t>8</w:t>
            </w:r>
          </w:p>
        </w:tc>
        <w:tc>
          <w:tcPr>
            <w:tcW w:w="596" w:type="pct"/>
            <w:shd w:val="clear" w:color="auto" w:fill="auto"/>
            <w:vAlign w:val="center"/>
          </w:tcPr>
          <w:p w14:paraId="3FC555C7">
            <w:pPr>
              <w:jc w:val="center"/>
              <w:rPr>
                <w:rFonts w:hint="default" w:ascii="宋体" w:hAnsi="宋体" w:eastAsia="宋体" w:cs="宋体"/>
                <w:sz w:val="21"/>
                <w:szCs w:val="21"/>
                <w:lang w:val="en-US" w:eastAsia="zh-CN" w:bidi="ar-SA"/>
              </w:rPr>
            </w:pPr>
            <w:r>
              <w:rPr>
                <w:rFonts w:hint="eastAsia" w:ascii="宋体" w:hAnsi="宋体" w:cs="宋体"/>
                <w:sz w:val="21"/>
                <w:szCs w:val="21"/>
                <w:lang w:val="en-US" w:eastAsia="zh-CN" w:bidi="ar-SA"/>
              </w:rPr>
              <w:t>11</w:t>
            </w:r>
          </w:p>
        </w:tc>
        <w:tc>
          <w:tcPr>
            <w:tcW w:w="596" w:type="pct"/>
            <w:tcBorders>
              <w:right w:val="single" w:color="auto" w:sz="12" w:space="0"/>
            </w:tcBorders>
            <w:shd w:val="clear" w:color="auto" w:fill="auto"/>
            <w:vAlign w:val="center"/>
          </w:tcPr>
          <w:p w14:paraId="10787A54">
            <w:pPr>
              <w:jc w:val="center"/>
              <w:rPr>
                <w:rFonts w:hint="default" w:ascii="宋体" w:hAnsi="宋体" w:eastAsia="宋体" w:cs="宋体"/>
                <w:sz w:val="21"/>
                <w:szCs w:val="21"/>
                <w:lang w:val="en-US" w:eastAsia="zh-CN" w:bidi="ar-SA"/>
              </w:rPr>
            </w:pPr>
            <w:r>
              <w:rPr>
                <w:rFonts w:hint="eastAsia" w:ascii="宋体" w:hAnsi="宋体" w:cs="宋体"/>
                <w:sz w:val="21"/>
                <w:szCs w:val="21"/>
                <w:lang w:val="en-US" w:eastAsia="zh-CN"/>
              </w:rPr>
              <w:t>11</w:t>
            </w:r>
          </w:p>
        </w:tc>
        <w:tc>
          <w:tcPr>
            <w:tcW w:w="596" w:type="pct"/>
            <w:tcBorders>
              <w:right w:val="single" w:color="auto" w:sz="12" w:space="0"/>
            </w:tcBorders>
            <w:shd w:val="clear" w:color="auto" w:fill="auto"/>
            <w:vAlign w:val="center"/>
          </w:tcPr>
          <w:p w14:paraId="78F9A37B">
            <w:pPr>
              <w:jc w:val="center"/>
              <w:rPr>
                <w:rFonts w:hint="default" w:ascii="宋体" w:hAnsi="宋体" w:eastAsia="宋体" w:cs="宋体"/>
                <w:sz w:val="21"/>
                <w:szCs w:val="21"/>
                <w:lang w:val="en-US" w:eastAsia="zh-CN" w:bidi="ar-SA"/>
              </w:rPr>
            </w:pPr>
            <w:r>
              <w:rPr>
                <w:rFonts w:hint="eastAsia" w:ascii="宋体" w:hAnsi="宋体" w:cs="宋体"/>
                <w:sz w:val="21"/>
                <w:szCs w:val="21"/>
                <w:lang w:val="en-US" w:eastAsia="zh-CN" w:bidi="ar-SA"/>
              </w:rPr>
              <w:t>12</w:t>
            </w:r>
          </w:p>
        </w:tc>
        <w:tc>
          <w:tcPr>
            <w:tcW w:w="601" w:type="pct"/>
            <w:tcBorders>
              <w:right w:val="single" w:color="auto" w:sz="12" w:space="0"/>
            </w:tcBorders>
            <w:vAlign w:val="center"/>
          </w:tcPr>
          <w:p w14:paraId="1C01A404">
            <w:pPr>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13</w:t>
            </w:r>
          </w:p>
        </w:tc>
      </w:tr>
      <w:tr w14:paraId="1770AE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379" w:type="pct"/>
            <w:vMerge w:val="restart"/>
            <w:vAlign w:val="center"/>
          </w:tcPr>
          <w:p w14:paraId="791ACB93">
            <w:pPr>
              <w:jc w:val="center"/>
              <w:rPr>
                <w:rFonts w:ascii="宋体" w:hAnsi="宋体" w:cs="宋体"/>
                <w:sz w:val="21"/>
                <w:szCs w:val="21"/>
              </w:rPr>
            </w:pPr>
            <w:r>
              <w:rPr>
                <w:rFonts w:hint="eastAsia" w:ascii="宋体" w:hAnsi="宋体" w:cs="宋体"/>
                <w:sz w:val="21"/>
                <w:szCs w:val="21"/>
              </w:rPr>
              <w:t>生产</w:t>
            </w:r>
          </w:p>
          <w:p w14:paraId="1400CFC0">
            <w:pPr>
              <w:jc w:val="center"/>
              <w:rPr>
                <w:rFonts w:ascii="宋体" w:hAnsi="宋体" w:cs="宋体"/>
                <w:sz w:val="21"/>
                <w:szCs w:val="21"/>
              </w:rPr>
            </w:pPr>
            <w:r>
              <w:rPr>
                <w:rFonts w:hint="eastAsia" w:ascii="宋体" w:hAnsi="宋体" w:cs="宋体"/>
                <w:sz w:val="21"/>
                <w:szCs w:val="21"/>
              </w:rPr>
              <w:t>运营</w:t>
            </w:r>
          </w:p>
        </w:tc>
        <w:tc>
          <w:tcPr>
            <w:tcW w:w="276" w:type="pct"/>
            <w:vAlign w:val="center"/>
          </w:tcPr>
          <w:p w14:paraId="7E2EAA46">
            <w:pPr>
              <w:jc w:val="center"/>
              <w:rPr>
                <w:rFonts w:ascii="宋体" w:hAnsi="宋体" w:cs="宋体"/>
                <w:sz w:val="21"/>
                <w:szCs w:val="21"/>
              </w:rPr>
            </w:pPr>
            <w:r>
              <w:rPr>
                <w:rFonts w:hint="eastAsia" w:ascii="宋体" w:hAnsi="宋体" w:cs="宋体"/>
                <w:sz w:val="21"/>
                <w:szCs w:val="21"/>
              </w:rPr>
              <w:t>5</w:t>
            </w:r>
          </w:p>
        </w:tc>
        <w:tc>
          <w:tcPr>
            <w:tcW w:w="762" w:type="pct"/>
            <w:vAlign w:val="center"/>
          </w:tcPr>
          <w:p w14:paraId="5F47421A">
            <w:pPr>
              <w:jc w:val="center"/>
              <w:rPr>
                <w:rFonts w:ascii="宋体" w:hAnsi="宋体" w:cs="宋体"/>
                <w:sz w:val="21"/>
                <w:szCs w:val="21"/>
              </w:rPr>
            </w:pPr>
            <w:r>
              <w:rPr>
                <w:rFonts w:hint="eastAsia" w:ascii="宋体" w:hAnsi="宋体" w:cs="宋体"/>
                <w:sz w:val="21"/>
                <w:szCs w:val="21"/>
              </w:rPr>
              <w:t>进货批合格率（%）</w:t>
            </w:r>
          </w:p>
        </w:tc>
        <w:tc>
          <w:tcPr>
            <w:tcW w:w="596" w:type="pct"/>
            <w:shd w:val="clear" w:color="auto" w:fill="auto"/>
            <w:vAlign w:val="center"/>
          </w:tcPr>
          <w:p w14:paraId="4BBFD741">
            <w:pPr>
              <w:jc w:val="center"/>
              <w:rPr>
                <w:rFonts w:hint="eastAsia" w:ascii="宋体" w:hAnsi="宋体" w:eastAsia="宋体" w:cs="宋体"/>
                <w:sz w:val="21"/>
                <w:szCs w:val="21"/>
                <w:lang w:val="en-US" w:eastAsia="zh-CN" w:bidi="ar-SA"/>
              </w:rPr>
            </w:pPr>
            <w:r>
              <w:rPr>
                <w:rFonts w:hint="eastAsia" w:ascii="宋体" w:hAnsi="宋体" w:cs="宋体"/>
                <w:sz w:val="21"/>
                <w:szCs w:val="21"/>
              </w:rPr>
              <w:t>98</w:t>
            </w:r>
          </w:p>
        </w:tc>
        <w:tc>
          <w:tcPr>
            <w:tcW w:w="596" w:type="pct"/>
            <w:shd w:val="clear" w:color="auto" w:fill="auto"/>
            <w:vAlign w:val="center"/>
          </w:tcPr>
          <w:p w14:paraId="19B1C377">
            <w:pPr>
              <w:jc w:val="center"/>
              <w:rPr>
                <w:rFonts w:ascii="宋体" w:hAnsi="宋体" w:eastAsia="宋体" w:cs="宋体"/>
                <w:sz w:val="21"/>
                <w:szCs w:val="21"/>
                <w:lang w:val="en-US" w:eastAsia="zh-CN" w:bidi="ar-SA"/>
              </w:rPr>
            </w:pPr>
            <w:r>
              <w:rPr>
                <w:rFonts w:hint="eastAsia" w:ascii="宋体" w:hAnsi="宋体" w:cs="宋体"/>
                <w:sz w:val="21"/>
                <w:szCs w:val="21"/>
              </w:rPr>
              <w:t>99</w:t>
            </w:r>
          </w:p>
        </w:tc>
        <w:tc>
          <w:tcPr>
            <w:tcW w:w="596" w:type="pct"/>
            <w:shd w:val="clear" w:color="auto" w:fill="auto"/>
            <w:vAlign w:val="center"/>
          </w:tcPr>
          <w:p w14:paraId="53A46074">
            <w:pPr>
              <w:jc w:val="center"/>
              <w:rPr>
                <w:rFonts w:ascii="宋体" w:hAnsi="宋体" w:eastAsia="宋体" w:cs="宋体"/>
                <w:sz w:val="21"/>
                <w:szCs w:val="21"/>
                <w:lang w:val="en-US" w:eastAsia="zh-CN" w:bidi="ar-SA"/>
              </w:rPr>
            </w:pPr>
            <w:r>
              <w:rPr>
                <w:rFonts w:hint="eastAsia" w:ascii="宋体" w:hAnsi="宋体" w:cs="宋体"/>
                <w:sz w:val="21"/>
                <w:szCs w:val="21"/>
              </w:rPr>
              <w:t>99</w:t>
            </w:r>
          </w:p>
        </w:tc>
        <w:tc>
          <w:tcPr>
            <w:tcW w:w="596" w:type="pct"/>
            <w:tcBorders>
              <w:right w:val="single" w:color="auto" w:sz="12" w:space="0"/>
            </w:tcBorders>
            <w:shd w:val="clear" w:color="auto" w:fill="auto"/>
            <w:vAlign w:val="center"/>
          </w:tcPr>
          <w:p w14:paraId="64153321">
            <w:pPr>
              <w:jc w:val="center"/>
              <w:rPr>
                <w:rFonts w:ascii="宋体" w:hAnsi="宋体" w:eastAsia="宋体" w:cs="宋体"/>
                <w:sz w:val="21"/>
                <w:szCs w:val="21"/>
                <w:lang w:val="en-US" w:eastAsia="zh-CN" w:bidi="ar-SA"/>
              </w:rPr>
            </w:pPr>
            <w:r>
              <w:rPr>
                <w:rFonts w:hint="eastAsia" w:ascii="宋体" w:hAnsi="宋体" w:cs="宋体"/>
                <w:sz w:val="21"/>
                <w:szCs w:val="21"/>
                <w:lang w:val="en-US" w:eastAsia="zh-CN"/>
              </w:rPr>
              <w:t>99</w:t>
            </w:r>
          </w:p>
        </w:tc>
        <w:tc>
          <w:tcPr>
            <w:tcW w:w="596" w:type="pct"/>
            <w:tcBorders>
              <w:right w:val="single" w:color="auto" w:sz="12" w:space="0"/>
            </w:tcBorders>
            <w:shd w:val="clear" w:color="auto" w:fill="auto"/>
            <w:vAlign w:val="center"/>
          </w:tcPr>
          <w:p w14:paraId="1C5775E5">
            <w:pPr>
              <w:jc w:val="center"/>
              <w:rPr>
                <w:rFonts w:ascii="宋体" w:hAnsi="宋体" w:eastAsia="宋体" w:cs="宋体"/>
                <w:sz w:val="21"/>
                <w:szCs w:val="21"/>
                <w:lang w:val="en-US" w:eastAsia="zh-CN" w:bidi="ar-SA"/>
              </w:rPr>
            </w:pPr>
            <w:r>
              <w:rPr>
                <w:rFonts w:hint="eastAsia" w:ascii="宋体" w:hAnsi="宋体" w:cs="宋体"/>
                <w:sz w:val="21"/>
                <w:szCs w:val="21"/>
              </w:rPr>
              <w:t>99</w:t>
            </w:r>
          </w:p>
        </w:tc>
        <w:tc>
          <w:tcPr>
            <w:tcW w:w="601" w:type="pct"/>
            <w:tcBorders>
              <w:right w:val="single" w:color="auto" w:sz="12" w:space="0"/>
            </w:tcBorders>
            <w:vAlign w:val="center"/>
          </w:tcPr>
          <w:p w14:paraId="6252A429">
            <w:pPr>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99</w:t>
            </w:r>
          </w:p>
        </w:tc>
      </w:tr>
      <w:tr w14:paraId="40AE01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379" w:type="pct"/>
            <w:vMerge w:val="continue"/>
            <w:vAlign w:val="center"/>
          </w:tcPr>
          <w:p w14:paraId="58D618A2">
            <w:pPr>
              <w:jc w:val="center"/>
              <w:rPr>
                <w:rFonts w:ascii="宋体" w:hAnsi="宋体" w:cs="宋体"/>
                <w:sz w:val="21"/>
                <w:szCs w:val="21"/>
              </w:rPr>
            </w:pPr>
          </w:p>
        </w:tc>
        <w:tc>
          <w:tcPr>
            <w:tcW w:w="276" w:type="pct"/>
            <w:vAlign w:val="center"/>
          </w:tcPr>
          <w:p w14:paraId="287BF278">
            <w:pPr>
              <w:jc w:val="center"/>
              <w:rPr>
                <w:rFonts w:ascii="宋体" w:hAnsi="宋体" w:cs="宋体"/>
                <w:sz w:val="21"/>
                <w:szCs w:val="21"/>
              </w:rPr>
            </w:pPr>
            <w:r>
              <w:rPr>
                <w:rFonts w:hint="eastAsia" w:ascii="宋体" w:hAnsi="宋体" w:cs="宋体"/>
                <w:sz w:val="21"/>
                <w:szCs w:val="21"/>
              </w:rPr>
              <w:t>6</w:t>
            </w:r>
          </w:p>
        </w:tc>
        <w:tc>
          <w:tcPr>
            <w:tcW w:w="762" w:type="pct"/>
            <w:vAlign w:val="center"/>
          </w:tcPr>
          <w:p w14:paraId="3611A37C">
            <w:pPr>
              <w:jc w:val="center"/>
              <w:rPr>
                <w:rFonts w:ascii="宋体" w:hAnsi="宋体" w:cs="宋体"/>
                <w:sz w:val="21"/>
                <w:szCs w:val="21"/>
              </w:rPr>
            </w:pPr>
            <w:r>
              <w:rPr>
                <w:rFonts w:hint="eastAsia" w:ascii="宋体" w:hAnsi="宋体" w:cs="宋体"/>
                <w:sz w:val="21"/>
                <w:szCs w:val="21"/>
              </w:rPr>
              <w:t>设备完好率（%）</w:t>
            </w:r>
          </w:p>
        </w:tc>
        <w:tc>
          <w:tcPr>
            <w:tcW w:w="596" w:type="pct"/>
            <w:shd w:val="clear" w:color="auto" w:fill="auto"/>
            <w:vAlign w:val="center"/>
          </w:tcPr>
          <w:p w14:paraId="5DB9A73C">
            <w:pPr>
              <w:jc w:val="center"/>
              <w:rPr>
                <w:rFonts w:hint="eastAsia" w:ascii="宋体" w:hAnsi="宋体" w:eastAsia="宋体" w:cs="宋体"/>
                <w:sz w:val="21"/>
                <w:szCs w:val="21"/>
                <w:lang w:val="en-US" w:eastAsia="zh-CN" w:bidi="ar-SA"/>
              </w:rPr>
            </w:pPr>
            <w:r>
              <w:rPr>
                <w:rFonts w:hint="eastAsia" w:ascii="宋体" w:hAnsi="宋体" w:cs="宋体"/>
                <w:sz w:val="21"/>
                <w:szCs w:val="21"/>
              </w:rPr>
              <w:t>9</w:t>
            </w:r>
            <w:r>
              <w:rPr>
                <w:rFonts w:hint="eastAsia" w:ascii="宋体" w:hAnsi="宋体" w:cs="宋体"/>
                <w:sz w:val="21"/>
                <w:szCs w:val="21"/>
                <w:lang w:val="en-US" w:eastAsia="zh-CN"/>
              </w:rPr>
              <w:t>9</w:t>
            </w:r>
          </w:p>
        </w:tc>
        <w:tc>
          <w:tcPr>
            <w:tcW w:w="596" w:type="pct"/>
            <w:shd w:val="clear" w:color="auto" w:fill="auto"/>
            <w:vAlign w:val="center"/>
          </w:tcPr>
          <w:p w14:paraId="365184CF">
            <w:pPr>
              <w:jc w:val="center"/>
              <w:rPr>
                <w:rFonts w:hint="default" w:ascii="宋体" w:hAnsi="宋体" w:eastAsia="宋体" w:cs="宋体"/>
                <w:sz w:val="21"/>
                <w:szCs w:val="21"/>
                <w:lang w:val="en-US" w:eastAsia="zh-CN" w:bidi="ar-SA"/>
              </w:rPr>
            </w:pPr>
            <w:r>
              <w:rPr>
                <w:rFonts w:hint="eastAsia" w:ascii="宋体" w:hAnsi="宋体" w:cs="宋体"/>
                <w:sz w:val="21"/>
                <w:szCs w:val="21"/>
              </w:rPr>
              <w:t>99</w:t>
            </w:r>
          </w:p>
        </w:tc>
        <w:tc>
          <w:tcPr>
            <w:tcW w:w="596" w:type="pct"/>
            <w:shd w:val="clear" w:color="auto" w:fill="auto"/>
            <w:vAlign w:val="center"/>
          </w:tcPr>
          <w:p w14:paraId="7060D522">
            <w:pPr>
              <w:jc w:val="center"/>
              <w:rPr>
                <w:rFonts w:hint="eastAsia" w:ascii="宋体" w:hAnsi="宋体" w:eastAsia="宋体" w:cs="宋体"/>
                <w:sz w:val="21"/>
                <w:szCs w:val="21"/>
                <w:lang w:val="en-US" w:eastAsia="zh-CN" w:bidi="ar-SA"/>
              </w:rPr>
            </w:pPr>
            <w:r>
              <w:rPr>
                <w:rFonts w:hint="eastAsia" w:ascii="宋体" w:hAnsi="宋体" w:cs="宋体"/>
                <w:sz w:val="21"/>
                <w:szCs w:val="21"/>
              </w:rPr>
              <w:t>99</w:t>
            </w:r>
          </w:p>
        </w:tc>
        <w:tc>
          <w:tcPr>
            <w:tcW w:w="596" w:type="pct"/>
            <w:tcBorders>
              <w:right w:val="single" w:color="auto" w:sz="12" w:space="0"/>
            </w:tcBorders>
            <w:shd w:val="clear" w:color="auto" w:fill="auto"/>
            <w:vAlign w:val="center"/>
          </w:tcPr>
          <w:p w14:paraId="4DDD74AF">
            <w:pPr>
              <w:jc w:val="center"/>
              <w:rPr>
                <w:rFonts w:ascii="宋体" w:hAnsi="宋体" w:eastAsia="宋体" w:cs="宋体"/>
                <w:sz w:val="21"/>
                <w:szCs w:val="21"/>
                <w:lang w:val="en-US" w:eastAsia="zh-CN" w:bidi="ar-SA"/>
              </w:rPr>
            </w:pPr>
            <w:r>
              <w:rPr>
                <w:rFonts w:hint="eastAsia" w:ascii="宋体" w:hAnsi="宋体" w:cs="宋体"/>
                <w:sz w:val="21"/>
                <w:szCs w:val="21"/>
                <w:lang w:val="en-US" w:eastAsia="zh-CN"/>
              </w:rPr>
              <w:t>99</w:t>
            </w:r>
          </w:p>
        </w:tc>
        <w:tc>
          <w:tcPr>
            <w:tcW w:w="596" w:type="pct"/>
            <w:tcBorders>
              <w:right w:val="single" w:color="auto" w:sz="12" w:space="0"/>
            </w:tcBorders>
            <w:shd w:val="clear" w:color="auto" w:fill="auto"/>
            <w:vAlign w:val="center"/>
          </w:tcPr>
          <w:p w14:paraId="43D236D0">
            <w:pPr>
              <w:jc w:val="center"/>
              <w:rPr>
                <w:rFonts w:ascii="宋体" w:hAnsi="宋体" w:eastAsia="宋体" w:cs="宋体"/>
                <w:sz w:val="21"/>
                <w:szCs w:val="21"/>
                <w:lang w:val="en-US" w:eastAsia="zh-CN" w:bidi="ar-SA"/>
              </w:rPr>
            </w:pPr>
            <w:r>
              <w:rPr>
                <w:rFonts w:hint="eastAsia" w:ascii="宋体" w:hAnsi="宋体" w:cs="宋体"/>
                <w:sz w:val="21"/>
                <w:szCs w:val="21"/>
              </w:rPr>
              <w:t>99</w:t>
            </w:r>
          </w:p>
        </w:tc>
        <w:tc>
          <w:tcPr>
            <w:tcW w:w="601" w:type="pct"/>
            <w:tcBorders>
              <w:right w:val="single" w:color="auto" w:sz="12" w:space="0"/>
            </w:tcBorders>
            <w:vAlign w:val="center"/>
          </w:tcPr>
          <w:p w14:paraId="728DB036">
            <w:pPr>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99</w:t>
            </w:r>
          </w:p>
        </w:tc>
      </w:tr>
      <w:tr w14:paraId="072580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379" w:type="pct"/>
            <w:vMerge w:val="continue"/>
            <w:vAlign w:val="center"/>
          </w:tcPr>
          <w:p w14:paraId="6E8E9F1F">
            <w:pPr>
              <w:jc w:val="center"/>
              <w:rPr>
                <w:rFonts w:ascii="宋体" w:hAnsi="宋体" w:cs="宋体"/>
                <w:sz w:val="21"/>
                <w:szCs w:val="21"/>
              </w:rPr>
            </w:pPr>
          </w:p>
        </w:tc>
        <w:tc>
          <w:tcPr>
            <w:tcW w:w="276" w:type="pct"/>
            <w:vAlign w:val="center"/>
          </w:tcPr>
          <w:p w14:paraId="707B5727">
            <w:pPr>
              <w:jc w:val="center"/>
              <w:rPr>
                <w:rFonts w:ascii="宋体" w:hAnsi="宋体" w:cs="宋体"/>
                <w:sz w:val="21"/>
                <w:szCs w:val="21"/>
              </w:rPr>
            </w:pPr>
            <w:r>
              <w:rPr>
                <w:rFonts w:hint="eastAsia" w:ascii="宋体" w:hAnsi="宋体" w:cs="宋体"/>
                <w:sz w:val="21"/>
                <w:szCs w:val="21"/>
              </w:rPr>
              <w:t>7</w:t>
            </w:r>
          </w:p>
        </w:tc>
        <w:tc>
          <w:tcPr>
            <w:tcW w:w="762" w:type="pct"/>
            <w:vAlign w:val="center"/>
          </w:tcPr>
          <w:p w14:paraId="46CB6CC7">
            <w:pPr>
              <w:jc w:val="center"/>
              <w:rPr>
                <w:rFonts w:ascii="宋体" w:hAnsi="宋体" w:cs="宋体"/>
                <w:sz w:val="21"/>
                <w:szCs w:val="21"/>
              </w:rPr>
            </w:pPr>
            <w:r>
              <w:rPr>
                <w:rFonts w:hint="eastAsia" w:ascii="宋体" w:hAnsi="宋体" w:cs="宋体"/>
                <w:sz w:val="21"/>
                <w:szCs w:val="21"/>
              </w:rPr>
              <w:t>产品合格率（%）</w:t>
            </w:r>
          </w:p>
        </w:tc>
        <w:tc>
          <w:tcPr>
            <w:tcW w:w="596" w:type="pct"/>
            <w:shd w:val="clear" w:color="auto" w:fill="auto"/>
            <w:vAlign w:val="center"/>
          </w:tcPr>
          <w:p w14:paraId="0518E0A5">
            <w:pPr>
              <w:jc w:val="center"/>
              <w:rPr>
                <w:rFonts w:ascii="宋体" w:hAnsi="宋体" w:eastAsia="宋体" w:cs="宋体"/>
                <w:sz w:val="21"/>
                <w:szCs w:val="21"/>
                <w:lang w:val="en-US" w:eastAsia="zh-CN" w:bidi="ar-SA"/>
              </w:rPr>
            </w:pPr>
            <w:r>
              <w:rPr>
                <w:rFonts w:hint="eastAsia" w:ascii="宋体" w:hAnsi="宋体" w:cs="宋体"/>
                <w:sz w:val="21"/>
                <w:szCs w:val="21"/>
                <w:lang w:val="en-US" w:eastAsia="zh-CN" w:bidi="ar-SA"/>
              </w:rPr>
              <w:t>98</w:t>
            </w:r>
          </w:p>
        </w:tc>
        <w:tc>
          <w:tcPr>
            <w:tcW w:w="596" w:type="pct"/>
            <w:shd w:val="clear" w:color="auto" w:fill="auto"/>
            <w:vAlign w:val="center"/>
          </w:tcPr>
          <w:p w14:paraId="266EBEF5">
            <w:pPr>
              <w:jc w:val="center"/>
              <w:rPr>
                <w:rFonts w:ascii="宋体" w:hAnsi="宋体" w:eastAsia="宋体" w:cs="宋体"/>
                <w:sz w:val="21"/>
                <w:szCs w:val="21"/>
                <w:lang w:val="en-US" w:eastAsia="zh-CN" w:bidi="ar-SA"/>
              </w:rPr>
            </w:pPr>
            <w:r>
              <w:rPr>
                <w:rFonts w:hint="eastAsia" w:ascii="宋体" w:hAnsi="宋体" w:cs="宋体"/>
                <w:sz w:val="21"/>
                <w:szCs w:val="21"/>
              </w:rPr>
              <w:t>9</w:t>
            </w:r>
            <w:r>
              <w:rPr>
                <w:rFonts w:hint="eastAsia" w:ascii="宋体" w:hAnsi="宋体" w:cs="宋体"/>
                <w:sz w:val="21"/>
                <w:szCs w:val="21"/>
                <w:lang w:val="en-US" w:eastAsia="zh-CN"/>
              </w:rPr>
              <w:t>8.5</w:t>
            </w:r>
          </w:p>
        </w:tc>
        <w:tc>
          <w:tcPr>
            <w:tcW w:w="596" w:type="pct"/>
            <w:shd w:val="clear" w:color="auto" w:fill="auto"/>
            <w:vAlign w:val="center"/>
          </w:tcPr>
          <w:p w14:paraId="01A08C82">
            <w:pPr>
              <w:jc w:val="center"/>
              <w:rPr>
                <w:rFonts w:hint="default" w:ascii="宋体" w:hAnsi="宋体" w:eastAsia="宋体" w:cs="宋体"/>
                <w:sz w:val="21"/>
                <w:szCs w:val="21"/>
                <w:lang w:val="en-US" w:eastAsia="zh-CN" w:bidi="ar-SA"/>
              </w:rPr>
            </w:pPr>
            <w:r>
              <w:rPr>
                <w:rFonts w:hint="eastAsia" w:ascii="宋体" w:hAnsi="宋体" w:cs="宋体"/>
                <w:sz w:val="21"/>
                <w:szCs w:val="21"/>
              </w:rPr>
              <w:t>99</w:t>
            </w:r>
          </w:p>
        </w:tc>
        <w:tc>
          <w:tcPr>
            <w:tcW w:w="596" w:type="pct"/>
            <w:tcBorders>
              <w:right w:val="single" w:color="auto" w:sz="12" w:space="0"/>
            </w:tcBorders>
            <w:shd w:val="clear" w:color="auto" w:fill="auto"/>
            <w:vAlign w:val="center"/>
          </w:tcPr>
          <w:p w14:paraId="073AFFFE">
            <w:pPr>
              <w:jc w:val="center"/>
              <w:rPr>
                <w:rFonts w:hint="default" w:ascii="宋体" w:hAnsi="宋体" w:eastAsia="宋体" w:cs="宋体"/>
                <w:sz w:val="21"/>
                <w:szCs w:val="21"/>
                <w:lang w:val="en-US" w:eastAsia="zh-CN" w:bidi="ar-SA"/>
              </w:rPr>
            </w:pPr>
            <w:r>
              <w:rPr>
                <w:rFonts w:hint="eastAsia" w:ascii="宋体" w:hAnsi="宋体" w:cs="宋体"/>
                <w:sz w:val="21"/>
                <w:szCs w:val="21"/>
                <w:lang w:val="en-US" w:eastAsia="zh-CN"/>
              </w:rPr>
              <w:t>99</w:t>
            </w:r>
          </w:p>
        </w:tc>
        <w:tc>
          <w:tcPr>
            <w:tcW w:w="596" w:type="pct"/>
            <w:tcBorders>
              <w:right w:val="single" w:color="auto" w:sz="12" w:space="0"/>
            </w:tcBorders>
            <w:shd w:val="clear" w:color="auto" w:fill="auto"/>
            <w:vAlign w:val="center"/>
          </w:tcPr>
          <w:p w14:paraId="7D7B5F8E">
            <w:pPr>
              <w:jc w:val="center"/>
              <w:rPr>
                <w:rFonts w:ascii="宋体" w:hAnsi="宋体" w:eastAsia="宋体" w:cs="宋体"/>
                <w:sz w:val="21"/>
                <w:szCs w:val="21"/>
                <w:lang w:val="en-US" w:eastAsia="zh-CN" w:bidi="ar-SA"/>
              </w:rPr>
            </w:pPr>
            <w:r>
              <w:rPr>
                <w:rFonts w:hint="eastAsia" w:ascii="宋体" w:hAnsi="宋体" w:cs="宋体"/>
                <w:sz w:val="21"/>
                <w:szCs w:val="21"/>
              </w:rPr>
              <w:t>99</w:t>
            </w:r>
          </w:p>
        </w:tc>
        <w:tc>
          <w:tcPr>
            <w:tcW w:w="601" w:type="pct"/>
            <w:tcBorders>
              <w:right w:val="single" w:color="auto" w:sz="12" w:space="0"/>
            </w:tcBorders>
            <w:vAlign w:val="center"/>
          </w:tcPr>
          <w:p w14:paraId="010DBD58">
            <w:pPr>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99</w:t>
            </w:r>
          </w:p>
        </w:tc>
      </w:tr>
      <w:tr w14:paraId="025B78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379" w:type="pct"/>
            <w:vMerge w:val="restart"/>
            <w:vAlign w:val="center"/>
          </w:tcPr>
          <w:p w14:paraId="44B8180A">
            <w:pPr>
              <w:jc w:val="center"/>
              <w:rPr>
                <w:rFonts w:ascii="宋体" w:hAnsi="宋体" w:cs="宋体"/>
                <w:sz w:val="21"/>
                <w:szCs w:val="21"/>
              </w:rPr>
            </w:pPr>
            <w:r>
              <w:rPr>
                <w:rFonts w:hint="eastAsia" w:ascii="宋体" w:hAnsi="宋体" w:cs="宋体"/>
                <w:sz w:val="21"/>
                <w:szCs w:val="21"/>
              </w:rPr>
              <w:t>以人</w:t>
            </w:r>
          </w:p>
          <w:p w14:paraId="657F0598">
            <w:pPr>
              <w:jc w:val="center"/>
              <w:rPr>
                <w:rFonts w:ascii="宋体" w:hAnsi="宋体" w:cs="宋体"/>
                <w:sz w:val="21"/>
                <w:szCs w:val="21"/>
              </w:rPr>
            </w:pPr>
            <w:r>
              <w:rPr>
                <w:rFonts w:hint="eastAsia" w:ascii="宋体" w:hAnsi="宋体" w:cs="宋体"/>
                <w:sz w:val="21"/>
                <w:szCs w:val="21"/>
              </w:rPr>
              <w:t>为本</w:t>
            </w:r>
          </w:p>
        </w:tc>
        <w:tc>
          <w:tcPr>
            <w:tcW w:w="276" w:type="pct"/>
            <w:vAlign w:val="center"/>
          </w:tcPr>
          <w:p w14:paraId="5506852A">
            <w:pPr>
              <w:jc w:val="center"/>
              <w:rPr>
                <w:rFonts w:ascii="宋体" w:hAnsi="宋体" w:cs="宋体"/>
                <w:sz w:val="21"/>
                <w:szCs w:val="21"/>
              </w:rPr>
            </w:pPr>
            <w:r>
              <w:rPr>
                <w:rFonts w:hint="eastAsia" w:ascii="宋体" w:hAnsi="宋体" w:cs="宋体"/>
                <w:sz w:val="21"/>
                <w:szCs w:val="21"/>
              </w:rPr>
              <w:t>8</w:t>
            </w:r>
          </w:p>
        </w:tc>
        <w:tc>
          <w:tcPr>
            <w:tcW w:w="762" w:type="pct"/>
            <w:vAlign w:val="center"/>
          </w:tcPr>
          <w:p w14:paraId="762F7A24">
            <w:pPr>
              <w:jc w:val="center"/>
              <w:rPr>
                <w:rFonts w:ascii="宋体" w:hAnsi="宋体" w:cs="宋体"/>
                <w:sz w:val="21"/>
                <w:szCs w:val="21"/>
              </w:rPr>
            </w:pPr>
            <w:r>
              <w:rPr>
                <w:rFonts w:hint="eastAsia" w:ascii="宋体" w:hAnsi="宋体" w:cs="宋体"/>
                <w:sz w:val="21"/>
                <w:szCs w:val="21"/>
              </w:rPr>
              <w:t>员工满意度（%）</w:t>
            </w:r>
          </w:p>
        </w:tc>
        <w:tc>
          <w:tcPr>
            <w:tcW w:w="596" w:type="pct"/>
            <w:shd w:val="clear" w:color="auto" w:fill="auto"/>
            <w:vAlign w:val="center"/>
          </w:tcPr>
          <w:p w14:paraId="166DA7C6">
            <w:pPr>
              <w:jc w:val="center"/>
              <w:rPr>
                <w:rFonts w:hint="default" w:ascii="宋体" w:hAnsi="宋体" w:eastAsia="宋体" w:cs="宋体"/>
                <w:sz w:val="21"/>
                <w:szCs w:val="21"/>
                <w:lang w:val="en-US" w:eastAsia="zh-CN" w:bidi="ar-SA"/>
              </w:rPr>
            </w:pPr>
            <w:r>
              <w:rPr>
                <w:rFonts w:hint="eastAsia" w:ascii="宋体" w:hAnsi="宋体" w:cs="宋体"/>
                <w:sz w:val="21"/>
                <w:szCs w:val="21"/>
                <w:lang w:val="en-US" w:eastAsia="zh-CN" w:bidi="ar-SA"/>
              </w:rPr>
              <w:t>100</w:t>
            </w:r>
          </w:p>
        </w:tc>
        <w:tc>
          <w:tcPr>
            <w:tcW w:w="596" w:type="pct"/>
            <w:shd w:val="clear" w:color="auto" w:fill="auto"/>
            <w:vAlign w:val="center"/>
          </w:tcPr>
          <w:p w14:paraId="07CA119A">
            <w:pPr>
              <w:jc w:val="center"/>
              <w:rPr>
                <w:rFonts w:hint="default" w:ascii="宋体" w:hAnsi="宋体" w:eastAsia="宋体" w:cs="宋体"/>
                <w:sz w:val="21"/>
                <w:szCs w:val="21"/>
                <w:lang w:val="en-US" w:eastAsia="zh-CN" w:bidi="ar-SA"/>
              </w:rPr>
            </w:pPr>
            <w:r>
              <w:rPr>
                <w:rFonts w:hint="eastAsia" w:ascii="宋体" w:hAnsi="宋体" w:cs="宋体"/>
                <w:sz w:val="21"/>
                <w:szCs w:val="21"/>
                <w:lang w:val="en-US" w:eastAsia="zh-CN" w:bidi="ar-SA"/>
              </w:rPr>
              <w:t>99</w:t>
            </w:r>
          </w:p>
        </w:tc>
        <w:tc>
          <w:tcPr>
            <w:tcW w:w="596" w:type="pct"/>
            <w:shd w:val="clear" w:color="auto" w:fill="auto"/>
            <w:vAlign w:val="center"/>
          </w:tcPr>
          <w:p w14:paraId="6E11FD09">
            <w:pPr>
              <w:jc w:val="center"/>
              <w:rPr>
                <w:rFonts w:hint="default" w:ascii="宋体" w:hAnsi="宋体" w:eastAsia="宋体" w:cs="宋体"/>
                <w:sz w:val="21"/>
                <w:szCs w:val="21"/>
                <w:lang w:val="en-US" w:eastAsia="zh-CN" w:bidi="ar-SA"/>
              </w:rPr>
            </w:pPr>
            <w:r>
              <w:rPr>
                <w:rFonts w:hint="eastAsia" w:ascii="宋体" w:hAnsi="宋体" w:cs="宋体"/>
                <w:sz w:val="21"/>
                <w:szCs w:val="21"/>
                <w:lang w:val="en-US" w:eastAsia="zh-CN" w:bidi="ar-SA"/>
              </w:rPr>
              <w:t>99</w:t>
            </w:r>
          </w:p>
        </w:tc>
        <w:tc>
          <w:tcPr>
            <w:tcW w:w="596" w:type="pct"/>
            <w:tcBorders>
              <w:right w:val="single" w:color="auto" w:sz="12" w:space="0"/>
            </w:tcBorders>
            <w:shd w:val="clear" w:color="auto" w:fill="auto"/>
            <w:vAlign w:val="center"/>
          </w:tcPr>
          <w:p w14:paraId="43253609">
            <w:pPr>
              <w:jc w:val="center"/>
              <w:rPr>
                <w:rFonts w:hint="default" w:ascii="宋体" w:hAnsi="宋体" w:eastAsia="宋体" w:cs="宋体"/>
                <w:sz w:val="21"/>
                <w:szCs w:val="21"/>
                <w:lang w:val="en-US" w:eastAsia="zh-CN" w:bidi="ar-SA"/>
              </w:rPr>
            </w:pPr>
            <w:r>
              <w:rPr>
                <w:rFonts w:hint="eastAsia" w:ascii="宋体" w:hAnsi="宋体" w:cs="宋体"/>
                <w:sz w:val="21"/>
                <w:szCs w:val="21"/>
                <w:lang w:val="en-US" w:eastAsia="zh-CN"/>
              </w:rPr>
              <w:t>99</w:t>
            </w:r>
          </w:p>
        </w:tc>
        <w:tc>
          <w:tcPr>
            <w:tcW w:w="596" w:type="pct"/>
            <w:tcBorders>
              <w:right w:val="single" w:color="auto" w:sz="12" w:space="0"/>
            </w:tcBorders>
            <w:shd w:val="clear" w:color="auto" w:fill="auto"/>
            <w:vAlign w:val="center"/>
          </w:tcPr>
          <w:p w14:paraId="0596C32D">
            <w:pPr>
              <w:jc w:val="center"/>
              <w:rPr>
                <w:rFonts w:hint="default" w:ascii="宋体" w:hAnsi="宋体" w:eastAsia="宋体" w:cs="宋体"/>
                <w:sz w:val="21"/>
                <w:szCs w:val="21"/>
                <w:lang w:val="en-US" w:eastAsia="zh-CN" w:bidi="ar-SA"/>
              </w:rPr>
            </w:pPr>
            <w:r>
              <w:rPr>
                <w:rFonts w:hint="eastAsia" w:ascii="宋体" w:hAnsi="宋体" w:cs="宋体"/>
                <w:sz w:val="21"/>
                <w:szCs w:val="21"/>
                <w:lang w:val="en-US" w:eastAsia="zh-CN" w:bidi="ar-SA"/>
              </w:rPr>
              <w:t>99</w:t>
            </w:r>
          </w:p>
        </w:tc>
        <w:tc>
          <w:tcPr>
            <w:tcW w:w="601" w:type="pct"/>
            <w:tcBorders>
              <w:right w:val="single" w:color="auto" w:sz="12" w:space="0"/>
            </w:tcBorders>
            <w:vAlign w:val="center"/>
          </w:tcPr>
          <w:p w14:paraId="03CA48E7">
            <w:pPr>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99</w:t>
            </w:r>
          </w:p>
        </w:tc>
      </w:tr>
      <w:tr w14:paraId="29348B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379" w:type="pct"/>
            <w:vMerge w:val="continue"/>
            <w:vAlign w:val="center"/>
          </w:tcPr>
          <w:p w14:paraId="0A1EEB70">
            <w:pPr>
              <w:jc w:val="center"/>
              <w:rPr>
                <w:rFonts w:ascii="宋体" w:hAnsi="宋体" w:cs="宋体"/>
                <w:sz w:val="21"/>
                <w:szCs w:val="21"/>
              </w:rPr>
            </w:pPr>
          </w:p>
        </w:tc>
        <w:tc>
          <w:tcPr>
            <w:tcW w:w="276" w:type="pct"/>
            <w:vAlign w:val="center"/>
          </w:tcPr>
          <w:p w14:paraId="5F3ACFED">
            <w:pPr>
              <w:jc w:val="center"/>
              <w:rPr>
                <w:rFonts w:ascii="宋体" w:hAnsi="宋体" w:cs="宋体"/>
                <w:sz w:val="21"/>
                <w:szCs w:val="21"/>
              </w:rPr>
            </w:pPr>
            <w:r>
              <w:rPr>
                <w:rFonts w:hint="eastAsia" w:ascii="宋体" w:hAnsi="宋体" w:cs="宋体"/>
                <w:sz w:val="21"/>
                <w:szCs w:val="21"/>
              </w:rPr>
              <w:t>9</w:t>
            </w:r>
          </w:p>
        </w:tc>
        <w:tc>
          <w:tcPr>
            <w:tcW w:w="762" w:type="pct"/>
            <w:vAlign w:val="center"/>
          </w:tcPr>
          <w:p w14:paraId="6E479652">
            <w:pPr>
              <w:jc w:val="center"/>
              <w:rPr>
                <w:rFonts w:ascii="宋体" w:hAnsi="宋体" w:cs="宋体"/>
                <w:sz w:val="21"/>
                <w:szCs w:val="21"/>
              </w:rPr>
            </w:pPr>
            <w:r>
              <w:rPr>
                <w:rFonts w:hint="eastAsia" w:ascii="宋体" w:hAnsi="宋体" w:cs="宋体"/>
                <w:sz w:val="21"/>
                <w:szCs w:val="21"/>
              </w:rPr>
              <w:t>关键员工流失个数（个）</w:t>
            </w:r>
          </w:p>
        </w:tc>
        <w:tc>
          <w:tcPr>
            <w:tcW w:w="596" w:type="pct"/>
            <w:shd w:val="clear" w:color="auto" w:fill="auto"/>
            <w:vAlign w:val="center"/>
          </w:tcPr>
          <w:p w14:paraId="4B5EB389">
            <w:pPr>
              <w:jc w:val="center"/>
              <w:rPr>
                <w:rFonts w:ascii="宋体" w:hAnsi="宋体" w:eastAsia="宋体" w:cs="宋体"/>
                <w:sz w:val="21"/>
                <w:szCs w:val="21"/>
                <w:lang w:val="en-US" w:eastAsia="zh-CN" w:bidi="ar-SA"/>
              </w:rPr>
            </w:pPr>
            <w:r>
              <w:rPr>
                <w:rFonts w:hint="eastAsia" w:ascii="宋体" w:hAnsi="宋体" w:cs="宋体"/>
                <w:sz w:val="21"/>
                <w:szCs w:val="21"/>
              </w:rPr>
              <w:t>≤1</w:t>
            </w:r>
          </w:p>
        </w:tc>
        <w:tc>
          <w:tcPr>
            <w:tcW w:w="596" w:type="pct"/>
            <w:shd w:val="clear" w:color="auto" w:fill="auto"/>
            <w:vAlign w:val="center"/>
          </w:tcPr>
          <w:p w14:paraId="0B1A7068">
            <w:pPr>
              <w:jc w:val="center"/>
              <w:rPr>
                <w:rFonts w:ascii="宋体" w:hAnsi="宋体" w:eastAsia="宋体" w:cs="宋体"/>
                <w:sz w:val="21"/>
                <w:szCs w:val="21"/>
                <w:lang w:val="en-US" w:eastAsia="zh-CN" w:bidi="ar-SA"/>
              </w:rPr>
            </w:pPr>
            <w:r>
              <w:rPr>
                <w:rFonts w:hint="eastAsia" w:ascii="宋体" w:hAnsi="宋体" w:cs="宋体"/>
                <w:sz w:val="21"/>
                <w:szCs w:val="21"/>
              </w:rPr>
              <w:t>≤1</w:t>
            </w:r>
          </w:p>
        </w:tc>
        <w:tc>
          <w:tcPr>
            <w:tcW w:w="596" w:type="pct"/>
            <w:shd w:val="clear" w:color="auto" w:fill="auto"/>
            <w:vAlign w:val="center"/>
          </w:tcPr>
          <w:p w14:paraId="1056ECE6">
            <w:pPr>
              <w:jc w:val="center"/>
              <w:rPr>
                <w:rFonts w:ascii="宋体" w:hAnsi="宋体" w:eastAsia="宋体" w:cs="宋体"/>
                <w:sz w:val="21"/>
                <w:szCs w:val="21"/>
                <w:lang w:val="en-US" w:eastAsia="zh-CN" w:bidi="ar-SA"/>
              </w:rPr>
            </w:pPr>
            <w:r>
              <w:rPr>
                <w:rFonts w:hint="eastAsia" w:ascii="宋体" w:hAnsi="宋体" w:cs="宋体"/>
                <w:sz w:val="21"/>
                <w:szCs w:val="21"/>
              </w:rPr>
              <w:t>≤1</w:t>
            </w:r>
          </w:p>
        </w:tc>
        <w:tc>
          <w:tcPr>
            <w:tcW w:w="596" w:type="pct"/>
            <w:tcBorders>
              <w:right w:val="single" w:color="auto" w:sz="12" w:space="0"/>
            </w:tcBorders>
            <w:shd w:val="clear" w:color="auto" w:fill="auto"/>
            <w:vAlign w:val="center"/>
          </w:tcPr>
          <w:p w14:paraId="71CADFFC">
            <w:pPr>
              <w:jc w:val="center"/>
              <w:rPr>
                <w:rFonts w:ascii="宋体" w:hAnsi="宋体" w:eastAsia="宋体" w:cs="宋体"/>
                <w:sz w:val="21"/>
                <w:szCs w:val="21"/>
                <w:lang w:val="en-US" w:eastAsia="zh-CN" w:bidi="ar-SA"/>
              </w:rPr>
            </w:pPr>
            <w:r>
              <w:rPr>
                <w:rFonts w:hint="eastAsia" w:ascii="宋体" w:hAnsi="宋体" w:cs="宋体"/>
                <w:sz w:val="21"/>
                <w:szCs w:val="21"/>
              </w:rPr>
              <w:t>≤1</w:t>
            </w:r>
          </w:p>
        </w:tc>
        <w:tc>
          <w:tcPr>
            <w:tcW w:w="596" w:type="pct"/>
            <w:tcBorders>
              <w:right w:val="single" w:color="auto" w:sz="12" w:space="0"/>
            </w:tcBorders>
            <w:shd w:val="clear" w:color="auto" w:fill="auto"/>
            <w:vAlign w:val="center"/>
          </w:tcPr>
          <w:p w14:paraId="0EFFBBBD">
            <w:pPr>
              <w:jc w:val="center"/>
              <w:rPr>
                <w:rFonts w:ascii="宋体" w:hAnsi="宋体" w:eastAsia="宋体" w:cs="宋体"/>
                <w:sz w:val="21"/>
                <w:szCs w:val="21"/>
                <w:lang w:val="en-US" w:eastAsia="zh-CN" w:bidi="ar-SA"/>
              </w:rPr>
            </w:pPr>
            <w:r>
              <w:rPr>
                <w:rFonts w:hint="eastAsia" w:ascii="宋体" w:hAnsi="宋体" w:cs="宋体"/>
                <w:sz w:val="21"/>
                <w:szCs w:val="21"/>
              </w:rPr>
              <w:t>≤1</w:t>
            </w:r>
          </w:p>
        </w:tc>
        <w:tc>
          <w:tcPr>
            <w:tcW w:w="601" w:type="pct"/>
            <w:tcBorders>
              <w:right w:val="single" w:color="auto" w:sz="12" w:space="0"/>
            </w:tcBorders>
            <w:shd w:val="clear" w:color="auto" w:fill="auto"/>
            <w:vAlign w:val="center"/>
          </w:tcPr>
          <w:p w14:paraId="03D1F870">
            <w:pPr>
              <w:jc w:val="center"/>
              <w:rPr>
                <w:rFonts w:ascii="宋体" w:hAnsi="宋体" w:eastAsia="宋体" w:cs="宋体"/>
                <w:sz w:val="21"/>
                <w:szCs w:val="21"/>
                <w:lang w:val="en-US" w:eastAsia="zh-CN" w:bidi="ar-SA"/>
              </w:rPr>
            </w:pPr>
            <w:r>
              <w:rPr>
                <w:rFonts w:hint="eastAsia" w:ascii="宋体" w:hAnsi="宋体" w:cs="宋体"/>
                <w:sz w:val="21"/>
                <w:szCs w:val="21"/>
              </w:rPr>
              <w:t>≤1</w:t>
            </w:r>
          </w:p>
        </w:tc>
      </w:tr>
      <w:tr w14:paraId="553796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379" w:type="pct"/>
            <w:vMerge w:val="restart"/>
            <w:vAlign w:val="center"/>
          </w:tcPr>
          <w:p w14:paraId="5FE00F8B">
            <w:pPr>
              <w:jc w:val="center"/>
              <w:rPr>
                <w:rFonts w:ascii="宋体" w:hAnsi="宋体" w:cs="宋体"/>
                <w:sz w:val="21"/>
                <w:szCs w:val="21"/>
              </w:rPr>
            </w:pPr>
            <w:r>
              <w:rPr>
                <w:rFonts w:hint="eastAsia" w:ascii="宋体" w:hAnsi="宋体" w:cs="宋体"/>
                <w:sz w:val="21"/>
                <w:szCs w:val="21"/>
              </w:rPr>
              <w:t>社会</w:t>
            </w:r>
          </w:p>
          <w:p w14:paraId="31C12635">
            <w:pPr>
              <w:jc w:val="center"/>
              <w:rPr>
                <w:rFonts w:ascii="宋体" w:hAnsi="宋体" w:cs="宋体"/>
                <w:sz w:val="21"/>
                <w:szCs w:val="21"/>
              </w:rPr>
            </w:pPr>
            <w:r>
              <w:rPr>
                <w:rFonts w:hint="eastAsia" w:ascii="宋体" w:hAnsi="宋体" w:cs="宋体"/>
                <w:sz w:val="21"/>
                <w:szCs w:val="21"/>
              </w:rPr>
              <w:t>责任</w:t>
            </w:r>
          </w:p>
        </w:tc>
        <w:tc>
          <w:tcPr>
            <w:tcW w:w="276" w:type="pct"/>
            <w:vAlign w:val="center"/>
          </w:tcPr>
          <w:p w14:paraId="59E38982">
            <w:pPr>
              <w:jc w:val="center"/>
              <w:rPr>
                <w:rFonts w:ascii="宋体" w:hAnsi="宋体" w:cs="宋体"/>
                <w:sz w:val="21"/>
                <w:szCs w:val="21"/>
              </w:rPr>
            </w:pPr>
            <w:r>
              <w:rPr>
                <w:rFonts w:hint="eastAsia" w:ascii="宋体" w:hAnsi="宋体" w:cs="宋体"/>
                <w:sz w:val="21"/>
                <w:szCs w:val="21"/>
              </w:rPr>
              <w:t>10</w:t>
            </w:r>
          </w:p>
        </w:tc>
        <w:tc>
          <w:tcPr>
            <w:tcW w:w="762" w:type="pct"/>
            <w:vAlign w:val="center"/>
          </w:tcPr>
          <w:p w14:paraId="091F1A4B">
            <w:pPr>
              <w:jc w:val="center"/>
              <w:rPr>
                <w:rFonts w:ascii="宋体" w:hAnsi="宋体" w:cs="宋体"/>
                <w:sz w:val="21"/>
                <w:szCs w:val="21"/>
              </w:rPr>
            </w:pPr>
            <w:r>
              <w:rPr>
                <w:rFonts w:hint="eastAsia" w:ascii="宋体" w:hAnsi="宋体" w:cs="宋体"/>
                <w:sz w:val="21"/>
                <w:szCs w:val="21"/>
              </w:rPr>
              <w:t>工伤率（%）</w:t>
            </w:r>
          </w:p>
        </w:tc>
        <w:tc>
          <w:tcPr>
            <w:tcW w:w="596" w:type="pct"/>
            <w:shd w:val="clear" w:color="auto" w:fill="auto"/>
            <w:vAlign w:val="center"/>
          </w:tcPr>
          <w:p w14:paraId="09406F77">
            <w:pPr>
              <w:jc w:val="center"/>
              <w:rPr>
                <w:rFonts w:hint="eastAsia" w:ascii="宋体" w:hAnsi="宋体" w:eastAsia="宋体" w:cs="宋体"/>
                <w:sz w:val="21"/>
                <w:szCs w:val="21"/>
                <w:lang w:val="en-US" w:eastAsia="zh-CN" w:bidi="ar-SA"/>
              </w:rPr>
            </w:pPr>
            <w:r>
              <w:rPr>
                <w:rFonts w:hint="eastAsia" w:ascii="宋体" w:hAnsi="宋体" w:cs="宋体"/>
                <w:sz w:val="21"/>
                <w:szCs w:val="21"/>
              </w:rPr>
              <w:t>≤1</w:t>
            </w:r>
          </w:p>
        </w:tc>
        <w:tc>
          <w:tcPr>
            <w:tcW w:w="596" w:type="pct"/>
            <w:shd w:val="clear" w:color="auto" w:fill="auto"/>
            <w:vAlign w:val="center"/>
          </w:tcPr>
          <w:p w14:paraId="0800CEE6">
            <w:pPr>
              <w:jc w:val="center"/>
              <w:rPr>
                <w:rFonts w:ascii="宋体" w:hAnsi="宋体" w:eastAsia="宋体" w:cs="宋体"/>
                <w:sz w:val="21"/>
                <w:szCs w:val="21"/>
                <w:lang w:val="en-US" w:eastAsia="zh-CN" w:bidi="ar-SA"/>
              </w:rPr>
            </w:pPr>
            <w:r>
              <w:rPr>
                <w:rFonts w:hint="eastAsia" w:ascii="宋体" w:hAnsi="宋体" w:cs="宋体"/>
                <w:sz w:val="21"/>
                <w:szCs w:val="21"/>
              </w:rPr>
              <w:t>≤1</w:t>
            </w:r>
          </w:p>
        </w:tc>
        <w:tc>
          <w:tcPr>
            <w:tcW w:w="596" w:type="pct"/>
            <w:shd w:val="clear" w:color="auto" w:fill="auto"/>
            <w:vAlign w:val="center"/>
          </w:tcPr>
          <w:p w14:paraId="220DF68B">
            <w:pPr>
              <w:jc w:val="center"/>
              <w:rPr>
                <w:rFonts w:ascii="宋体" w:hAnsi="宋体" w:eastAsia="宋体" w:cs="宋体"/>
                <w:sz w:val="21"/>
                <w:szCs w:val="21"/>
                <w:lang w:val="en-US" w:eastAsia="zh-CN" w:bidi="ar-SA"/>
              </w:rPr>
            </w:pPr>
            <w:r>
              <w:rPr>
                <w:rFonts w:hint="eastAsia" w:ascii="宋体" w:hAnsi="宋体" w:cs="宋体"/>
                <w:sz w:val="21"/>
                <w:szCs w:val="21"/>
              </w:rPr>
              <w:t>≤1</w:t>
            </w:r>
          </w:p>
        </w:tc>
        <w:tc>
          <w:tcPr>
            <w:tcW w:w="596" w:type="pct"/>
            <w:tcBorders>
              <w:right w:val="single" w:color="auto" w:sz="12" w:space="0"/>
            </w:tcBorders>
            <w:shd w:val="clear" w:color="auto" w:fill="auto"/>
            <w:vAlign w:val="center"/>
          </w:tcPr>
          <w:p w14:paraId="0CB7F3B0">
            <w:pPr>
              <w:jc w:val="center"/>
              <w:rPr>
                <w:rFonts w:ascii="宋体" w:hAnsi="宋体" w:eastAsia="宋体" w:cs="宋体"/>
                <w:sz w:val="21"/>
                <w:szCs w:val="21"/>
                <w:lang w:val="en-US" w:eastAsia="zh-CN" w:bidi="ar-SA"/>
              </w:rPr>
            </w:pPr>
            <w:r>
              <w:rPr>
                <w:rFonts w:hint="eastAsia" w:ascii="宋体" w:hAnsi="宋体" w:cs="宋体"/>
                <w:sz w:val="21"/>
                <w:szCs w:val="21"/>
              </w:rPr>
              <w:t>≤1</w:t>
            </w:r>
          </w:p>
        </w:tc>
        <w:tc>
          <w:tcPr>
            <w:tcW w:w="596" w:type="pct"/>
            <w:tcBorders>
              <w:right w:val="single" w:color="auto" w:sz="12" w:space="0"/>
            </w:tcBorders>
            <w:shd w:val="clear" w:color="auto" w:fill="auto"/>
            <w:vAlign w:val="center"/>
          </w:tcPr>
          <w:p w14:paraId="080C5B77">
            <w:pPr>
              <w:jc w:val="center"/>
              <w:rPr>
                <w:rFonts w:ascii="宋体" w:hAnsi="宋体" w:eastAsia="宋体" w:cs="宋体"/>
                <w:sz w:val="21"/>
                <w:szCs w:val="21"/>
                <w:lang w:val="en-US" w:eastAsia="zh-CN" w:bidi="ar-SA"/>
              </w:rPr>
            </w:pPr>
            <w:r>
              <w:rPr>
                <w:rFonts w:hint="eastAsia" w:ascii="宋体" w:hAnsi="宋体" w:cs="宋体"/>
                <w:sz w:val="21"/>
                <w:szCs w:val="21"/>
              </w:rPr>
              <w:t>≤1</w:t>
            </w:r>
          </w:p>
        </w:tc>
        <w:tc>
          <w:tcPr>
            <w:tcW w:w="601" w:type="pct"/>
            <w:tcBorders>
              <w:right w:val="single" w:color="auto" w:sz="12" w:space="0"/>
            </w:tcBorders>
            <w:shd w:val="clear" w:color="auto" w:fill="auto"/>
            <w:vAlign w:val="center"/>
          </w:tcPr>
          <w:p w14:paraId="5D1DA45E">
            <w:pPr>
              <w:jc w:val="center"/>
              <w:rPr>
                <w:rFonts w:ascii="宋体" w:hAnsi="宋体" w:eastAsia="宋体" w:cs="宋体"/>
                <w:sz w:val="21"/>
                <w:szCs w:val="21"/>
                <w:lang w:val="en-US" w:eastAsia="zh-CN" w:bidi="ar-SA"/>
              </w:rPr>
            </w:pPr>
            <w:r>
              <w:rPr>
                <w:rFonts w:hint="eastAsia" w:ascii="宋体" w:hAnsi="宋体" w:cs="宋体"/>
                <w:sz w:val="21"/>
                <w:szCs w:val="21"/>
              </w:rPr>
              <w:t>≤1</w:t>
            </w:r>
          </w:p>
        </w:tc>
      </w:tr>
      <w:tr w14:paraId="35A7CE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379" w:type="pct"/>
            <w:vMerge w:val="continue"/>
            <w:vAlign w:val="center"/>
          </w:tcPr>
          <w:p w14:paraId="50983282">
            <w:pPr>
              <w:jc w:val="center"/>
              <w:rPr>
                <w:rFonts w:ascii="宋体" w:hAnsi="宋体" w:cs="宋体"/>
                <w:sz w:val="21"/>
                <w:szCs w:val="21"/>
              </w:rPr>
            </w:pPr>
          </w:p>
        </w:tc>
        <w:tc>
          <w:tcPr>
            <w:tcW w:w="276" w:type="pct"/>
            <w:vAlign w:val="center"/>
          </w:tcPr>
          <w:p w14:paraId="79D68C66">
            <w:pPr>
              <w:jc w:val="center"/>
              <w:rPr>
                <w:rFonts w:ascii="宋体" w:hAnsi="宋体" w:cs="宋体"/>
                <w:sz w:val="21"/>
                <w:szCs w:val="21"/>
              </w:rPr>
            </w:pPr>
            <w:r>
              <w:rPr>
                <w:rFonts w:hint="eastAsia" w:ascii="宋体" w:hAnsi="宋体" w:cs="宋体"/>
                <w:sz w:val="21"/>
                <w:szCs w:val="21"/>
              </w:rPr>
              <w:t>11</w:t>
            </w:r>
          </w:p>
        </w:tc>
        <w:tc>
          <w:tcPr>
            <w:tcW w:w="762" w:type="pct"/>
            <w:vAlign w:val="center"/>
          </w:tcPr>
          <w:p w14:paraId="36D529D4">
            <w:pPr>
              <w:jc w:val="center"/>
              <w:rPr>
                <w:rFonts w:ascii="宋体" w:hAnsi="宋体" w:cs="宋体"/>
                <w:sz w:val="21"/>
                <w:szCs w:val="21"/>
              </w:rPr>
            </w:pPr>
            <w:r>
              <w:rPr>
                <w:rFonts w:hint="eastAsia" w:ascii="宋体" w:hAnsi="宋体" w:cs="宋体"/>
                <w:sz w:val="21"/>
                <w:szCs w:val="21"/>
              </w:rPr>
              <w:t>纳税总额（万元）</w:t>
            </w:r>
          </w:p>
        </w:tc>
        <w:tc>
          <w:tcPr>
            <w:tcW w:w="596" w:type="pct"/>
            <w:shd w:val="clear" w:color="auto" w:fill="auto"/>
            <w:vAlign w:val="center"/>
          </w:tcPr>
          <w:p w14:paraId="2AB27EC3">
            <w:pPr>
              <w:jc w:val="center"/>
              <w:rPr>
                <w:rFonts w:hint="default" w:ascii="宋体" w:hAnsi="宋体" w:eastAsia="宋体" w:cs="宋体"/>
                <w:sz w:val="21"/>
                <w:szCs w:val="21"/>
                <w:lang w:val="en-US" w:eastAsia="zh-CN" w:bidi="ar-SA"/>
              </w:rPr>
            </w:pPr>
            <w:r>
              <w:rPr>
                <w:rFonts w:hint="eastAsia" w:ascii="宋体" w:hAnsi="宋体" w:cs="宋体"/>
                <w:sz w:val="21"/>
                <w:szCs w:val="21"/>
                <w:lang w:val="en-US" w:eastAsia="zh-CN" w:bidi="ar-SA"/>
              </w:rPr>
              <w:t>120</w:t>
            </w:r>
          </w:p>
        </w:tc>
        <w:tc>
          <w:tcPr>
            <w:tcW w:w="596" w:type="pct"/>
            <w:shd w:val="clear" w:color="auto" w:fill="auto"/>
            <w:vAlign w:val="center"/>
          </w:tcPr>
          <w:p w14:paraId="1CB5C307">
            <w:pPr>
              <w:jc w:val="center"/>
              <w:rPr>
                <w:rFonts w:hint="default" w:ascii="宋体" w:hAnsi="宋体" w:eastAsia="宋体" w:cs="宋体"/>
                <w:sz w:val="21"/>
                <w:szCs w:val="21"/>
                <w:lang w:val="en-US" w:eastAsia="zh-CN" w:bidi="ar-SA"/>
              </w:rPr>
            </w:pPr>
            <w:r>
              <w:rPr>
                <w:rFonts w:hint="eastAsia" w:ascii="宋体" w:hAnsi="宋体" w:cs="宋体"/>
                <w:sz w:val="21"/>
                <w:szCs w:val="21"/>
                <w:lang w:val="en-US" w:eastAsia="zh-CN"/>
              </w:rPr>
              <w:t>120</w:t>
            </w:r>
          </w:p>
        </w:tc>
        <w:tc>
          <w:tcPr>
            <w:tcW w:w="596" w:type="pct"/>
            <w:shd w:val="clear" w:color="auto" w:fill="auto"/>
            <w:vAlign w:val="center"/>
          </w:tcPr>
          <w:p w14:paraId="0407A243">
            <w:pPr>
              <w:jc w:val="center"/>
              <w:rPr>
                <w:rFonts w:hint="default" w:ascii="宋体" w:hAnsi="宋体" w:eastAsia="宋体" w:cs="宋体"/>
                <w:sz w:val="21"/>
                <w:szCs w:val="21"/>
                <w:lang w:val="en-US" w:eastAsia="zh-CN" w:bidi="ar-SA"/>
              </w:rPr>
            </w:pPr>
            <w:r>
              <w:rPr>
                <w:rFonts w:hint="eastAsia" w:ascii="宋体" w:hAnsi="宋体" w:cs="宋体"/>
                <w:sz w:val="21"/>
                <w:szCs w:val="21"/>
                <w:lang w:val="en-US" w:eastAsia="zh-CN" w:bidi="ar-SA"/>
              </w:rPr>
              <w:t>150</w:t>
            </w:r>
          </w:p>
        </w:tc>
        <w:tc>
          <w:tcPr>
            <w:tcW w:w="596" w:type="pct"/>
            <w:tcBorders>
              <w:right w:val="single" w:color="auto" w:sz="12" w:space="0"/>
            </w:tcBorders>
            <w:shd w:val="clear" w:color="auto" w:fill="auto"/>
            <w:vAlign w:val="center"/>
          </w:tcPr>
          <w:p w14:paraId="33E89917">
            <w:pPr>
              <w:jc w:val="center"/>
              <w:rPr>
                <w:rFonts w:hint="default" w:ascii="宋体" w:hAnsi="宋体" w:eastAsia="宋体" w:cs="宋体"/>
                <w:sz w:val="21"/>
                <w:szCs w:val="21"/>
                <w:lang w:val="en-US" w:eastAsia="zh-CN" w:bidi="ar-SA"/>
              </w:rPr>
            </w:pPr>
            <w:r>
              <w:rPr>
                <w:rFonts w:hint="eastAsia" w:ascii="宋体" w:hAnsi="宋体" w:cs="宋体"/>
                <w:sz w:val="21"/>
                <w:szCs w:val="21"/>
                <w:lang w:val="en-US" w:eastAsia="zh-CN"/>
              </w:rPr>
              <w:t>170</w:t>
            </w:r>
          </w:p>
        </w:tc>
        <w:tc>
          <w:tcPr>
            <w:tcW w:w="596" w:type="pct"/>
            <w:tcBorders>
              <w:right w:val="single" w:color="auto" w:sz="12" w:space="0"/>
            </w:tcBorders>
            <w:shd w:val="clear" w:color="auto" w:fill="auto"/>
            <w:vAlign w:val="center"/>
          </w:tcPr>
          <w:p w14:paraId="7D45DC65">
            <w:pPr>
              <w:jc w:val="center"/>
              <w:rPr>
                <w:rFonts w:hint="default" w:ascii="宋体" w:hAnsi="宋体" w:eastAsia="宋体" w:cs="宋体"/>
                <w:sz w:val="21"/>
                <w:szCs w:val="21"/>
                <w:lang w:val="en-US" w:eastAsia="zh-CN" w:bidi="ar-SA"/>
              </w:rPr>
            </w:pPr>
            <w:r>
              <w:rPr>
                <w:rFonts w:hint="eastAsia" w:ascii="宋体" w:hAnsi="宋体" w:cs="宋体"/>
                <w:sz w:val="21"/>
                <w:szCs w:val="21"/>
                <w:lang w:val="en-US" w:eastAsia="zh-CN" w:bidi="ar-SA"/>
              </w:rPr>
              <w:t>190</w:t>
            </w:r>
          </w:p>
        </w:tc>
        <w:tc>
          <w:tcPr>
            <w:tcW w:w="601" w:type="pct"/>
            <w:tcBorders>
              <w:right w:val="single" w:color="auto" w:sz="12" w:space="0"/>
            </w:tcBorders>
            <w:vAlign w:val="center"/>
          </w:tcPr>
          <w:p w14:paraId="7C25151C">
            <w:pPr>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210</w:t>
            </w:r>
          </w:p>
        </w:tc>
      </w:tr>
      <w:bookmarkEnd w:id="19"/>
    </w:tbl>
    <w:p w14:paraId="71B0CF17">
      <w:pPr>
        <w:spacing w:before="156" w:beforeLines="50" w:line="360" w:lineRule="auto"/>
        <w:rPr>
          <w:rFonts w:ascii="宋体" w:hAnsi="宋体"/>
          <w:b/>
        </w:rPr>
      </w:pPr>
      <w:r>
        <w:rPr>
          <w:rFonts w:hint="eastAsia" w:ascii="宋体" w:hAnsi="宋体"/>
          <w:b/>
        </w:rPr>
        <w:t>4.2.2.3.2 战略应对措施</w:t>
      </w:r>
    </w:p>
    <w:p w14:paraId="27059DFE">
      <w:pPr>
        <w:spacing w:line="360" w:lineRule="auto"/>
        <w:ind w:firstLine="482" w:firstLineChars="200"/>
        <w:rPr>
          <w:rFonts w:ascii="宋体" w:hAnsi="宋体"/>
          <w:b/>
        </w:rPr>
      </w:pPr>
      <w:r>
        <w:rPr>
          <w:rFonts w:hint="eastAsia" w:ascii="宋体" w:hAnsi="宋体"/>
          <w:b/>
        </w:rPr>
        <w:t>a）把握机会和应对挑战的措施</w:t>
      </w:r>
    </w:p>
    <w:p w14:paraId="1D8ADDD6">
      <w:pPr>
        <w:adjustRightInd w:val="0"/>
        <w:snapToGrid w:val="0"/>
        <w:spacing w:line="360" w:lineRule="auto"/>
        <w:ind w:firstLine="420"/>
        <w:rPr>
          <w:rFonts w:ascii="宋体" w:hAnsi="宋体"/>
        </w:rPr>
      </w:pPr>
      <w:r>
        <w:rPr>
          <w:rFonts w:hint="eastAsia" w:ascii="宋体" w:hAnsi="宋体"/>
        </w:rPr>
        <w:t>公司在战略目标制定时，充分考虑机会、挑战，结合竞争对手、标杆绩效目标，制定了把握机会措施（见</w:t>
      </w:r>
      <w:r>
        <w:rPr>
          <w:rFonts w:ascii="宋体" w:hAnsi="宋体"/>
        </w:rPr>
        <w:t>表4</w:t>
      </w:r>
      <w:r>
        <w:rPr>
          <w:rFonts w:hint="eastAsia" w:ascii="宋体" w:hAnsi="宋体"/>
        </w:rPr>
        <w:t>.</w:t>
      </w:r>
      <w:r>
        <w:rPr>
          <w:rFonts w:ascii="宋体" w:hAnsi="宋体"/>
        </w:rPr>
        <w:t>2</w:t>
      </w:r>
      <w:r>
        <w:rPr>
          <w:rFonts w:hint="eastAsia" w:ascii="宋体" w:hAnsi="宋体"/>
        </w:rPr>
        <w:t>-7）和应对挑战措施（见</w:t>
      </w:r>
      <w:r>
        <w:rPr>
          <w:rFonts w:ascii="宋体" w:hAnsi="宋体"/>
        </w:rPr>
        <w:t>表4</w:t>
      </w:r>
      <w:r>
        <w:rPr>
          <w:rFonts w:hint="eastAsia" w:ascii="宋体" w:hAnsi="宋体"/>
        </w:rPr>
        <w:t>.</w:t>
      </w:r>
      <w:r>
        <w:rPr>
          <w:rFonts w:ascii="宋体" w:hAnsi="宋体"/>
        </w:rPr>
        <w:t>2</w:t>
      </w:r>
      <w:r>
        <w:rPr>
          <w:rFonts w:hint="eastAsia" w:ascii="宋体" w:hAnsi="宋体"/>
        </w:rPr>
        <w:t>-8）</w:t>
      </w:r>
    </w:p>
    <w:p w14:paraId="736D15EF">
      <w:pPr>
        <w:adjustRightInd w:val="0"/>
        <w:snapToGrid w:val="0"/>
        <w:spacing w:line="360" w:lineRule="auto"/>
        <w:ind w:firstLine="422"/>
        <w:jc w:val="center"/>
        <w:rPr>
          <w:rFonts w:ascii="宋体" w:hAnsi="宋体"/>
          <w:b/>
        </w:rPr>
      </w:pPr>
      <w:r>
        <w:rPr>
          <w:rFonts w:ascii="宋体" w:hAnsi="宋体"/>
          <w:b/>
        </w:rPr>
        <w:t>表4</w:t>
      </w:r>
      <w:r>
        <w:rPr>
          <w:rFonts w:hint="eastAsia" w:ascii="宋体" w:hAnsi="宋体"/>
          <w:b/>
        </w:rPr>
        <w:t>.</w:t>
      </w:r>
      <w:r>
        <w:rPr>
          <w:rFonts w:ascii="宋体" w:hAnsi="宋体"/>
          <w:b/>
        </w:rPr>
        <w:t>2</w:t>
      </w:r>
      <w:r>
        <w:rPr>
          <w:rFonts w:hint="eastAsia" w:ascii="宋体" w:hAnsi="宋体"/>
          <w:b/>
        </w:rPr>
        <w:t>-7 把握机会的措施</w:t>
      </w:r>
    </w:p>
    <w:tbl>
      <w:tblPr>
        <w:tblStyle w:val="22"/>
        <w:tblW w:w="900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57" w:type="dxa"/>
          <w:left w:w="108" w:type="dxa"/>
          <w:bottom w:w="57" w:type="dxa"/>
          <w:right w:w="108" w:type="dxa"/>
        </w:tblCellMar>
      </w:tblPr>
      <w:tblGrid>
        <w:gridCol w:w="703"/>
        <w:gridCol w:w="2168"/>
        <w:gridCol w:w="3300"/>
        <w:gridCol w:w="2836"/>
      </w:tblGrid>
      <w:tr w14:paraId="791283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cantSplit/>
          <w:trHeight w:val="286" w:hRule="atLeast"/>
          <w:jc w:val="center"/>
        </w:trPr>
        <w:tc>
          <w:tcPr>
            <w:tcW w:w="703" w:type="dxa"/>
            <w:vMerge w:val="restart"/>
            <w:tcBorders>
              <w:top w:val="single" w:color="auto" w:sz="12" w:space="0"/>
              <w:bottom w:val="single" w:color="auto" w:sz="6" w:space="0"/>
            </w:tcBorders>
            <w:shd w:val="clear" w:color="auto" w:fill="757070"/>
            <w:noWrap/>
            <w:vAlign w:val="center"/>
          </w:tcPr>
          <w:p w14:paraId="3AEF5EB2">
            <w:pPr>
              <w:adjustRightInd w:val="0"/>
              <w:snapToGrid w:val="0"/>
              <w:jc w:val="center"/>
              <w:rPr>
                <w:rFonts w:ascii="宋体" w:hAnsi="宋体"/>
                <w:b/>
                <w:szCs w:val="21"/>
              </w:rPr>
            </w:pPr>
            <w:r>
              <w:rPr>
                <w:rFonts w:hint="eastAsia" w:ascii="宋体" w:hAnsi="宋体"/>
                <w:b/>
                <w:szCs w:val="21"/>
              </w:rPr>
              <w:t>时间区间</w:t>
            </w:r>
          </w:p>
        </w:tc>
        <w:tc>
          <w:tcPr>
            <w:tcW w:w="2168" w:type="dxa"/>
            <w:vMerge w:val="restart"/>
            <w:tcBorders>
              <w:top w:val="single" w:color="auto" w:sz="12" w:space="0"/>
              <w:bottom w:val="single" w:color="auto" w:sz="6" w:space="0"/>
            </w:tcBorders>
            <w:shd w:val="clear" w:color="auto" w:fill="757070"/>
            <w:noWrap/>
            <w:vAlign w:val="center"/>
          </w:tcPr>
          <w:p w14:paraId="0C10A9A9">
            <w:pPr>
              <w:adjustRightInd w:val="0"/>
              <w:snapToGrid w:val="0"/>
              <w:ind w:firstLine="361"/>
              <w:jc w:val="center"/>
              <w:rPr>
                <w:rFonts w:ascii="宋体" w:hAnsi="宋体"/>
                <w:b/>
                <w:szCs w:val="21"/>
              </w:rPr>
            </w:pPr>
            <w:r>
              <w:rPr>
                <w:rFonts w:hint="eastAsia" w:ascii="宋体" w:hAnsi="宋体"/>
                <w:b/>
                <w:szCs w:val="21"/>
              </w:rPr>
              <w:t>机会</w:t>
            </w:r>
          </w:p>
        </w:tc>
        <w:tc>
          <w:tcPr>
            <w:tcW w:w="6136" w:type="dxa"/>
            <w:gridSpan w:val="2"/>
            <w:tcBorders>
              <w:top w:val="single" w:color="auto" w:sz="12" w:space="0"/>
              <w:bottom w:val="single" w:color="auto" w:sz="6" w:space="0"/>
            </w:tcBorders>
            <w:shd w:val="clear" w:color="auto" w:fill="757070"/>
            <w:noWrap/>
            <w:vAlign w:val="center"/>
          </w:tcPr>
          <w:p w14:paraId="76496772">
            <w:pPr>
              <w:adjustRightInd w:val="0"/>
              <w:snapToGrid w:val="0"/>
              <w:ind w:firstLine="361"/>
              <w:jc w:val="center"/>
              <w:rPr>
                <w:rFonts w:ascii="宋体" w:hAnsi="宋体"/>
                <w:b/>
                <w:szCs w:val="21"/>
              </w:rPr>
            </w:pPr>
            <w:r>
              <w:rPr>
                <w:rFonts w:hint="eastAsia" w:ascii="宋体" w:hAnsi="宋体"/>
                <w:b/>
                <w:szCs w:val="21"/>
              </w:rPr>
              <w:t>把握机会的措施和目标</w:t>
            </w:r>
          </w:p>
        </w:tc>
      </w:tr>
      <w:tr w14:paraId="4BA39F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cantSplit/>
          <w:trHeight w:val="271" w:hRule="atLeast"/>
          <w:jc w:val="center"/>
        </w:trPr>
        <w:tc>
          <w:tcPr>
            <w:tcW w:w="703" w:type="dxa"/>
            <w:vMerge w:val="continue"/>
            <w:tcBorders>
              <w:top w:val="single" w:color="auto" w:sz="6" w:space="0"/>
              <w:bottom w:val="single" w:color="auto" w:sz="6" w:space="0"/>
            </w:tcBorders>
            <w:shd w:val="clear" w:color="auto" w:fill="757070"/>
            <w:noWrap/>
            <w:vAlign w:val="center"/>
          </w:tcPr>
          <w:p w14:paraId="56447A7D">
            <w:pPr>
              <w:adjustRightInd w:val="0"/>
              <w:snapToGrid w:val="0"/>
              <w:jc w:val="center"/>
              <w:rPr>
                <w:rFonts w:ascii="宋体" w:hAnsi="宋体"/>
                <w:b/>
                <w:szCs w:val="21"/>
              </w:rPr>
            </w:pPr>
          </w:p>
        </w:tc>
        <w:tc>
          <w:tcPr>
            <w:tcW w:w="2168" w:type="dxa"/>
            <w:vMerge w:val="continue"/>
            <w:tcBorders>
              <w:top w:val="single" w:color="auto" w:sz="6" w:space="0"/>
              <w:bottom w:val="single" w:color="auto" w:sz="6" w:space="0"/>
            </w:tcBorders>
            <w:shd w:val="clear" w:color="auto" w:fill="757070"/>
            <w:noWrap/>
            <w:vAlign w:val="center"/>
          </w:tcPr>
          <w:p w14:paraId="1C1BF2F1">
            <w:pPr>
              <w:adjustRightInd w:val="0"/>
              <w:snapToGrid w:val="0"/>
              <w:ind w:firstLine="361"/>
              <w:jc w:val="center"/>
              <w:rPr>
                <w:rFonts w:ascii="宋体" w:hAnsi="宋体"/>
                <w:b/>
                <w:szCs w:val="21"/>
              </w:rPr>
            </w:pPr>
          </w:p>
        </w:tc>
        <w:tc>
          <w:tcPr>
            <w:tcW w:w="3300" w:type="dxa"/>
            <w:tcBorders>
              <w:top w:val="single" w:color="auto" w:sz="6" w:space="0"/>
              <w:bottom w:val="single" w:color="auto" w:sz="6" w:space="0"/>
            </w:tcBorders>
            <w:shd w:val="clear" w:color="auto" w:fill="757070"/>
            <w:noWrap/>
            <w:vAlign w:val="center"/>
          </w:tcPr>
          <w:p w14:paraId="7743BFBE">
            <w:pPr>
              <w:adjustRightInd w:val="0"/>
              <w:snapToGrid w:val="0"/>
              <w:ind w:firstLine="361"/>
              <w:jc w:val="center"/>
              <w:rPr>
                <w:rFonts w:ascii="宋体" w:hAnsi="宋体"/>
                <w:b/>
                <w:szCs w:val="21"/>
              </w:rPr>
            </w:pPr>
            <w:r>
              <w:rPr>
                <w:rFonts w:hint="eastAsia" w:ascii="宋体" w:hAnsi="宋体"/>
                <w:b/>
                <w:szCs w:val="21"/>
              </w:rPr>
              <w:t>措施</w:t>
            </w:r>
          </w:p>
        </w:tc>
        <w:tc>
          <w:tcPr>
            <w:tcW w:w="2836" w:type="dxa"/>
            <w:tcBorders>
              <w:top w:val="single" w:color="auto" w:sz="6" w:space="0"/>
              <w:bottom w:val="single" w:color="auto" w:sz="6" w:space="0"/>
            </w:tcBorders>
            <w:shd w:val="clear" w:color="auto" w:fill="757070"/>
            <w:noWrap/>
            <w:vAlign w:val="center"/>
          </w:tcPr>
          <w:p w14:paraId="7D1FE510">
            <w:pPr>
              <w:adjustRightInd w:val="0"/>
              <w:snapToGrid w:val="0"/>
              <w:ind w:firstLine="361"/>
              <w:jc w:val="center"/>
              <w:rPr>
                <w:rFonts w:ascii="宋体" w:hAnsi="宋体"/>
                <w:b/>
                <w:szCs w:val="21"/>
              </w:rPr>
            </w:pPr>
            <w:r>
              <w:rPr>
                <w:rFonts w:hint="eastAsia" w:ascii="宋体" w:hAnsi="宋体"/>
                <w:b/>
                <w:szCs w:val="21"/>
              </w:rPr>
              <w:t>目标</w:t>
            </w:r>
          </w:p>
        </w:tc>
      </w:tr>
      <w:tr w14:paraId="739856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cantSplit/>
          <w:trHeight w:val="437" w:hRule="atLeast"/>
          <w:jc w:val="center"/>
        </w:trPr>
        <w:tc>
          <w:tcPr>
            <w:tcW w:w="703" w:type="dxa"/>
            <w:vMerge w:val="restart"/>
            <w:tcBorders>
              <w:top w:val="single" w:color="auto" w:sz="6" w:space="0"/>
            </w:tcBorders>
            <w:noWrap/>
            <w:vAlign w:val="center"/>
          </w:tcPr>
          <w:p w14:paraId="5F2CF775">
            <w:pPr>
              <w:adjustRightInd w:val="0"/>
              <w:snapToGrid w:val="0"/>
              <w:jc w:val="center"/>
              <w:rPr>
                <w:rFonts w:ascii="宋体" w:hAnsi="宋体"/>
                <w:kern w:val="2"/>
                <w:szCs w:val="21"/>
              </w:rPr>
            </w:pPr>
            <w:r>
              <w:rPr>
                <w:rFonts w:hint="eastAsia" w:ascii="宋体" w:hAnsi="宋体"/>
                <w:kern w:val="2"/>
                <w:szCs w:val="21"/>
              </w:rPr>
              <w:t>短期</w:t>
            </w:r>
          </w:p>
        </w:tc>
        <w:tc>
          <w:tcPr>
            <w:tcW w:w="2168" w:type="dxa"/>
            <w:tcBorders>
              <w:top w:val="single" w:color="auto" w:sz="6" w:space="0"/>
            </w:tcBorders>
            <w:noWrap/>
            <w:vAlign w:val="center"/>
          </w:tcPr>
          <w:p w14:paraId="5B1E1A6B">
            <w:pPr>
              <w:adjustRightInd w:val="0"/>
              <w:snapToGrid w:val="0"/>
              <w:rPr>
                <w:rFonts w:ascii="宋体" w:hAnsi="宋体"/>
                <w:kern w:val="2"/>
                <w:szCs w:val="21"/>
              </w:rPr>
            </w:pPr>
            <w:r>
              <w:rPr>
                <w:rFonts w:hint="eastAsia" w:ascii="宋体" w:hAnsi="宋体"/>
                <w:kern w:val="2"/>
                <w:szCs w:val="21"/>
              </w:rPr>
              <w:t>市场容量很大</w:t>
            </w:r>
          </w:p>
        </w:tc>
        <w:tc>
          <w:tcPr>
            <w:tcW w:w="3300" w:type="dxa"/>
            <w:tcBorders>
              <w:top w:val="single" w:color="auto" w:sz="6" w:space="0"/>
            </w:tcBorders>
            <w:noWrap/>
            <w:vAlign w:val="center"/>
          </w:tcPr>
          <w:p w14:paraId="2CE86FB0">
            <w:pPr>
              <w:adjustRightInd w:val="0"/>
              <w:snapToGrid w:val="0"/>
              <w:rPr>
                <w:rFonts w:ascii="宋体" w:hAnsi="宋体"/>
                <w:szCs w:val="21"/>
              </w:rPr>
            </w:pPr>
            <w:r>
              <w:rPr>
                <w:rFonts w:hint="eastAsia" w:ascii="宋体" w:hAnsi="宋体"/>
                <w:szCs w:val="21"/>
              </w:rPr>
              <w:t>扩大产能，拓展市场</w:t>
            </w:r>
          </w:p>
        </w:tc>
        <w:tc>
          <w:tcPr>
            <w:tcW w:w="2836" w:type="dxa"/>
            <w:vMerge w:val="restart"/>
            <w:tcBorders>
              <w:top w:val="single" w:color="auto" w:sz="6" w:space="0"/>
            </w:tcBorders>
            <w:noWrap/>
            <w:vAlign w:val="center"/>
          </w:tcPr>
          <w:p w14:paraId="6C116D3B">
            <w:pPr>
              <w:adjustRightInd w:val="0"/>
              <w:snapToGrid w:val="0"/>
              <w:rPr>
                <w:rFonts w:ascii="宋体" w:hAnsi="宋体"/>
                <w:szCs w:val="21"/>
              </w:rPr>
            </w:pPr>
            <w:r>
              <w:rPr>
                <w:rFonts w:hint="eastAsia" w:ascii="宋体" w:hAnsi="宋体"/>
                <w:szCs w:val="21"/>
              </w:rPr>
              <w:t>20</w:t>
            </w:r>
            <w:r>
              <w:rPr>
                <w:rFonts w:ascii="宋体" w:hAnsi="宋体"/>
                <w:szCs w:val="21"/>
              </w:rPr>
              <w:t>2</w:t>
            </w:r>
            <w:r>
              <w:rPr>
                <w:rFonts w:hint="eastAsia" w:ascii="宋体" w:hAnsi="宋体"/>
                <w:szCs w:val="21"/>
                <w:lang w:val="en-US" w:eastAsia="zh-CN"/>
              </w:rPr>
              <w:t>6</w:t>
            </w:r>
            <w:r>
              <w:rPr>
                <w:rFonts w:hint="eastAsia" w:ascii="宋体" w:hAnsi="宋体"/>
                <w:szCs w:val="21"/>
              </w:rPr>
              <w:t>年实现市场销售额</w:t>
            </w:r>
            <w:r>
              <w:rPr>
                <w:rFonts w:hint="eastAsia" w:ascii="宋体" w:hAnsi="宋体"/>
                <w:szCs w:val="21"/>
                <w:lang w:val="en-US" w:eastAsia="zh-CN"/>
              </w:rPr>
              <w:t>2550</w:t>
            </w:r>
            <w:r>
              <w:rPr>
                <w:rFonts w:hint="eastAsia" w:ascii="宋体" w:hAnsi="宋体"/>
                <w:szCs w:val="21"/>
              </w:rPr>
              <w:t>万元</w:t>
            </w:r>
          </w:p>
        </w:tc>
      </w:tr>
      <w:tr w14:paraId="541B9E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cantSplit/>
          <w:trHeight w:val="344" w:hRule="atLeast"/>
          <w:jc w:val="center"/>
        </w:trPr>
        <w:tc>
          <w:tcPr>
            <w:tcW w:w="703" w:type="dxa"/>
            <w:vMerge w:val="continue"/>
            <w:noWrap/>
            <w:vAlign w:val="center"/>
          </w:tcPr>
          <w:p w14:paraId="3637DC3A">
            <w:pPr>
              <w:adjustRightInd w:val="0"/>
              <w:snapToGrid w:val="0"/>
              <w:jc w:val="center"/>
              <w:rPr>
                <w:rFonts w:ascii="宋体" w:hAnsi="宋体"/>
                <w:kern w:val="2"/>
                <w:szCs w:val="21"/>
              </w:rPr>
            </w:pPr>
          </w:p>
        </w:tc>
        <w:tc>
          <w:tcPr>
            <w:tcW w:w="2168" w:type="dxa"/>
            <w:noWrap/>
            <w:vAlign w:val="center"/>
          </w:tcPr>
          <w:p w14:paraId="18086E12">
            <w:pPr>
              <w:adjustRightInd w:val="0"/>
              <w:snapToGrid w:val="0"/>
              <w:rPr>
                <w:rFonts w:ascii="宋体" w:hAnsi="宋体"/>
                <w:szCs w:val="21"/>
              </w:rPr>
            </w:pPr>
            <w:r>
              <w:rPr>
                <w:rFonts w:hint="eastAsia" w:ascii="宋体" w:hAnsi="宋体"/>
                <w:kern w:val="2"/>
                <w:szCs w:val="21"/>
              </w:rPr>
              <w:t>国家优惠政策</w:t>
            </w:r>
          </w:p>
        </w:tc>
        <w:tc>
          <w:tcPr>
            <w:tcW w:w="3300" w:type="dxa"/>
            <w:noWrap/>
            <w:vAlign w:val="center"/>
          </w:tcPr>
          <w:p w14:paraId="16736994">
            <w:pPr>
              <w:adjustRightInd w:val="0"/>
              <w:snapToGrid w:val="0"/>
              <w:rPr>
                <w:rFonts w:ascii="宋体" w:hAnsi="宋体"/>
                <w:szCs w:val="21"/>
              </w:rPr>
            </w:pPr>
            <w:r>
              <w:rPr>
                <w:rFonts w:hint="eastAsia" w:ascii="宋体" w:hAnsi="宋体"/>
                <w:szCs w:val="21"/>
              </w:rPr>
              <w:t>扩大产能，加大新产品开发的力度</w:t>
            </w:r>
          </w:p>
        </w:tc>
        <w:tc>
          <w:tcPr>
            <w:tcW w:w="2836" w:type="dxa"/>
            <w:vMerge w:val="continue"/>
            <w:noWrap/>
            <w:vAlign w:val="center"/>
          </w:tcPr>
          <w:p w14:paraId="64A61FB7">
            <w:pPr>
              <w:adjustRightInd w:val="0"/>
              <w:snapToGrid w:val="0"/>
              <w:ind w:firstLine="360"/>
              <w:rPr>
                <w:rFonts w:ascii="宋体" w:hAnsi="宋体"/>
                <w:szCs w:val="21"/>
              </w:rPr>
            </w:pPr>
          </w:p>
        </w:tc>
      </w:tr>
      <w:tr w14:paraId="02E418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cantSplit/>
          <w:trHeight w:val="336" w:hRule="atLeast"/>
          <w:jc w:val="center"/>
        </w:trPr>
        <w:tc>
          <w:tcPr>
            <w:tcW w:w="703" w:type="dxa"/>
            <w:vMerge w:val="continue"/>
            <w:noWrap/>
            <w:vAlign w:val="center"/>
          </w:tcPr>
          <w:p w14:paraId="4291DC61">
            <w:pPr>
              <w:adjustRightInd w:val="0"/>
              <w:snapToGrid w:val="0"/>
              <w:jc w:val="center"/>
              <w:rPr>
                <w:rFonts w:ascii="宋体" w:hAnsi="宋体"/>
                <w:kern w:val="2"/>
                <w:szCs w:val="21"/>
              </w:rPr>
            </w:pPr>
          </w:p>
        </w:tc>
        <w:tc>
          <w:tcPr>
            <w:tcW w:w="2168" w:type="dxa"/>
            <w:noWrap/>
            <w:vAlign w:val="center"/>
          </w:tcPr>
          <w:p w14:paraId="70C04FC0">
            <w:pPr>
              <w:adjustRightInd w:val="0"/>
              <w:snapToGrid w:val="0"/>
              <w:rPr>
                <w:rFonts w:ascii="宋体" w:hAnsi="宋体"/>
                <w:szCs w:val="21"/>
              </w:rPr>
            </w:pPr>
            <w:r>
              <w:rPr>
                <w:rFonts w:hint="eastAsia" w:ascii="宋体" w:hAnsi="宋体"/>
                <w:kern w:val="2"/>
                <w:szCs w:val="21"/>
              </w:rPr>
              <w:t>行业门槛及标准提高</w:t>
            </w:r>
          </w:p>
        </w:tc>
        <w:tc>
          <w:tcPr>
            <w:tcW w:w="3300" w:type="dxa"/>
            <w:noWrap/>
            <w:vAlign w:val="center"/>
          </w:tcPr>
          <w:p w14:paraId="1CC062C7">
            <w:pPr>
              <w:adjustRightInd w:val="0"/>
              <w:snapToGrid w:val="0"/>
              <w:rPr>
                <w:rFonts w:ascii="宋体" w:hAnsi="宋体"/>
                <w:szCs w:val="21"/>
              </w:rPr>
            </w:pPr>
            <w:r>
              <w:rPr>
                <w:rFonts w:hint="eastAsia" w:ascii="宋体" w:hAnsi="宋体"/>
                <w:szCs w:val="21"/>
              </w:rPr>
              <w:t>加速整合，扩大自身优势</w:t>
            </w:r>
          </w:p>
        </w:tc>
        <w:tc>
          <w:tcPr>
            <w:tcW w:w="2836" w:type="dxa"/>
            <w:vMerge w:val="continue"/>
            <w:noWrap/>
            <w:vAlign w:val="center"/>
          </w:tcPr>
          <w:p w14:paraId="1B9A20AC">
            <w:pPr>
              <w:adjustRightInd w:val="0"/>
              <w:snapToGrid w:val="0"/>
              <w:ind w:firstLine="360"/>
              <w:rPr>
                <w:rFonts w:ascii="宋体" w:hAnsi="宋体"/>
                <w:szCs w:val="21"/>
              </w:rPr>
            </w:pPr>
          </w:p>
        </w:tc>
      </w:tr>
      <w:tr w14:paraId="0AA94F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cantSplit/>
          <w:trHeight w:val="484" w:hRule="atLeast"/>
          <w:jc w:val="center"/>
        </w:trPr>
        <w:tc>
          <w:tcPr>
            <w:tcW w:w="703" w:type="dxa"/>
            <w:vMerge w:val="restart"/>
            <w:noWrap/>
            <w:vAlign w:val="center"/>
          </w:tcPr>
          <w:p w14:paraId="0393E63E">
            <w:pPr>
              <w:adjustRightInd w:val="0"/>
              <w:snapToGrid w:val="0"/>
              <w:rPr>
                <w:rFonts w:ascii="宋体" w:hAnsi="宋体"/>
                <w:kern w:val="2"/>
                <w:szCs w:val="21"/>
                <w:highlight w:val="yellow"/>
              </w:rPr>
            </w:pPr>
            <w:r>
              <w:rPr>
                <w:rFonts w:hint="eastAsia" w:ascii="宋体" w:hAnsi="宋体"/>
                <w:kern w:val="2"/>
                <w:szCs w:val="21"/>
              </w:rPr>
              <w:t>长期</w:t>
            </w:r>
          </w:p>
        </w:tc>
        <w:tc>
          <w:tcPr>
            <w:tcW w:w="2168" w:type="dxa"/>
            <w:noWrap/>
            <w:vAlign w:val="center"/>
          </w:tcPr>
          <w:p w14:paraId="5BF484E2">
            <w:pPr>
              <w:adjustRightInd w:val="0"/>
              <w:snapToGrid w:val="0"/>
              <w:rPr>
                <w:rFonts w:ascii="宋体" w:hAnsi="宋体"/>
                <w:szCs w:val="21"/>
              </w:rPr>
            </w:pPr>
            <w:r>
              <w:rPr>
                <w:rFonts w:hint="eastAsia" w:ascii="宋体" w:hAnsi="宋体"/>
                <w:kern w:val="2"/>
                <w:szCs w:val="21"/>
              </w:rPr>
              <w:t>宏观经济持续增长</w:t>
            </w:r>
          </w:p>
        </w:tc>
        <w:tc>
          <w:tcPr>
            <w:tcW w:w="3300" w:type="dxa"/>
            <w:noWrap/>
            <w:vAlign w:val="center"/>
          </w:tcPr>
          <w:p w14:paraId="4E9AB0F3">
            <w:pPr>
              <w:adjustRightInd w:val="0"/>
              <w:snapToGrid w:val="0"/>
              <w:rPr>
                <w:rFonts w:ascii="宋体" w:hAnsi="宋体"/>
                <w:szCs w:val="21"/>
              </w:rPr>
            </w:pPr>
            <w:r>
              <w:rPr>
                <w:rFonts w:hint="eastAsia" w:ascii="宋体" w:hAnsi="宋体"/>
                <w:szCs w:val="21"/>
              </w:rPr>
              <w:t>以经济增长为契机扩大产品销售</w:t>
            </w:r>
          </w:p>
        </w:tc>
        <w:tc>
          <w:tcPr>
            <w:tcW w:w="2836" w:type="dxa"/>
            <w:vMerge w:val="restart"/>
            <w:noWrap/>
            <w:vAlign w:val="center"/>
          </w:tcPr>
          <w:p w14:paraId="1F83498C">
            <w:pPr>
              <w:adjustRightInd w:val="0"/>
              <w:snapToGrid w:val="0"/>
              <w:rPr>
                <w:rFonts w:ascii="宋体" w:hAnsi="宋体"/>
                <w:szCs w:val="21"/>
              </w:rPr>
            </w:pPr>
            <w:r>
              <w:rPr>
                <w:rFonts w:hint="eastAsia" w:ascii="宋体" w:hAnsi="宋体"/>
                <w:szCs w:val="21"/>
              </w:rPr>
              <w:t>建立完善的销售网络平台20</w:t>
            </w:r>
            <w:r>
              <w:rPr>
                <w:rFonts w:hint="eastAsia" w:ascii="宋体" w:hAnsi="宋体"/>
                <w:szCs w:val="21"/>
                <w:lang w:val="en-US" w:eastAsia="zh-CN"/>
              </w:rPr>
              <w:t>30</w:t>
            </w:r>
            <w:r>
              <w:rPr>
                <w:rFonts w:hint="eastAsia" w:ascii="宋体" w:hAnsi="宋体"/>
                <w:szCs w:val="21"/>
              </w:rPr>
              <w:t>年实现销售收入</w:t>
            </w:r>
            <w:r>
              <w:rPr>
                <w:rFonts w:hint="eastAsia" w:ascii="宋体" w:hAnsi="宋体"/>
                <w:szCs w:val="21"/>
                <w:lang w:val="en-US" w:eastAsia="zh-CN"/>
              </w:rPr>
              <w:t>4500</w:t>
            </w:r>
            <w:r>
              <w:rPr>
                <w:rFonts w:hint="eastAsia" w:ascii="宋体" w:hAnsi="宋体"/>
                <w:szCs w:val="21"/>
              </w:rPr>
              <w:t>万元</w:t>
            </w:r>
          </w:p>
        </w:tc>
      </w:tr>
      <w:tr w14:paraId="56C036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cantSplit/>
          <w:trHeight w:val="350" w:hRule="atLeast"/>
          <w:jc w:val="center"/>
        </w:trPr>
        <w:tc>
          <w:tcPr>
            <w:tcW w:w="703" w:type="dxa"/>
            <w:vMerge w:val="continue"/>
            <w:noWrap/>
            <w:vAlign w:val="center"/>
          </w:tcPr>
          <w:p w14:paraId="1C5EEB29">
            <w:pPr>
              <w:adjustRightInd w:val="0"/>
              <w:snapToGrid w:val="0"/>
              <w:jc w:val="center"/>
              <w:rPr>
                <w:rFonts w:ascii="宋体" w:hAnsi="宋体"/>
                <w:kern w:val="2"/>
                <w:szCs w:val="21"/>
                <w:highlight w:val="yellow"/>
              </w:rPr>
            </w:pPr>
          </w:p>
        </w:tc>
        <w:tc>
          <w:tcPr>
            <w:tcW w:w="2168" w:type="dxa"/>
            <w:noWrap/>
            <w:vAlign w:val="center"/>
          </w:tcPr>
          <w:p w14:paraId="00704A2E">
            <w:pPr>
              <w:adjustRightInd w:val="0"/>
              <w:snapToGrid w:val="0"/>
              <w:rPr>
                <w:rFonts w:ascii="宋体" w:hAnsi="宋体"/>
                <w:kern w:val="2"/>
                <w:szCs w:val="21"/>
                <w:highlight w:val="yellow"/>
              </w:rPr>
            </w:pPr>
            <w:r>
              <w:rPr>
                <w:rFonts w:hint="eastAsia" w:ascii="宋体" w:hAnsi="宋体"/>
                <w:kern w:val="2"/>
                <w:szCs w:val="21"/>
              </w:rPr>
              <w:t>开放的环境</w:t>
            </w:r>
          </w:p>
        </w:tc>
        <w:tc>
          <w:tcPr>
            <w:tcW w:w="3300" w:type="dxa"/>
            <w:noWrap/>
            <w:vAlign w:val="center"/>
          </w:tcPr>
          <w:p w14:paraId="6EDA88B8">
            <w:pPr>
              <w:adjustRightInd w:val="0"/>
              <w:snapToGrid w:val="0"/>
              <w:rPr>
                <w:rFonts w:ascii="宋体" w:hAnsi="宋体"/>
                <w:szCs w:val="21"/>
                <w:highlight w:val="yellow"/>
              </w:rPr>
            </w:pPr>
            <w:r>
              <w:rPr>
                <w:rFonts w:hint="eastAsia" w:ascii="宋体" w:hAnsi="宋体"/>
                <w:szCs w:val="21"/>
              </w:rPr>
              <w:t>分析环境，进一步拓展全国市场</w:t>
            </w:r>
          </w:p>
        </w:tc>
        <w:tc>
          <w:tcPr>
            <w:tcW w:w="2836" w:type="dxa"/>
            <w:vMerge w:val="continue"/>
            <w:noWrap/>
            <w:vAlign w:val="center"/>
          </w:tcPr>
          <w:p w14:paraId="50BBFC05">
            <w:pPr>
              <w:adjustRightInd w:val="0"/>
              <w:snapToGrid w:val="0"/>
              <w:rPr>
                <w:rFonts w:ascii="宋体" w:hAnsi="宋体"/>
                <w:szCs w:val="21"/>
                <w:highlight w:val="yellow"/>
              </w:rPr>
            </w:pPr>
          </w:p>
        </w:tc>
      </w:tr>
    </w:tbl>
    <w:p w14:paraId="270691F6">
      <w:pPr>
        <w:autoSpaceDE w:val="0"/>
        <w:autoSpaceDN w:val="0"/>
        <w:adjustRightInd w:val="0"/>
        <w:rPr>
          <w:rFonts w:ascii="宋体" w:hAnsi="宋体" w:cs="宋体"/>
          <w:b/>
        </w:rPr>
      </w:pPr>
    </w:p>
    <w:p w14:paraId="421A48A2">
      <w:pPr>
        <w:adjustRightInd w:val="0"/>
        <w:snapToGrid w:val="0"/>
        <w:ind w:firstLine="422"/>
        <w:jc w:val="center"/>
        <w:rPr>
          <w:rFonts w:ascii="宋体" w:hAnsi="宋体"/>
        </w:rPr>
      </w:pPr>
      <w:r>
        <w:rPr>
          <w:rFonts w:ascii="宋体" w:hAnsi="宋体"/>
          <w:b/>
        </w:rPr>
        <w:t>表4</w:t>
      </w:r>
      <w:r>
        <w:rPr>
          <w:rFonts w:hint="eastAsia" w:ascii="宋体" w:hAnsi="宋体"/>
          <w:b/>
        </w:rPr>
        <w:t>.</w:t>
      </w:r>
      <w:r>
        <w:rPr>
          <w:rFonts w:ascii="宋体" w:hAnsi="宋体"/>
          <w:b/>
        </w:rPr>
        <w:t>2</w:t>
      </w:r>
      <w:r>
        <w:rPr>
          <w:rFonts w:hint="eastAsia" w:ascii="宋体" w:hAnsi="宋体"/>
          <w:b/>
        </w:rPr>
        <w:t>-8 应对挑战措施表</w:t>
      </w:r>
    </w:p>
    <w:tbl>
      <w:tblPr>
        <w:tblStyle w:val="22"/>
        <w:tblW w:w="913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57" w:type="dxa"/>
          <w:left w:w="108" w:type="dxa"/>
          <w:bottom w:w="57" w:type="dxa"/>
          <w:right w:w="108" w:type="dxa"/>
        </w:tblCellMar>
      </w:tblPr>
      <w:tblGrid>
        <w:gridCol w:w="724"/>
        <w:gridCol w:w="1884"/>
        <w:gridCol w:w="3868"/>
        <w:gridCol w:w="2657"/>
      </w:tblGrid>
      <w:tr w14:paraId="6F6778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cantSplit/>
          <w:trHeight w:val="352" w:hRule="atLeast"/>
          <w:jc w:val="center"/>
        </w:trPr>
        <w:tc>
          <w:tcPr>
            <w:tcW w:w="724" w:type="dxa"/>
            <w:vMerge w:val="restart"/>
            <w:tcBorders>
              <w:top w:val="single" w:color="auto" w:sz="12" w:space="0"/>
              <w:bottom w:val="single" w:color="auto" w:sz="6" w:space="0"/>
            </w:tcBorders>
            <w:shd w:val="clear" w:color="auto" w:fill="757070"/>
            <w:noWrap/>
            <w:vAlign w:val="center"/>
          </w:tcPr>
          <w:p w14:paraId="05614686">
            <w:pPr>
              <w:adjustRightInd w:val="0"/>
              <w:snapToGrid w:val="0"/>
              <w:jc w:val="center"/>
              <w:rPr>
                <w:rFonts w:ascii="宋体" w:hAnsi="宋体"/>
                <w:b/>
                <w:szCs w:val="21"/>
              </w:rPr>
            </w:pPr>
            <w:r>
              <w:rPr>
                <w:rFonts w:hint="eastAsia" w:ascii="宋体" w:hAnsi="宋体"/>
                <w:b/>
                <w:szCs w:val="21"/>
              </w:rPr>
              <w:t>时间</w:t>
            </w:r>
          </w:p>
          <w:p w14:paraId="7FDB23B8">
            <w:pPr>
              <w:adjustRightInd w:val="0"/>
              <w:snapToGrid w:val="0"/>
              <w:jc w:val="center"/>
              <w:rPr>
                <w:rFonts w:ascii="宋体" w:hAnsi="宋体"/>
                <w:b/>
                <w:szCs w:val="21"/>
              </w:rPr>
            </w:pPr>
            <w:r>
              <w:rPr>
                <w:rFonts w:hint="eastAsia" w:ascii="宋体" w:hAnsi="宋体"/>
                <w:b/>
                <w:szCs w:val="21"/>
              </w:rPr>
              <w:t>区间</w:t>
            </w:r>
          </w:p>
        </w:tc>
        <w:tc>
          <w:tcPr>
            <w:tcW w:w="1884" w:type="dxa"/>
            <w:vMerge w:val="restart"/>
            <w:tcBorders>
              <w:top w:val="single" w:color="auto" w:sz="12" w:space="0"/>
              <w:bottom w:val="single" w:color="auto" w:sz="6" w:space="0"/>
            </w:tcBorders>
            <w:shd w:val="clear" w:color="auto" w:fill="757070"/>
            <w:noWrap/>
            <w:vAlign w:val="center"/>
          </w:tcPr>
          <w:p w14:paraId="14F64E05">
            <w:pPr>
              <w:adjustRightInd w:val="0"/>
              <w:snapToGrid w:val="0"/>
              <w:ind w:firstLine="361"/>
              <w:jc w:val="center"/>
              <w:rPr>
                <w:rFonts w:ascii="宋体" w:hAnsi="宋体"/>
                <w:b/>
                <w:szCs w:val="21"/>
              </w:rPr>
            </w:pPr>
            <w:r>
              <w:rPr>
                <w:rFonts w:hint="eastAsia" w:ascii="宋体" w:hAnsi="宋体"/>
                <w:b/>
                <w:szCs w:val="21"/>
              </w:rPr>
              <w:t>主要挑战</w:t>
            </w:r>
          </w:p>
        </w:tc>
        <w:tc>
          <w:tcPr>
            <w:tcW w:w="6525" w:type="dxa"/>
            <w:gridSpan w:val="2"/>
            <w:tcBorders>
              <w:top w:val="single" w:color="auto" w:sz="12" w:space="0"/>
              <w:bottom w:val="single" w:color="auto" w:sz="6" w:space="0"/>
            </w:tcBorders>
            <w:shd w:val="clear" w:color="auto" w:fill="757070"/>
            <w:noWrap/>
            <w:vAlign w:val="center"/>
          </w:tcPr>
          <w:p w14:paraId="481BD92D">
            <w:pPr>
              <w:tabs>
                <w:tab w:val="left" w:pos="6510"/>
              </w:tabs>
              <w:adjustRightInd w:val="0"/>
              <w:snapToGrid w:val="0"/>
              <w:ind w:firstLine="361"/>
              <w:jc w:val="center"/>
              <w:rPr>
                <w:rFonts w:ascii="宋体" w:hAnsi="宋体"/>
                <w:b/>
                <w:szCs w:val="21"/>
              </w:rPr>
            </w:pPr>
            <w:r>
              <w:rPr>
                <w:rFonts w:hint="eastAsia" w:ascii="宋体" w:hAnsi="宋体"/>
                <w:b/>
                <w:szCs w:val="21"/>
              </w:rPr>
              <w:t>应对挑战的措施和目标</w:t>
            </w:r>
          </w:p>
        </w:tc>
      </w:tr>
      <w:tr w14:paraId="00CF7B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cantSplit/>
          <w:trHeight w:val="333" w:hRule="atLeast"/>
          <w:jc w:val="center"/>
        </w:trPr>
        <w:tc>
          <w:tcPr>
            <w:tcW w:w="724" w:type="dxa"/>
            <w:vMerge w:val="continue"/>
            <w:tcBorders>
              <w:top w:val="single" w:color="auto" w:sz="6" w:space="0"/>
              <w:bottom w:val="single" w:color="auto" w:sz="6" w:space="0"/>
            </w:tcBorders>
            <w:shd w:val="clear" w:color="auto" w:fill="757070"/>
            <w:noWrap/>
            <w:vAlign w:val="center"/>
          </w:tcPr>
          <w:p w14:paraId="6F86A894">
            <w:pPr>
              <w:adjustRightInd w:val="0"/>
              <w:snapToGrid w:val="0"/>
              <w:jc w:val="center"/>
              <w:rPr>
                <w:rFonts w:ascii="宋体" w:hAnsi="宋体"/>
                <w:b/>
                <w:szCs w:val="21"/>
              </w:rPr>
            </w:pPr>
          </w:p>
        </w:tc>
        <w:tc>
          <w:tcPr>
            <w:tcW w:w="1884" w:type="dxa"/>
            <w:vMerge w:val="continue"/>
            <w:tcBorders>
              <w:top w:val="single" w:color="auto" w:sz="6" w:space="0"/>
              <w:bottom w:val="single" w:color="auto" w:sz="6" w:space="0"/>
            </w:tcBorders>
            <w:shd w:val="clear" w:color="auto" w:fill="757070"/>
            <w:noWrap/>
            <w:vAlign w:val="center"/>
          </w:tcPr>
          <w:p w14:paraId="1BFE2D21">
            <w:pPr>
              <w:adjustRightInd w:val="0"/>
              <w:snapToGrid w:val="0"/>
              <w:ind w:firstLine="361"/>
              <w:jc w:val="center"/>
              <w:rPr>
                <w:rFonts w:ascii="宋体" w:hAnsi="宋体"/>
                <w:b/>
                <w:szCs w:val="21"/>
              </w:rPr>
            </w:pPr>
          </w:p>
        </w:tc>
        <w:tc>
          <w:tcPr>
            <w:tcW w:w="3868" w:type="dxa"/>
            <w:tcBorders>
              <w:top w:val="single" w:color="auto" w:sz="6" w:space="0"/>
              <w:bottom w:val="single" w:color="auto" w:sz="6" w:space="0"/>
            </w:tcBorders>
            <w:shd w:val="clear" w:color="auto" w:fill="757070"/>
            <w:noWrap/>
            <w:vAlign w:val="center"/>
          </w:tcPr>
          <w:p w14:paraId="01160C1B">
            <w:pPr>
              <w:adjustRightInd w:val="0"/>
              <w:snapToGrid w:val="0"/>
              <w:ind w:firstLine="361"/>
              <w:jc w:val="center"/>
              <w:rPr>
                <w:rFonts w:ascii="宋体" w:hAnsi="宋体"/>
                <w:b/>
                <w:szCs w:val="21"/>
              </w:rPr>
            </w:pPr>
            <w:r>
              <w:rPr>
                <w:rFonts w:hint="eastAsia" w:ascii="宋体" w:hAnsi="宋体"/>
                <w:b/>
                <w:szCs w:val="21"/>
              </w:rPr>
              <w:t>措施</w:t>
            </w:r>
          </w:p>
        </w:tc>
        <w:tc>
          <w:tcPr>
            <w:tcW w:w="2657" w:type="dxa"/>
            <w:tcBorders>
              <w:top w:val="single" w:color="auto" w:sz="6" w:space="0"/>
              <w:bottom w:val="single" w:color="auto" w:sz="6" w:space="0"/>
            </w:tcBorders>
            <w:shd w:val="clear" w:color="auto" w:fill="757070"/>
            <w:noWrap/>
            <w:vAlign w:val="center"/>
          </w:tcPr>
          <w:p w14:paraId="45DB155D">
            <w:pPr>
              <w:adjustRightInd w:val="0"/>
              <w:snapToGrid w:val="0"/>
              <w:ind w:firstLine="361"/>
              <w:jc w:val="center"/>
              <w:rPr>
                <w:rFonts w:ascii="宋体" w:hAnsi="宋体"/>
                <w:b/>
                <w:szCs w:val="21"/>
              </w:rPr>
            </w:pPr>
            <w:r>
              <w:rPr>
                <w:rFonts w:hint="eastAsia" w:ascii="宋体" w:hAnsi="宋体"/>
                <w:b/>
                <w:szCs w:val="21"/>
              </w:rPr>
              <w:t>目标</w:t>
            </w:r>
          </w:p>
        </w:tc>
      </w:tr>
      <w:tr w14:paraId="77445B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cantSplit/>
          <w:trHeight w:val="959" w:hRule="atLeast"/>
          <w:jc w:val="center"/>
        </w:trPr>
        <w:tc>
          <w:tcPr>
            <w:tcW w:w="724" w:type="dxa"/>
            <w:vMerge w:val="restart"/>
            <w:tcBorders>
              <w:top w:val="single" w:color="auto" w:sz="6" w:space="0"/>
            </w:tcBorders>
            <w:noWrap/>
            <w:vAlign w:val="center"/>
          </w:tcPr>
          <w:p w14:paraId="32BE3C4B">
            <w:pPr>
              <w:adjustRightInd w:val="0"/>
              <w:snapToGrid w:val="0"/>
              <w:jc w:val="center"/>
              <w:rPr>
                <w:rFonts w:ascii="宋体" w:hAnsi="宋体"/>
                <w:szCs w:val="21"/>
              </w:rPr>
            </w:pPr>
            <w:r>
              <w:rPr>
                <w:rFonts w:hint="eastAsia" w:ascii="宋体" w:hAnsi="宋体"/>
                <w:kern w:val="2"/>
                <w:szCs w:val="21"/>
              </w:rPr>
              <w:t>短期</w:t>
            </w:r>
          </w:p>
        </w:tc>
        <w:tc>
          <w:tcPr>
            <w:tcW w:w="1884" w:type="dxa"/>
            <w:tcBorders>
              <w:top w:val="single" w:color="auto" w:sz="6" w:space="0"/>
            </w:tcBorders>
            <w:noWrap/>
            <w:vAlign w:val="center"/>
          </w:tcPr>
          <w:p w14:paraId="471BD839">
            <w:pPr>
              <w:adjustRightInd w:val="0"/>
              <w:snapToGrid w:val="0"/>
              <w:rPr>
                <w:rFonts w:ascii="宋体" w:hAnsi="宋体"/>
                <w:szCs w:val="21"/>
              </w:rPr>
            </w:pPr>
            <w:r>
              <w:rPr>
                <w:rFonts w:hint="eastAsia" w:ascii="宋体" w:hAnsi="宋体"/>
                <w:szCs w:val="21"/>
              </w:rPr>
              <w:t>原材料及能源价格上涨</w:t>
            </w:r>
          </w:p>
        </w:tc>
        <w:tc>
          <w:tcPr>
            <w:tcW w:w="3868" w:type="dxa"/>
            <w:tcBorders>
              <w:top w:val="single" w:color="auto" w:sz="6" w:space="0"/>
            </w:tcBorders>
            <w:noWrap/>
            <w:vAlign w:val="center"/>
          </w:tcPr>
          <w:p w14:paraId="1242D2EC">
            <w:pPr>
              <w:adjustRightInd w:val="0"/>
              <w:snapToGrid w:val="0"/>
              <w:rPr>
                <w:rFonts w:ascii="宋体" w:hAnsi="宋体"/>
                <w:szCs w:val="21"/>
              </w:rPr>
            </w:pPr>
            <w:r>
              <w:rPr>
                <w:rFonts w:hint="eastAsia" w:ascii="宋体" w:hAnsi="宋体"/>
                <w:szCs w:val="21"/>
              </w:rPr>
              <w:t>节约资源，增收节支，与供应商达成战略合作伙伴关系，最大限度降低采购成本，增强企业成本控制能力。</w:t>
            </w:r>
          </w:p>
        </w:tc>
        <w:tc>
          <w:tcPr>
            <w:tcW w:w="2657" w:type="dxa"/>
            <w:tcBorders>
              <w:top w:val="single" w:color="auto" w:sz="6" w:space="0"/>
            </w:tcBorders>
            <w:noWrap/>
            <w:vAlign w:val="center"/>
          </w:tcPr>
          <w:p w14:paraId="28A25930">
            <w:pPr>
              <w:tabs>
                <w:tab w:val="left" w:pos="2810"/>
              </w:tabs>
              <w:adjustRightInd w:val="0"/>
              <w:snapToGrid w:val="0"/>
              <w:rPr>
                <w:rFonts w:ascii="宋体" w:hAnsi="宋体"/>
                <w:szCs w:val="21"/>
                <w:highlight w:val="yellow"/>
              </w:rPr>
            </w:pPr>
            <w:r>
              <w:rPr>
                <w:rFonts w:ascii="宋体" w:hAnsi="宋体"/>
                <w:szCs w:val="21"/>
              </w:rPr>
              <w:t>到202</w:t>
            </w:r>
            <w:r>
              <w:rPr>
                <w:rFonts w:hint="eastAsia" w:ascii="宋体" w:hAnsi="宋体"/>
                <w:szCs w:val="21"/>
                <w:lang w:val="en-US" w:eastAsia="zh-CN"/>
              </w:rPr>
              <w:t>6</w:t>
            </w:r>
            <w:r>
              <w:rPr>
                <w:rFonts w:ascii="宋体" w:hAnsi="宋体"/>
                <w:szCs w:val="21"/>
              </w:rPr>
              <w:t>年，力争</w:t>
            </w:r>
            <w:r>
              <w:rPr>
                <w:rFonts w:hint="eastAsia" w:ascii="宋体" w:hAnsi="宋体"/>
                <w:szCs w:val="21"/>
              </w:rPr>
              <w:t>将能源消耗减少</w:t>
            </w:r>
            <w:r>
              <w:rPr>
                <w:rFonts w:hint="eastAsia" w:ascii="宋体" w:hAnsi="宋体"/>
                <w:szCs w:val="21"/>
                <w:lang w:val="en-US" w:eastAsia="zh-CN"/>
              </w:rPr>
              <w:t>5</w:t>
            </w:r>
            <w:r>
              <w:rPr>
                <w:rFonts w:hint="eastAsia" w:ascii="宋体" w:hAnsi="宋体"/>
                <w:szCs w:val="21"/>
              </w:rPr>
              <w:t>%</w:t>
            </w:r>
          </w:p>
        </w:tc>
      </w:tr>
      <w:tr w14:paraId="04402C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cantSplit/>
          <w:trHeight w:val="804" w:hRule="atLeast"/>
          <w:jc w:val="center"/>
        </w:trPr>
        <w:tc>
          <w:tcPr>
            <w:tcW w:w="724" w:type="dxa"/>
            <w:vMerge w:val="continue"/>
            <w:noWrap/>
            <w:vAlign w:val="center"/>
          </w:tcPr>
          <w:p w14:paraId="1481DD3A">
            <w:pPr>
              <w:adjustRightInd w:val="0"/>
              <w:snapToGrid w:val="0"/>
              <w:jc w:val="center"/>
              <w:rPr>
                <w:rFonts w:ascii="宋体" w:hAnsi="宋体"/>
                <w:kern w:val="2"/>
                <w:szCs w:val="21"/>
              </w:rPr>
            </w:pPr>
          </w:p>
        </w:tc>
        <w:tc>
          <w:tcPr>
            <w:tcW w:w="1884" w:type="dxa"/>
            <w:noWrap/>
            <w:vAlign w:val="center"/>
          </w:tcPr>
          <w:p w14:paraId="5510BE54">
            <w:pPr>
              <w:adjustRightInd w:val="0"/>
              <w:snapToGrid w:val="0"/>
              <w:rPr>
                <w:rFonts w:ascii="宋体" w:hAnsi="宋体"/>
                <w:kern w:val="2"/>
                <w:szCs w:val="21"/>
              </w:rPr>
            </w:pPr>
            <w:r>
              <w:rPr>
                <w:rFonts w:hint="eastAsia" w:ascii="宋体" w:hAnsi="宋体" w:cs="宋体"/>
                <w:szCs w:val="21"/>
              </w:rPr>
              <w:t>同行业竞争激烈</w:t>
            </w:r>
          </w:p>
        </w:tc>
        <w:tc>
          <w:tcPr>
            <w:tcW w:w="3868" w:type="dxa"/>
            <w:noWrap/>
            <w:vAlign w:val="center"/>
          </w:tcPr>
          <w:p w14:paraId="7E62888F">
            <w:pPr>
              <w:spacing w:line="280" w:lineRule="exact"/>
              <w:rPr>
                <w:rFonts w:ascii="宋体" w:hAnsi="宋体" w:cs="宋体"/>
                <w:szCs w:val="21"/>
              </w:rPr>
            </w:pPr>
            <w:r>
              <w:rPr>
                <w:rFonts w:hint="eastAsia" w:ascii="宋体" w:hAnsi="宋体" w:cs="宋体"/>
                <w:szCs w:val="21"/>
              </w:rPr>
              <w:t>加强对竞争对手的研究；实施战略布点和低成本扩张。</w:t>
            </w:r>
          </w:p>
        </w:tc>
        <w:tc>
          <w:tcPr>
            <w:tcW w:w="2657" w:type="dxa"/>
            <w:noWrap/>
            <w:vAlign w:val="center"/>
          </w:tcPr>
          <w:p w14:paraId="251DD34E">
            <w:pPr>
              <w:adjustRightInd w:val="0"/>
              <w:snapToGrid w:val="0"/>
              <w:rPr>
                <w:rFonts w:ascii="宋体" w:hAnsi="宋体"/>
                <w:szCs w:val="21"/>
                <w:highlight w:val="yellow"/>
              </w:rPr>
            </w:pPr>
            <w:r>
              <w:rPr>
                <w:rFonts w:hint="eastAsia" w:ascii="宋体" w:hAnsi="宋体"/>
                <w:color w:val="000000"/>
                <w:szCs w:val="21"/>
              </w:rPr>
              <w:t>继续开拓新的市场</w:t>
            </w:r>
          </w:p>
        </w:tc>
      </w:tr>
      <w:tr w14:paraId="63515F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cantSplit/>
          <w:trHeight w:val="551" w:hRule="atLeast"/>
          <w:jc w:val="center"/>
        </w:trPr>
        <w:tc>
          <w:tcPr>
            <w:tcW w:w="724" w:type="dxa"/>
            <w:vMerge w:val="continue"/>
            <w:noWrap/>
            <w:vAlign w:val="center"/>
          </w:tcPr>
          <w:p w14:paraId="2D04A486">
            <w:pPr>
              <w:adjustRightInd w:val="0"/>
              <w:snapToGrid w:val="0"/>
              <w:jc w:val="center"/>
              <w:rPr>
                <w:rFonts w:ascii="宋体" w:hAnsi="宋体"/>
                <w:kern w:val="2"/>
                <w:szCs w:val="21"/>
              </w:rPr>
            </w:pPr>
          </w:p>
        </w:tc>
        <w:tc>
          <w:tcPr>
            <w:tcW w:w="1884" w:type="dxa"/>
            <w:noWrap/>
            <w:vAlign w:val="center"/>
          </w:tcPr>
          <w:p w14:paraId="2628648D">
            <w:pPr>
              <w:adjustRightInd w:val="0"/>
              <w:snapToGrid w:val="0"/>
              <w:rPr>
                <w:rFonts w:ascii="宋体" w:hAnsi="宋体"/>
                <w:kern w:val="2"/>
                <w:szCs w:val="21"/>
              </w:rPr>
            </w:pPr>
            <w:r>
              <w:rPr>
                <w:rFonts w:hint="eastAsia" w:ascii="宋体" w:hAnsi="宋体"/>
                <w:kern w:val="2"/>
                <w:szCs w:val="21"/>
              </w:rPr>
              <w:t>熟练工人技术工人短缺</w:t>
            </w:r>
          </w:p>
        </w:tc>
        <w:tc>
          <w:tcPr>
            <w:tcW w:w="3868" w:type="dxa"/>
            <w:noWrap/>
            <w:vAlign w:val="center"/>
          </w:tcPr>
          <w:p w14:paraId="76A62DB7">
            <w:pPr>
              <w:adjustRightInd w:val="0"/>
              <w:snapToGrid w:val="0"/>
              <w:rPr>
                <w:rFonts w:ascii="宋体" w:hAnsi="宋体" w:cs="宋体"/>
                <w:szCs w:val="21"/>
              </w:rPr>
            </w:pPr>
            <w:r>
              <w:rPr>
                <w:rFonts w:hint="eastAsia" w:ascii="宋体" w:hAnsi="宋体" w:cs="宋体"/>
                <w:szCs w:val="21"/>
              </w:rPr>
              <w:t>建立长效激励机制，提高员工满意度。</w:t>
            </w:r>
          </w:p>
        </w:tc>
        <w:tc>
          <w:tcPr>
            <w:tcW w:w="2657" w:type="dxa"/>
            <w:noWrap/>
            <w:vAlign w:val="center"/>
          </w:tcPr>
          <w:p w14:paraId="6034C408">
            <w:pPr>
              <w:adjustRightInd w:val="0"/>
              <w:snapToGrid w:val="0"/>
              <w:rPr>
                <w:rFonts w:ascii="宋体" w:hAnsi="宋体"/>
                <w:color w:val="000000"/>
                <w:szCs w:val="21"/>
                <w:highlight w:val="yellow"/>
              </w:rPr>
            </w:pPr>
            <w:r>
              <w:rPr>
                <w:rFonts w:hint="eastAsia" w:ascii="宋体" w:hAnsi="宋体" w:cs="宋体"/>
                <w:szCs w:val="21"/>
              </w:rPr>
              <w:t>熟练工比例达到85%</w:t>
            </w:r>
          </w:p>
        </w:tc>
      </w:tr>
      <w:tr w14:paraId="4E2145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cantSplit/>
          <w:trHeight w:val="20" w:hRule="atLeast"/>
          <w:jc w:val="center"/>
        </w:trPr>
        <w:tc>
          <w:tcPr>
            <w:tcW w:w="724" w:type="dxa"/>
            <w:vMerge w:val="restart"/>
            <w:noWrap/>
            <w:vAlign w:val="center"/>
          </w:tcPr>
          <w:p w14:paraId="43BCBC8D">
            <w:pPr>
              <w:adjustRightInd w:val="0"/>
              <w:snapToGrid w:val="0"/>
              <w:jc w:val="center"/>
              <w:rPr>
                <w:rFonts w:ascii="宋体" w:hAnsi="宋体"/>
                <w:kern w:val="2"/>
                <w:szCs w:val="21"/>
              </w:rPr>
            </w:pPr>
            <w:r>
              <w:rPr>
                <w:rFonts w:hint="eastAsia" w:ascii="宋体" w:hAnsi="宋体"/>
                <w:kern w:val="2"/>
                <w:szCs w:val="21"/>
              </w:rPr>
              <w:t>长期</w:t>
            </w:r>
          </w:p>
        </w:tc>
        <w:tc>
          <w:tcPr>
            <w:tcW w:w="1884" w:type="dxa"/>
            <w:noWrap/>
            <w:vAlign w:val="center"/>
          </w:tcPr>
          <w:p w14:paraId="3A9A5573">
            <w:pPr>
              <w:adjustRightInd w:val="0"/>
              <w:snapToGrid w:val="0"/>
              <w:rPr>
                <w:rFonts w:ascii="宋体" w:hAnsi="宋体"/>
                <w:kern w:val="2"/>
                <w:szCs w:val="21"/>
              </w:rPr>
            </w:pPr>
            <w:r>
              <w:rPr>
                <w:rFonts w:hint="eastAsia" w:ascii="宋体" w:hAnsi="宋体"/>
                <w:kern w:val="2"/>
                <w:szCs w:val="21"/>
              </w:rPr>
              <w:t>企业国际化潮流来临，对人才素质要求越来越高</w:t>
            </w:r>
          </w:p>
        </w:tc>
        <w:tc>
          <w:tcPr>
            <w:tcW w:w="3868" w:type="dxa"/>
            <w:noWrap/>
            <w:vAlign w:val="center"/>
          </w:tcPr>
          <w:p w14:paraId="4DCCE9A7">
            <w:pPr>
              <w:adjustRightInd w:val="0"/>
              <w:snapToGrid w:val="0"/>
              <w:rPr>
                <w:rFonts w:ascii="宋体" w:hAnsi="宋体" w:cs="宋体"/>
              </w:rPr>
            </w:pPr>
            <w:r>
              <w:rPr>
                <w:rFonts w:hint="eastAsia"/>
              </w:rPr>
              <w:t>实施人才战略，加强人才培训力度。</w:t>
            </w:r>
          </w:p>
        </w:tc>
        <w:tc>
          <w:tcPr>
            <w:tcW w:w="2657" w:type="dxa"/>
            <w:vMerge w:val="restart"/>
            <w:noWrap/>
            <w:vAlign w:val="center"/>
          </w:tcPr>
          <w:p w14:paraId="492C9372">
            <w:pPr>
              <w:adjustRightInd w:val="0"/>
              <w:snapToGrid w:val="0"/>
              <w:rPr>
                <w:rFonts w:ascii="宋体" w:hAnsi="宋体"/>
                <w:color w:val="000000"/>
                <w:szCs w:val="21"/>
                <w:highlight w:val="yellow"/>
              </w:rPr>
            </w:pPr>
            <w:r>
              <w:rPr>
                <w:rFonts w:ascii="宋体" w:hAnsi="宋体"/>
                <w:color w:val="000000"/>
                <w:szCs w:val="21"/>
              </w:rPr>
              <w:t>到20</w:t>
            </w:r>
            <w:r>
              <w:rPr>
                <w:rFonts w:hint="eastAsia" w:ascii="宋体" w:hAnsi="宋体"/>
                <w:color w:val="000000"/>
                <w:szCs w:val="21"/>
                <w:lang w:val="en-US" w:eastAsia="zh-CN"/>
              </w:rPr>
              <w:t>30</w:t>
            </w:r>
            <w:r>
              <w:rPr>
                <w:rFonts w:ascii="宋体" w:hAnsi="宋体"/>
                <w:color w:val="000000"/>
                <w:szCs w:val="21"/>
              </w:rPr>
              <w:t>年，</w:t>
            </w:r>
            <w:r>
              <w:rPr>
                <w:rFonts w:hint="eastAsia" w:ascii="宋体" w:hAnsi="宋体"/>
                <w:color w:val="000000"/>
                <w:szCs w:val="21"/>
              </w:rPr>
              <w:t>实现科技类人员比例</w:t>
            </w:r>
            <w:r>
              <w:rPr>
                <w:rFonts w:hint="eastAsia" w:ascii="宋体" w:hAnsi="宋体"/>
                <w:color w:val="000000"/>
                <w:szCs w:val="21"/>
                <w:lang w:val="en-US" w:eastAsia="zh-CN"/>
              </w:rPr>
              <w:t>30</w:t>
            </w:r>
            <w:r>
              <w:rPr>
                <w:rFonts w:hint="eastAsia" w:ascii="宋体" w:hAnsi="宋体"/>
                <w:color w:val="000000"/>
                <w:szCs w:val="21"/>
              </w:rPr>
              <w:t>%以上，研发项目达</w:t>
            </w:r>
            <w:r>
              <w:rPr>
                <w:rFonts w:hint="eastAsia" w:ascii="宋体" w:hAnsi="宋体"/>
                <w:color w:val="000000"/>
                <w:szCs w:val="21"/>
                <w:lang w:val="en-US" w:eastAsia="zh-CN"/>
              </w:rPr>
              <w:t>20</w:t>
            </w:r>
            <w:r>
              <w:rPr>
                <w:rFonts w:hint="eastAsia" w:ascii="宋体" w:hAnsi="宋体"/>
                <w:color w:val="000000"/>
                <w:szCs w:val="21"/>
              </w:rPr>
              <w:t>项</w:t>
            </w:r>
          </w:p>
        </w:tc>
      </w:tr>
      <w:tr w14:paraId="3BD022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cantSplit/>
          <w:trHeight w:val="738" w:hRule="atLeast"/>
          <w:jc w:val="center"/>
        </w:trPr>
        <w:tc>
          <w:tcPr>
            <w:tcW w:w="724" w:type="dxa"/>
            <w:vMerge w:val="continue"/>
            <w:shd w:val="clear" w:color="auto" w:fill="E0E0E0"/>
            <w:noWrap/>
            <w:vAlign w:val="center"/>
          </w:tcPr>
          <w:p w14:paraId="6D81499B">
            <w:pPr>
              <w:adjustRightInd w:val="0"/>
              <w:snapToGrid w:val="0"/>
              <w:rPr>
                <w:rFonts w:ascii="宋体" w:hAnsi="宋体"/>
                <w:kern w:val="2"/>
                <w:szCs w:val="21"/>
              </w:rPr>
            </w:pPr>
          </w:p>
        </w:tc>
        <w:tc>
          <w:tcPr>
            <w:tcW w:w="1884" w:type="dxa"/>
            <w:noWrap/>
            <w:vAlign w:val="center"/>
          </w:tcPr>
          <w:p w14:paraId="13F1ACDB">
            <w:pPr>
              <w:adjustRightInd w:val="0"/>
              <w:snapToGrid w:val="0"/>
              <w:rPr>
                <w:rFonts w:ascii="宋体" w:hAnsi="宋体"/>
                <w:kern w:val="2"/>
                <w:szCs w:val="21"/>
              </w:rPr>
            </w:pPr>
            <w:r>
              <w:rPr>
                <w:rFonts w:hint="eastAsia" w:ascii="宋体" w:hAnsi="宋体"/>
                <w:kern w:val="2"/>
                <w:szCs w:val="21"/>
              </w:rPr>
              <w:t>同行业企业越来越多</w:t>
            </w:r>
          </w:p>
        </w:tc>
        <w:tc>
          <w:tcPr>
            <w:tcW w:w="3868" w:type="dxa"/>
            <w:noWrap/>
            <w:vAlign w:val="center"/>
          </w:tcPr>
          <w:p w14:paraId="3981169D">
            <w:pPr>
              <w:adjustRightInd w:val="0"/>
              <w:snapToGrid w:val="0"/>
              <w:rPr>
                <w:rFonts w:ascii="宋体" w:hAnsi="宋体"/>
                <w:szCs w:val="21"/>
              </w:rPr>
            </w:pPr>
            <w:r>
              <w:rPr>
                <w:rFonts w:hint="eastAsia" w:ascii="宋体" w:hAnsi="宋体"/>
                <w:szCs w:val="21"/>
              </w:rPr>
              <w:t>加大技术研发能力，研发具有自主知识产权的核心技术。</w:t>
            </w:r>
          </w:p>
        </w:tc>
        <w:tc>
          <w:tcPr>
            <w:tcW w:w="2657" w:type="dxa"/>
            <w:vMerge w:val="continue"/>
            <w:noWrap/>
            <w:vAlign w:val="center"/>
          </w:tcPr>
          <w:p w14:paraId="284D62B3">
            <w:pPr>
              <w:adjustRightInd w:val="0"/>
              <w:snapToGrid w:val="0"/>
              <w:rPr>
                <w:rFonts w:ascii="宋体" w:hAnsi="宋体"/>
                <w:szCs w:val="21"/>
                <w:highlight w:val="yellow"/>
              </w:rPr>
            </w:pPr>
          </w:p>
        </w:tc>
      </w:tr>
    </w:tbl>
    <w:p w14:paraId="3AC6832C">
      <w:pPr>
        <w:spacing w:line="240" w:lineRule="exact"/>
        <w:ind w:firstLine="472" w:firstLineChars="196"/>
        <w:rPr>
          <w:rFonts w:ascii="宋体" w:hAnsi="宋体"/>
          <w:b/>
        </w:rPr>
      </w:pPr>
    </w:p>
    <w:p w14:paraId="6CA31050">
      <w:pPr>
        <w:rPr>
          <w:rFonts w:ascii="宋体" w:hAnsi="宋体"/>
          <w:b/>
        </w:rPr>
      </w:pPr>
    </w:p>
    <w:p w14:paraId="46B5CB64">
      <w:pPr>
        <w:spacing w:line="460" w:lineRule="exact"/>
        <w:ind w:firstLine="472" w:firstLineChars="196"/>
        <w:rPr>
          <w:rFonts w:ascii="宋体" w:hAnsi="宋体"/>
          <w:b/>
        </w:rPr>
      </w:pPr>
      <w:r>
        <w:rPr>
          <w:rFonts w:hint="eastAsia" w:ascii="宋体" w:hAnsi="宋体"/>
          <w:b/>
        </w:rPr>
        <w:t>b）各个关键绩效指标的战略受益方</w:t>
      </w:r>
    </w:p>
    <w:p w14:paraId="47489EC2">
      <w:pPr>
        <w:spacing w:line="460" w:lineRule="exact"/>
        <w:ind w:firstLine="480" w:firstLineChars="200"/>
        <w:rPr>
          <w:rFonts w:ascii="宋体" w:hAnsi="宋体"/>
        </w:rPr>
      </w:pPr>
      <w:r>
        <w:rPr>
          <w:rFonts w:hint="eastAsia" w:ascii="宋体" w:hAnsi="宋体"/>
        </w:rPr>
        <w:t>作为一家负责任的企业，公司不仅要满足董事会的利益诉求，提高员工的工资福利和生活水平，同时还肩负着企业公民应尽的职责。</w:t>
      </w:r>
    </w:p>
    <w:p w14:paraId="47FF53BD">
      <w:pPr>
        <w:spacing w:line="360" w:lineRule="auto"/>
        <w:jc w:val="center"/>
        <w:rPr>
          <w:rFonts w:ascii="宋体" w:hAnsi="宋体"/>
          <w:b/>
        </w:rPr>
      </w:pPr>
      <w:r>
        <w:rPr>
          <w:rFonts w:hint="eastAsia" w:ascii="宋体" w:hAnsi="宋体"/>
          <w:b/>
        </w:rPr>
        <w:t>表4.2-9 战略指标兼顾五大相关方</w:t>
      </w:r>
    </w:p>
    <w:tbl>
      <w:tblPr>
        <w:tblStyle w:val="22"/>
        <w:tblW w:w="845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57" w:type="dxa"/>
          <w:left w:w="108" w:type="dxa"/>
          <w:bottom w:w="57" w:type="dxa"/>
          <w:right w:w="108" w:type="dxa"/>
        </w:tblCellMar>
      </w:tblPr>
      <w:tblGrid>
        <w:gridCol w:w="2376"/>
        <w:gridCol w:w="6083"/>
      </w:tblGrid>
      <w:tr w14:paraId="19E613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cantSplit/>
          <w:trHeight w:val="385" w:hRule="atLeast"/>
          <w:jc w:val="center"/>
        </w:trPr>
        <w:tc>
          <w:tcPr>
            <w:tcW w:w="2376" w:type="dxa"/>
            <w:tcBorders>
              <w:top w:val="single" w:color="auto" w:sz="12" w:space="0"/>
              <w:bottom w:val="single" w:color="auto" w:sz="6" w:space="0"/>
            </w:tcBorders>
            <w:shd w:val="clear" w:color="auto" w:fill="757070"/>
            <w:noWrap/>
            <w:vAlign w:val="center"/>
          </w:tcPr>
          <w:p w14:paraId="293C5CA4">
            <w:pPr>
              <w:spacing w:line="276" w:lineRule="auto"/>
              <w:jc w:val="center"/>
              <w:rPr>
                <w:rFonts w:ascii="宋体" w:hAnsi="宋体"/>
                <w:b/>
                <w:kern w:val="2"/>
                <w:szCs w:val="21"/>
              </w:rPr>
            </w:pPr>
            <w:r>
              <w:rPr>
                <w:rFonts w:hint="eastAsia" w:ascii="宋体" w:hAnsi="宋体"/>
                <w:b/>
                <w:kern w:val="2"/>
                <w:szCs w:val="21"/>
              </w:rPr>
              <w:t>相关方</w:t>
            </w:r>
          </w:p>
        </w:tc>
        <w:tc>
          <w:tcPr>
            <w:tcW w:w="6083" w:type="dxa"/>
            <w:tcBorders>
              <w:top w:val="single" w:color="auto" w:sz="12" w:space="0"/>
              <w:bottom w:val="single" w:color="auto" w:sz="6" w:space="0"/>
            </w:tcBorders>
            <w:shd w:val="clear" w:color="auto" w:fill="757070"/>
            <w:noWrap/>
            <w:vAlign w:val="center"/>
          </w:tcPr>
          <w:p w14:paraId="0BBAD766">
            <w:pPr>
              <w:spacing w:line="276" w:lineRule="auto"/>
              <w:jc w:val="center"/>
              <w:rPr>
                <w:rFonts w:ascii="宋体" w:hAnsi="宋体"/>
                <w:b/>
                <w:kern w:val="2"/>
                <w:szCs w:val="21"/>
              </w:rPr>
            </w:pPr>
            <w:r>
              <w:rPr>
                <w:rFonts w:hint="eastAsia" w:ascii="宋体" w:hAnsi="宋体"/>
                <w:b/>
                <w:kern w:val="2"/>
                <w:szCs w:val="21"/>
              </w:rPr>
              <w:t>关键战略指标</w:t>
            </w:r>
          </w:p>
        </w:tc>
      </w:tr>
      <w:tr w14:paraId="194325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cantSplit/>
          <w:trHeight w:val="380" w:hRule="atLeast"/>
          <w:jc w:val="center"/>
        </w:trPr>
        <w:tc>
          <w:tcPr>
            <w:tcW w:w="2376" w:type="dxa"/>
            <w:tcBorders>
              <w:top w:val="single" w:color="auto" w:sz="6" w:space="0"/>
            </w:tcBorders>
            <w:noWrap/>
            <w:vAlign w:val="center"/>
          </w:tcPr>
          <w:p w14:paraId="2A7515D7">
            <w:pPr>
              <w:spacing w:line="276" w:lineRule="auto"/>
              <w:jc w:val="center"/>
              <w:rPr>
                <w:rFonts w:ascii="宋体" w:hAnsi="宋体"/>
                <w:kern w:val="2"/>
                <w:szCs w:val="21"/>
              </w:rPr>
            </w:pPr>
            <w:r>
              <w:rPr>
                <w:rFonts w:hint="eastAsia" w:ascii="宋体" w:hAnsi="宋体"/>
                <w:kern w:val="2"/>
                <w:szCs w:val="21"/>
              </w:rPr>
              <w:t>董事会</w:t>
            </w:r>
          </w:p>
        </w:tc>
        <w:tc>
          <w:tcPr>
            <w:tcW w:w="6083" w:type="dxa"/>
            <w:tcBorders>
              <w:top w:val="single" w:color="auto" w:sz="6" w:space="0"/>
            </w:tcBorders>
            <w:noWrap/>
            <w:vAlign w:val="center"/>
          </w:tcPr>
          <w:p w14:paraId="68D39D37">
            <w:pPr>
              <w:spacing w:line="276" w:lineRule="auto"/>
              <w:rPr>
                <w:rFonts w:ascii="宋体" w:hAnsi="宋体"/>
                <w:kern w:val="2"/>
                <w:szCs w:val="21"/>
              </w:rPr>
            </w:pPr>
            <w:r>
              <w:rPr>
                <w:rFonts w:hint="eastAsia" w:ascii="宋体" w:hAnsi="宋体"/>
                <w:kern w:val="2"/>
                <w:szCs w:val="21"/>
              </w:rPr>
              <w:t>主营业务收入、净利润、净资产收益率、资产负债率、应收账款。</w:t>
            </w:r>
          </w:p>
        </w:tc>
      </w:tr>
      <w:tr w14:paraId="6734CB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cantSplit/>
          <w:trHeight w:val="380" w:hRule="atLeast"/>
          <w:jc w:val="center"/>
        </w:trPr>
        <w:tc>
          <w:tcPr>
            <w:tcW w:w="2376" w:type="dxa"/>
            <w:noWrap/>
            <w:vAlign w:val="center"/>
          </w:tcPr>
          <w:p w14:paraId="3FF2C297">
            <w:pPr>
              <w:spacing w:line="276" w:lineRule="auto"/>
              <w:jc w:val="center"/>
              <w:rPr>
                <w:rFonts w:ascii="宋体" w:hAnsi="宋体"/>
                <w:kern w:val="2"/>
                <w:szCs w:val="21"/>
              </w:rPr>
            </w:pPr>
            <w:r>
              <w:rPr>
                <w:rFonts w:hint="eastAsia" w:ascii="宋体" w:hAnsi="宋体"/>
                <w:kern w:val="2"/>
                <w:szCs w:val="21"/>
              </w:rPr>
              <w:t>顾客</w:t>
            </w:r>
          </w:p>
        </w:tc>
        <w:tc>
          <w:tcPr>
            <w:tcW w:w="6083" w:type="dxa"/>
            <w:noWrap/>
            <w:vAlign w:val="center"/>
          </w:tcPr>
          <w:p w14:paraId="5F1FEF86">
            <w:pPr>
              <w:spacing w:line="276" w:lineRule="auto"/>
              <w:rPr>
                <w:rFonts w:ascii="宋体" w:hAnsi="宋体"/>
                <w:kern w:val="2"/>
                <w:szCs w:val="21"/>
              </w:rPr>
            </w:pPr>
            <w:r>
              <w:rPr>
                <w:rFonts w:hint="eastAsia" w:ascii="宋体" w:hAnsi="宋体"/>
                <w:kern w:val="2"/>
                <w:szCs w:val="21"/>
              </w:rPr>
              <w:t>用户满意度、一次性交检合格率、准时交货率、服务响应时间、市场占有率。</w:t>
            </w:r>
          </w:p>
        </w:tc>
      </w:tr>
      <w:tr w14:paraId="7AC4A5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cantSplit/>
          <w:trHeight w:val="380" w:hRule="atLeast"/>
          <w:jc w:val="center"/>
        </w:trPr>
        <w:tc>
          <w:tcPr>
            <w:tcW w:w="2376" w:type="dxa"/>
            <w:noWrap/>
            <w:vAlign w:val="center"/>
          </w:tcPr>
          <w:p w14:paraId="6F668C2C">
            <w:pPr>
              <w:spacing w:line="276" w:lineRule="auto"/>
              <w:jc w:val="center"/>
              <w:rPr>
                <w:rFonts w:ascii="宋体" w:hAnsi="宋体"/>
                <w:kern w:val="2"/>
                <w:szCs w:val="21"/>
              </w:rPr>
            </w:pPr>
            <w:r>
              <w:rPr>
                <w:rFonts w:hint="eastAsia" w:ascii="宋体" w:hAnsi="宋体"/>
                <w:kern w:val="2"/>
                <w:szCs w:val="21"/>
              </w:rPr>
              <w:t>员工</w:t>
            </w:r>
          </w:p>
        </w:tc>
        <w:tc>
          <w:tcPr>
            <w:tcW w:w="6083" w:type="dxa"/>
            <w:noWrap/>
            <w:vAlign w:val="center"/>
          </w:tcPr>
          <w:p w14:paraId="4C1C7516">
            <w:pPr>
              <w:spacing w:line="276" w:lineRule="auto"/>
              <w:rPr>
                <w:rFonts w:ascii="宋体" w:hAnsi="宋体"/>
                <w:kern w:val="2"/>
                <w:szCs w:val="21"/>
              </w:rPr>
            </w:pPr>
            <w:r>
              <w:rPr>
                <w:rFonts w:hint="eastAsia" w:ascii="宋体" w:hAnsi="宋体"/>
                <w:kern w:val="2"/>
                <w:szCs w:val="21"/>
              </w:rPr>
              <w:t>员工收入增长率、员工培训学时、工伤事故、员工满意度。</w:t>
            </w:r>
          </w:p>
        </w:tc>
      </w:tr>
      <w:tr w14:paraId="272AA2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cantSplit/>
          <w:trHeight w:val="380" w:hRule="atLeast"/>
          <w:jc w:val="center"/>
        </w:trPr>
        <w:tc>
          <w:tcPr>
            <w:tcW w:w="2376" w:type="dxa"/>
            <w:noWrap/>
            <w:vAlign w:val="center"/>
          </w:tcPr>
          <w:p w14:paraId="65130D1E">
            <w:pPr>
              <w:spacing w:line="276" w:lineRule="auto"/>
              <w:jc w:val="center"/>
              <w:rPr>
                <w:rFonts w:ascii="宋体" w:hAnsi="宋体"/>
                <w:kern w:val="2"/>
                <w:szCs w:val="21"/>
              </w:rPr>
            </w:pPr>
            <w:r>
              <w:rPr>
                <w:rFonts w:hint="eastAsia" w:ascii="宋体" w:hAnsi="宋体"/>
                <w:kern w:val="2"/>
                <w:szCs w:val="21"/>
              </w:rPr>
              <w:t>社会</w:t>
            </w:r>
          </w:p>
        </w:tc>
        <w:tc>
          <w:tcPr>
            <w:tcW w:w="6083" w:type="dxa"/>
            <w:noWrap/>
            <w:vAlign w:val="center"/>
          </w:tcPr>
          <w:p w14:paraId="26EB2D03">
            <w:pPr>
              <w:spacing w:line="276" w:lineRule="auto"/>
              <w:rPr>
                <w:rFonts w:ascii="宋体" w:hAnsi="宋体"/>
                <w:kern w:val="2"/>
                <w:szCs w:val="21"/>
              </w:rPr>
            </w:pPr>
            <w:r>
              <w:rPr>
                <w:rFonts w:hint="eastAsia" w:ascii="宋体" w:hAnsi="宋体"/>
                <w:kern w:val="2"/>
                <w:szCs w:val="21"/>
              </w:rPr>
              <w:t>上缴税额、公益投入、万元增加值综合能耗。</w:t>
            </w:r>
          </w:p>
        </w:tc>
      </w:tr>
      <w:tr w14:paraId="35330F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cantSplit/>
          <w:trHeight w:val="380" w:hRule="atLeast"/>
          <w:jc w:val="center"/>
        </w:trPr>
        <w:tc>
          <w:tcPr>
            <w:tcW w:w="2376" w:type="dxa"/>
            <w:noWrap/>
            <w:vAlign w:val="center"/>
          </w:tcPr>
          <w:p w14:paraId="299F9379">
            <w:pPr>
              <w:spacing w:line="276" w:lineRule="auto"/>
              <w:jc w:val="center"/>
              <w:rPr>
                <w:rFonts w:ascii="宋体" w:hAnsi="宋体"/>
                <w:kern w:val="2"/>
                <w:szCs w:val="21"/>
              </w:rPr>
            </w:pPr>
            <w:r>
              <w:rPr>
                <w:rFonts w:hint="eastAsia" w:ascii="宋体" w:hAnsi="宋体"/>
                <w:kern w:val="2"/>
                <w:szCs w:val="21"/>
              </w:rPr>
              <w:t>供应商及合作伙伴</w:t>
            </w:r>
          </w:p>
        </w:tc>
        <w:tc>
          <w:tcPr>
            <w:tcW w:w="6083" w:type="dxa"/>
            <w:noWrap/>
            <w:vAlign w:val="center"/>
          </w:tcPr>
          <w:p w14:paraId="69E94619">
            <w:pPr>
              <w:spacing w:line="276" w:lineRule="auto"/>
              <w:rPr>
                <w:rFonts w:ascii="宋体" w:hAnsi="宋体"/>
                <w:kern w:val="2"/>
                <w:szCs w:val="21"/>
              </w:rPr>
            </w:pPr>
            <w:r>
              <w:rPr>
                <w:rFonts w:hint="eastAsia" w:ascii="宋体" w:hAnsi="宋体"/>
                <w:kern w:val="2"/>
                <w:szCs w:val="21"/>
              </w:rPr>
              <w:t>战略供应商采购比。</w:t>
            </w:r>
          </w:p>
        </w:tc>
      </w:tr>
    </w:tbl>
    <w:p w14:paraId="02DF4EED">
      <w:pPr>
        <w:rPr>
          <w:rFonts w:ascii="宋体" w:hAnsi="宋体"/>
          <w:b/>
        </w:rPr>
      </w:pPr>
    </w:p>
    <w:p w14:paraId="4BE38BED">
      <w:pPr>
        <w:autoSpaceDE w:val="0"/>
        <w:autoSpaceDN w:val="0"/>
        <w:adjustRightInd w:val="0"/>
        <w:spacing w:line="360" w:lineRule="auto"/>
        <w:rPr>
          <w:rFonts w:ascii="宋体" w:hAnsi="宋体" w:cs="宋体"/>
          <w:b/>
        </w:rPr>
      </w:pPr>
      <w:r>
        <w:rPr>
          <w:rFonts w:hint="eastAsia" w:ascii="宋体" w:hAnsi="宋体" w:cs="宋体"/>
          <w:b/>
        </w:rPr>
        <w:t>4.2.3战略部署</w:t>
      </w:r>
    </w:p>
    <w:p w14:paraId="737BD4EB">
      <w:pPr>
        <w:autoSpaceDE w:val="0"/>
        <w:autoSpaceDN w:val="0"/>
        <w:adjustRightInd w:val="0"/>
        <w:spacing w:line="360" w:lineRule="auto"/>
        <w:rPr>
          <w:rFonts w:ascii="宋体" w:hAnsi="宋体" w:cs="宋体"/>
          <w:b/>
        </w:rPr>
      </w:pPr>
      <w:r>
        <w:rPr>
          <w:rFonts w:hint="eastAsia" w:ascii="宋体" w:hAnsi="宋体" w:cs="宋体"/>
          <w:b/>
        </w:rPr>
        <w:t>4.2.3.1提要</w:t>
      </w:r>
    </w:p>
    <w:p w14:paraId="70A439B3">
      <w:pPr>
        <w:tabs>
          <w:tab w:val="left" w:pos="6930"/>
        </w:tabs>
        <w:autoSpaceDE w:val="0"/>
        <w:autoSpaceDN w:val="0"/>
        <w:adjustRightInd w:val="0"/>
        <w:spacing w:line="360" w:lineRule="auto"/>
        <w:ind w:firstLine="480" w:firstLineChars="200"/>
        <w:rPr>
          <w:rFonts w:ascii="宋体" w:hAnsi="宋体" w:cs="Arial"/>
        </w:rPr>
      </w:pPr>
      <w:r>
        <w:rPr>
          <w:rFonts w:hint="eastAsia" w:ascii="宋体" w:hAnsi="宋体" w:cs="Arial"/>
        </w:rPr>
        <w:t>公司对战略总体规划进行了年度目标分解，并通过年度工作计划目标进行部署与考核；根据实际完成情况与关键绩效预测的对比进行调整，实现对战略实施的测量和控制并不断改进。公司建立了完善的绩效指标体系，并进行跟踪检测，以确保战略的有效实施。</w:t>
      </w:r>
    </w:p>
    <w:p w14:paraId="67466B75">
      <w:pPr>
        <w:tabs>
          <w:tab w:val="left" w:pos="6930"/>
        </w:tabs>
        <w:autoSpaceDE w:val="0"/>
        <w:autoSpaceDN w:val="0"/>
        <w:adjustRightInd w:val="0"/>
        <w:spacing w:line="20" w:lineRule="exact"/>
        <w:ind w:firstLine="420"/>
        <w:rPr>
          <w:rFonts w:ascii="宋体" w:hAnsi="宋体" w:cs="Arial"/>
        </w:rPr>
      </w:pPr>
    </w:p>
    <w:p w14:paraId="139542D8">
      <w:pPr>
        <w:spacing w:line="420" w:lineRule="exact"/>
        <w:rPr>
          <w:rFonts w:ascii="宋体" w:hAnsi="宋体"/>
          <w:b/>
        </w:rPr>
      </w:pPr>
      <w:r>
        <w:rPr>
          <w:rFonts w:hint="eastAsia" w:ascii="宋体" w:hAnsi="宋体"/>
          <w:b/>
        </w:rPr>
        <w:t>4.2.3.2 实施计划的制定与部署</w:t>
      </w:r>
    </w:p>
    <w:p w14:paraId="60321C0D">
      <w:pPr>
        <w:spacing w:line="420" w:lineRule="exact"/>
        <w:ind w:firstLine="456" w:firstLineChars="200"/>
        <w:rPr>
          <w:rFonts w:ascii="宋体" w:hAnsi="宋体"/>
          <w:b/>
          <w:spacing w:val="-6"/>
        </w:rPr>
      </w:pPr>
      <w:r>
        <w:rPr>
          <w:rFonts w:hint="eastAsia" w:ascii="宋体" w:hAnsi="宋体"/>
          <w:spacing w:val="-6"/>
        </w:rPr>
        <w:t>公司以企业的愿景使命为指导，确定中长期发展规划，并将规划分阶段、分层次进行分解，把总体目标细化为具体目标，分层次开展实施。</w:t>
      </w:r>
    </w:p>
    <w:p w14:paraId="7D6B18C7">
      <w:pPr>
        <w:spacing w:line="120" w:lineRule="exact"/>
        <w:rPr>
          <w:rFonts w:ascii="宋体" w:hAnsi="宋体"/>
          <w:b/>
        </w:rPr>
      </w:pPr>
    </w:p>
    <w:p w14:paraId="10A28661">
      <w:pPr>
        <w:spacing w:line="360" w:lineRule="auto"/>
        <w:rPr>
          <w:rFonts w:ascii="宋体" w:hAnsi="宋体"/>
          <w:b/>
        </w:rPr>
      </w:pPr>
      <w:r>
        <w:rPr>
          <w:rFonts w:hint="eastAsia" w:ascii="宋体" w:hAnsi="宋体"/>
          <w:b/>
        </w:rPr>
        <w:t>4.2.3.2.1 规划的制定与展开</w:t>
      </w:r>
    </w:p>
    <w:p w14:paraId="4609E2EC">
      <w:pPr>
        <w:spacing w:line="360" w:lineRule="auto"/>
        <w:ind w:firstLine="472" w:firstLineChars="196"/>
        <w:rPr>
          <w:rFonts w:ascii="宋体" w:hAnsi="宋体"/>
          <w:b/>
        </w:rPr>
      </w:pPr>
      <w:r>
        <w:rPr>
          <w:rFonts w:hint="eastAsia" w:ascii="宋体" w:hAnsi="宋体"/>
          <w:b/>
        </w:rPr>
        <w:t>a）战略规划的制定</w:t>
      </w:r>
    </w:p>
    <w:p w14:paraId="04534D9B">
      <w:pPr>
        <w:spacing w:line="360" w:lineRule="auto"/>
        <w:ind w:firstLine="480" w:firstLineChars="200"/>
        <w:rPr>
          <w:rFonts w:hint="eastAsia" w:ascii="宋体" w:hAnsi="宋体"/>
        </w:rPr>
      </w:pPr>
      <w:r>
        <w:rPr>
          <w:rFonts w:hint="eastAsia" w:ascii="宋体" w:hAnsi="宋体"/>
        </w:rPr>
        <w:t>公司各部门根据职能范围，确定关键绩效目标，并将规划提交公司战略委员会批准执行。</w:t>
      </w:r>
    </w:p>
    <w:p w14:paraId="418329E4">
      <w:pPr>
        <w:spacing w:line="360" w:lineRule="auto"/>
        <w:ind w:firstLine="480" w:firstLineChars="200"/>
        <w:rPr>
          <w:rFonts w:hint="eastAsia" w:ascii="宋体" w:hAnsi="宋体"/>
        </w:rPr>
      </w:pPr>
    </w:p>
    <w:p w14:paraId="7B9CE2BD">
      <w:pPr>
        <w:spacing w:line="360" w:lineRule="auto"/>
        <w:ind w:firstLine="480" w:firstLineChars="200"/>
        <w:rPr>
          <w:rFonts w:hint="eastAsia" w:ascii="宋体" w:hAnsi="宋体"/>
        </w:rPr>
      </w:pPr>
    </w:p>
    <w:p w14:paraId="0AD4ECEF">
      <w:pPr>
        <w:spacing w:before="156" w:beforeLines="50" w:line="360" w:lineRule="auto"/>
        <w:jc w:val="center"/>
        <w:rPr>
          <w:rFonts w:ascii="宋体" w:hAnsi="宋体"/>
          <w:b/>
        </w:rPr>
      </w:pPr>
      <w:r>
        <w:rPr>
          <w:rFonts w:hint="eastAsia" w:ascii="宋体" w:hAnsi="宋体"/>
          <w:b/>
        </w:rPr>
        <w:t>表4.2-10 职能战略对总体战略的支撑重要性</w:t>
      </w:r>
    </w:p>
    <w:tbl>
      <w:tblPr>
        <w:tblStyle w:val="22"/>
        <w:tblW w:w="88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7260"/>
      </w:tblGrid>
      <w:tr w14:paraId="12BF7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560" w:type="dxa"/>
            <w:shd w:val="clear" w:color="auto" w:fill="757070"/>
            <w:noWrap/>
            <w:vAlign w:val="center"/>
          </w:tcPr>
          <w:p w14:paraId="25923417">
            <w:pPr>
              <w:spacing w:line="300" w:lineRule="auto"/>
              <w:jc w:val="center"/>
              <w:rPr>
                <w:rFonts w:ascii="宋体" w:hAnsi="宋体"/>
                <w:b/>
                <w:kern w:val="2"/>
                <w:szCs w:val="21"/>
              </w:rPr>
            </w:pPr>
            <w:r>
              <w:rPr>
                <w:rFonts w:hint="eastAsia" w:ascii="宋体" w:hAnsi="宋体"/>
                <w:b/>
                <w:kern w:val="2"/>
                <w:szCs w:val="21"/>
              </w:rPr>
              <w:t>职能规划</w:t>
            </w:r>
          </w:p>
        </w:tc>
        <w:tc>
          <w:tcPr>
            <w:tcW w:w="7260" w:type="dxa"/>
            <w:shd w:val="clear" w:color="auto" w:fill="757070"/>
            <w:noWrap/>
            <w:vAlign w:val="center"/>
          </w:tcPr>
          <w:p w14:paraId="74E510B9">
            <w:pPr>
              <w:spacing w:line="300" w:lineRule="auto"/>
              <w:jc w:val="center"/>
              <w:rPr>
                <w:rFonts w:ascii="宋体" w:hAnsi="宋体"/>
                <w:b/>
                <w:kern w:val="2"/>
                <w:szCs w:val="21"/>
              </w:rPr>
            </w:pPr>
            <w:r>
              <w:rPr>
                <w:rFonts w:hint="eastAsia" w:ascii="宋体" w:hAnsi="宋体"/>
                <w:b/>
                <w:kern w:val="2"/>
                <w:szCs w:val="21"/>
              </w:rPr>
              <w:t>重要性描述</w:t>
            </w:r>
          </w:p>
        </w:tc>
      </w:tr>
      <w:tr w14:paraId="11C04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noWrap/>
            <w:vAlign w:val="center"/>
          </w:tcPr>
          <w:p w14:paraId="56249434">
            <w:pPr>
              <w:spacing w:line="300" w:lineRule="auto"/>
              <w:jc w:val="center"/>
              <w:rPr>
                <w:rFonts w:ascii="宋体" w:hAnsi="宋体"/>
                <w:kern w:val="2"/>
                <w:szCs w:val="21"/>
              </w:rPr>
            </w:pPr>
            <w:r>
              <w:rPr>
                <w:rFonts w:hint="eastAsia" w:ascii="宋体" w:hAnsi="宋体"/>
                <w:kern w:val="2"/>
                <w:szCs w:val="21"/>
              </w:rPr>
              <w:t>人力资源规划</w:t>
            </w:r>
          </w:p>
        </w:tc>
        <w:tc>
          <w:tcPr>
            <w:tcW w:w="7260" w:type="dxa"/>
            <w:noWrap/>
            <w:vAlign w:val="center"/>
          </w:tcPr>
          <w:p w14:paraId="54566728">
            <w:pPr>
              <w:spacing w:line="300" w:lineRule="auto"/>
              <w:rPr>
                <w:rFonts w:ascii="宋体" w:hAnsi="宋体"/>
                <w:kern w:val="2"/>
                <w:szCs w:val="21"/>
              </w:rPr>
            </w:pPr>
            <w:r>
              <w:rPr>
                <w:rFonts w:hint="eastAsia" w:ascii="宋体" w:hAnsi="宋体"/>
                <w:kern w:val="2"/>
                <w:szCs w:val="21"/>
              </w:rPr>
              <w:t>人力资源战略是公司战略的重要组成部分，为适应公司战略需要而进行人才配置、引进、培养、激励、成长、发展等一系列过程的指导方针。</w:t>
            </w:r>
          </w:p>
        </w:tc>
      </w:tr>
      <w:tr w14:paraId="30B16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noWrap/>
            <w:vAlign w:val="center"/>
          </w:tcPr>
          <w:p w14:paraId="17BD26FF">
            <w:pPr>
              <w:spacing w:line="300" w:lineRule="auto"/>
              <w:jc w:val="center"/>
              <w:rPr>
                <w:rFonts w:ascii="宋体" w:hAnsi="宋体"/>
                <w:kern w:val="2"/>
                <w:szCs w:val="21"/>
              </w:rPr>
            </w:pPr>
            <w:r>
              <w:rPr>
                <w:rFonts w:hint="eastAsia" w:ascii="宋体" w:hAnsi="宋体"/>
                <w:kern w:val="2"/>
                <w:szCs w:val="21"/>
              </w:rPr>
              <w:t>财务规划</w:t>
            </w:r>
          </w:p>
        </w:tc>
        <w:tc>
          <w:tcPr>
            <w:tcW w:w="7260" w:type="dxa"/>
            <w:noWrap/>
            <w:vAlign w:val="center"/>
          </w:tcPr>
          <w:p w14:paraId="4E8DCAFE">
            <w:pPr>
              <w:spacing w:line="300" w:lineRule="auto"/>
              <w:rPr>
                <w:rFonts w:ascii="宋体" w:hAnsi="宋体"/>
                <w:kern w:val="2"/>
                <w:szCs w:val="21"/>
              </w:rPr>
            </w:pPr>
            <w:r>
              <w:rPr>
                <w:rFonts w:hint="eastAsia" w:ascii="宋体" w:hAnsi="宋体"/>
                <w:kern w:val="2"/>
                <w:szCs w:val="21"/>
              </w:rPr>
              <w:t>财务战略规划是为进行公司转型升级、不断扩张而提供风险控制的重要保障，也是为了公司进一步完善信用评定机制和财务结算制度。</w:t>
            </w:r>
          </w:p>
        </w:tc>
      </w:tr>
      <w:tr w14:paraId="178F4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noWrap/>
            <w:vAlign w:val="center"/>
          </w:tcPr>
          <w:p w14:paraId="1FFAC118">
            <w:pPr>
              <w:spacing w:line="300" w:lineRule="auto"/>
              <w:jc w:val="center"/>
              <w:rPr>
                <w:rFonts w:ascii="宋体" w:hAnsi="宋体"/>
                <w:kern w:val="2"/>
                <w:szCs w:val="21"/>
              </w:rPr>
            </w:pPr>
            <w:r>
              <w:rPr>
                <w:rFonts w:hint="eastAsia" w:ascii="宋体" w:hAnsi="宋体"/>
                <w:kern w:val="2"/>
                <w:szCs w:val="21"/>
              </w:rPr>
              <w:t>技术规划</w:t>
            </w:r>
          </w:p>
        </w:tc>
        <w:tc>
          <w:tcPr>
            <w:tcW w:w="7260" w:type="dxa"/>
            <w:noWrap/>
            <w:vAlign w:val="center"/>
          </w:tcPr>
          <w:p w14:paraId="71CE6F43">
            <w:pPr>
              <w:spacing w:line="300" w:lineRule="auto"/>
              <w:rPr>
                <w:rFonts w:ascii="宋体" w:hAnsi="宋体"/>
                <w:kern w:val="2"/>
                <w:szCs w:val="21"/>
              </w:rPr>
            </w:pPr>
            <w:r>
              <w:rPr>
                <w:rFonts w:hint="eastAsia" w:ascii="宋体" w:hAnsi="宋体"/>
                <w:kern w:val="2"/>
                <w:szCs w:val="21"/>
              </w:rPr>
              <w:t>技术战略规划是公司保证国内领先地位以及进一步加强国际竞争力的实力规划措施，规划中明确提出了公司下一阶段技术发展的重点及突破方向。</w:t>
            </w:r>
          </w:p>
        </w:tc>
      </w:tr>
      <w:tr w14:paraId="0C95D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560" w:type="dxa"/>
            <w:noWrap/>
            <w:vAlign w:val="center"/>
          </w:tcPr>
          <w:p w14:paraId="6F249059">
            <w:pPr>
              <w:spacing w:line="300" w:lineRule="auto"/>
              <w:jc w:val="center"/>
              <w:rPr>
                <w:rFonts w:ascii="宋体" w:hAnsi="宋体"/>
                <w:kern w:val="2"/>
                <w:szCs w:val="21"/>
              </w:rPr>
            </w:pPr>
            <w:r>
              <w:rPr>
                <w:rFonts w:hint="eastAsia" w:ascii="宋体" w:hAnsi="宋体"/>
                <w:kern w:val="2"/>
                <w:szCs w:val="21"/>
              </w:rPr>
              <w:t>生产规划</w:t>
            </w:r>
          </w:p>
        </w:tc>
        <w:tc>
          <w:tcPr>
            <w:tcW w:w="7260" w:type="dxa"/>
            <w:noWrap/>
            <w:vAlign w:val="center"/>
          </w:tcPr>
          <w:p w14:paraId="68C299DF">
            <w:pPr>
              <w:spacing w:line="300" w:lineRule="auto"/>
              <w:rPr>
                <w:rFonts w:ascii="宋体" w:hAnsi="宋体"/>
                <w:kern w:val="2"/>
                <w:szCs w:val="21"/>
              </w:rPr>
            </w:pPr>
            <w:r>
              <w:rPr>
                <w:rFonts w:hint="eastAsia" w:ascii="宋体" w:hAnsi="宋体"/>
                <w:kern w:val="2"/>
                <w:szCs w:val="21"/>
              </w:rPr>
              <w:t>导入精益生产、提升产品品质和产能、实现客户满意的重要战略过程。</w:t>
            </w:r>
          </w:p>
        </w:tc>
      </w:tr>
      <w:tr w14:paraId="0C49D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noWrap/>
            <w:vAlign w:val="center"/>
          </w:tcPr>
          <w:p w14:paraId="6C5D4BA8">
            <w:pPr>
              <w:spacing w:line="300" w:lineRule="auto"/>
              <w:jc w:val="center"/>
              <w:rPr>
                <w:rFonts w:ascii="宋体" w:hAnsi="宋体"/>
                <w:kern w:val="2"/>
                <w:szCs w:val="21"/>
              </w:rPr>
            </w:pPr>
            <w:r>
              <w:rPr>
                <w:rFonts w:hint="eastAsia" w:ascii="宋体" w:hAnsi="宋体"/>
                <w:kern w:val="2"/>
                <w:szCs w:val="21"/>
              </w:rPr>
              <w:t>营销规划</w:t>
            </w:r>
          </w:p>
        </w:tc>
        <w:tc>
          <w:tcPr>
            <w:tcW w:w="7260" w:type="dxa"/>
            <w:noWrap/>
            <w:vAlign w:val="center"/>
          </w:tcPr>
          <w:p w14:paraId="522C65CA">
            <w:pPr>
              <w:spacing w:line="300" w:lineRule="auto"/>
              <w:rPr>
                <w:rFonts w:ascii="宋体" w:hAnsi="宋体"/>
                <w:kern w:val="2"/>
                <w:szCs w:val="21"/>
              </w:rPr>
            </w:pPr>
            <w:r>
              <w:rPr>
                <w:rFonts w:hint="eastAsia" w:ascii="宋体" w:hAnsi="宋体"/>
                <w:kern w:val="2"/>
                <w:szCs w:val="21"/>
              </w:rPr>
              <w:t>营销战略规划涵盖了从市场分析、客户需求、产品研发、产品延伸、价格测量、渠道组合、区域拓展到客户满意的各个环节，公司通过营销战略规划使产品价值在各个环节得到实现，并最终实现多方的共赢。</w:t>
            </w:r>
          </w:p>
        </w:tc>
      </w:tr>
      <w:tr w14:paraId="24E8C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noWrap/>
            <w:vAlign w:val="center"/>
          </w:tcPr>
          <w:p w14:paraId="07BD2143">
            <w:pPr>
              <w:spacing w:line="300" w:lineRule="auto"/>
              <w:jc w:val="center"/>
              <w:rPr>
                <w:rFonts w:ascii="宋体" w:hAnsi="宋体"/>
                <w:kern w:val="2"/>
                <w:szCs w:val="21"/>
              </w:rPr>
            </w:pPr>
            <w:r>
              <w:rPr>
                <w:rFonts w:hint="eastAsia" w:ascii="宋体" w:hAnsi="宋体"/>
                <w:kern w:val="2"/>
                <w:szCs w:val="21"/>
              </w:rPr>
              <w:t>质量规划</w:t>
            </w:r>
          </w:p>
        </w:tc>
        <w:tc>
          <w:tcPr>
            <w:tcW w:w="7260" w:type="dxa"/>
            <w:noWrap/>
            <w:vAlign w:val="center"/>
          </w:tcPr>
          <w:p w14:paraId="7DB1B139">
            <w:pPr>
              <w:spacing w:line="300" w:lineRule="auto"/>
              <w:rPr>
                <w:rFonts w:ascii="宋体" w:hAnsi="宋体"/>
                <w:kern w:val="2"/>
                <w:szCs w:val="21"/>
              </w:rPr>
            </w:pPr>
            <w:r>
              <w:rPr>
                <w:rFonts w:hint="eastAsia" w:ascii="宋体" w:hAnsi="宋体"/>
                <w:kern w:val="2"/>
                <w:szCs w:val="21"/>
              </w:rPr>
              <w:t>质量战略规划是公司以卓越绩效的管理模式，为全面提升和维护公司产品质量，继续巩固强大品牌号召力而对质量战略进行管理，并通过严格的跟踪考核达到追求卓越的效果。</w:t>
            </w:r>
          </w:p>
        </w:tc>
      </w:tr>
      <w:tr w14:paraId="27590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1560" w:type="dxa"/>
            <w:noWrap/>
            <w:vAlign w:val="center"/>
          </w:tcPr>
          <w:p w14:paraId="1106961F">
            <w:pPr>
              <w:spacing w:line="300" w:lineRule="auto"/>
              <w:jc w:val="center"/>
              <w:rPr>
                <w:rFonts w:ascii="宋体" w:hAnsi="宋体"/>
                <w:kern w:val="2"/>
                <w:szCs w:val="21"/>
              </w:rPr>
            </w:pPr>
            <w:r>
              <w:rPr>
                <w:rFonts w:hint="eastAsia" w:ascii="宋体" w:hAnsi="宋体"/>
                <w:kern w:val="2"/>
                <w:szCs w:val="21"/>
              </w:rPr>
              <w:t>采购规划</w:t>
            </w:r>
          </w:p>
        </w:tc>
        <w:tc>
          <w:tcPr>
            <w:tcW w:w="7260" w:type="dxa"/>
            <w:noWrap/>
            <w:vAlign w:val="center"/>
          </w:tcPr>
          <w:p w14:paraId="44B9CF78">
            <w:pPr>
              <w:spacing w:line="300" w:lineRule="auto"/>
              <w:rPr>
                <w:rFonts w:ascii="宋体" w:hAnsi="宋体"/>
                <w:kern w:val="2"/>
                <w:szCs w:val="21"/>
              </w:rPr>
            </w:pPr>
            <w:r>
              <w:rPr>
                <w:rFonts w:hint="eastAsia" w:ascii="宋体" w:hAnsi="宋体"/>
                <w:kern w:val="2"/>
                <w:szCs w:val="21"/>
              </w:rPr>
              <w:t>采购规划是以降低采购物资的总拥有成本及提高供应链竞争能力为目的一系列计划、实施、控制战略性和操作性采购决策的过程，目的是指导所有的采购活动都围绕提高企业能力展开，以实现企业目标计划。</w:t>
            </w:r>
          </w:p>
        </w:tc>
      </w:tr>
    </w:tbl>
    <w:p w14:paraId="1E9C90E0">
      <w:pPr>
        <w:spacing w:before="156" w:beforeLines="50" w:line="360" w:lineRule="auto"/>
        <w:ind w:firstLine="482" w:firstLineChars="200"/>
        <w:rPr>
          <w:rFonts w:ascii="宋体" w:hAnsi="宋体"/>
          <w:b/>
        </w:rPr>
      </w:pPr>
    </w:p>
    <w:p w14:paraId="776EB19F">
      <w:pPr>
        <w:spacing w:before="156" w:beforeLines="50" w:line="360" w:lineRule="auto"/>
        <w:ind w:firstLine="482" w:firstLineChars="200"/>
        <w:rPr>
          <w:rFonts w:ascii="宋体" w:hAnsi="宋体"/>
          <w:b/>
        </w:rPr>
      </w:pPr>
      <w:r>
        <w:rPr>
          <w:rFonts w:hint="eastAsia" w:ascii="宋体" w:hAnsi="宋体"/>
          <w:b/>
        </w:rPr>
        <w:t>b）环境变化与战略调整</w:t>
      </w:r>
    </w:p>
    <w:p w14:paraId="6CA10F34">
      <w:pPr>
        <w:spacing w:line="360" w:lineRule="auto"/>
        <w:ind w:firstLine="480" w:firstLineChars="200"/>
        <w:rPr>
          <w:rFonts w:ascii="宋体" w:hAnsi="宋体"/>
        </w:rPr>
      </w:pPr>
      <w:r>
        <w:rPr>
          <w:rFonts w:hint="eastAsia" w:ascii="宋体" w:hAnsi="宋体"/>
        </w:rPr>
        <w:t>受到外部环境变化的影响和企业内部核心竞争力、企业文化、领导行为等因素的影响，战略制定实施一定时间后必需进行相应的调整以满足条件变化的需求。公司由于产品和市场的特点，受宏观经济因素的影响比较大，因此，市场的波动和政府政策的变化都可能会对公司的战略产生影响。公司需要经常关注宏观环境，根据市场的发展趋势对未来的经营业绩进行重新评估和修正。对战略目标、战略规划进行调整，以适应企业发展的需要。</w:t>
      </w:r>
    </w:p>
    <w:p w14:paraId="79D13433">
      <w:pPr>
        <w:adjustRightInd w:val="0"/>
        <w:snapToGrid w:val="0"/>
        <w:spacing w:line="360" w:lineRule="auto"/>
        <w:ind w:firstLine="480"/>
        <w:rPr>
          <w:color w:val="000000"/>
        </w:rPr>
      </w:pPr>
      <w:r>
        <w:rPr>
          <w:color w:val="000000"/>
        </w:rPr>
        <w:t>公司的战略调整机制分为三种：第一种是滚动调整，第二种是年度调整，第三种是应急调整。</w:t>
      </w:r>
    </w:p>
    <w:p w14:paraId="69CC8189">
      <w:pPr>
        <w:adjustRightInd w:val="0"/>
        <w:snapToGrid w:val="0"/>
        <w:spacing w:line="360" w:lineRule="auto"/>
        <w:ind w:firstLine="482"/>
        <w:rPr>
          <w:rFonts w:ascii="宋体" w:hAnsi="宋体"/>
          <w:b/>
          <w:color w:val="000000"/>
        </w:rPr>
      </w:pPr>
      <w:r>
        <w:rPr>
          <w:rFonts w:hint="eastAsia" w:ascii="宋体" w:hAnsi="宋体"/>
          <w:b/>
          <w:color w:val="000000"/>
        </w:rPr>
        <w:t>c</w:t>
      </w:r>
      <w:r>
        <w:rPr>
          <w:rFonts w:ascii="宋体" w:hAnsi="宋体"/>
          <w:b/>
          <w:color w:val="000000"/>
        </w:rPr>
        <w:t>）滚动调整</w:t>
      </w:r>
    </w:p>
    <w:p w14:paraId="65924C18">
      <w:pPr>
        <w:adjustRightInd w:val="0"/>
        <w:snapToGrid w:val="0"/>
        <w:spacing w:line="360" w:lineRule="auto"/>
        <w:ind w:firstLine="480"/>
        <w:rPr>
          <w:rFonts w:ascii="宋体" w:hAnsi="宋体"/>
          <w:color w:val="000000"/>
        </w:rPr>
      </w:pPr>
      <w:r>
        <w:rPr>
          <w:rFonts w:ascii="宋体" w:hAnsi="宋体"/>
          <w:color w:val="000000"/>
        </w:rPr>
        <w:t>战略制定领导小组每年召集战略</w:t>
      </w:r>
      <w:r>
        <w:rPr>
          <w:rFonts w:hint="eastAsia" w:ascii="宋体" w:hAnsi="宋体"/>
          <w:color w:val="000000"/>
        </w:rPr>
        <w:t>委员会</w:t>
      </w:r>
      <w:r>
        <w:rPr>
          <w:rFonts w:ascii="宋体" w:hAnsi="宋体"/>
          <w:color w:val="000000"/>
        </w:rPr>
        <w:t>及各相关职能部门召开</w:t>
      </w:r>
      <w:r>
        <w:rPr>
          <w:rFonts w:hint="eastAsia" w:ascii="宋体" w:hAnsi="宋体"/>
          <w:color w:val="000000"/>
        </w:rPr>
        <w:t>一</w:t>
      </w:r>
      <w:r>
        <w:rPr>
          <w:rFonts w:ascii="宋体" w:hAnsi="宋体"/>
          <w:color w:val="000000"/>
        </w:rPr>
        <w:t>次战略检讨与分析会议，对公司前一个阶段的战略绩效完成情况</w:t>
      </w:r>
      <w:r>
        <w:rPr>
          <w:rFonts w:hint="eastAsia" w:ascii="宋体" w:hAnsi="宋体"/>
          <w:color w:val="000000"/>
        </w:rPr>
        <w:t>进</w:t>
      </w:r>
      <w:r>
        <w:rPr>
          <w:rFonts w:ascii="宋体" w:hAnsi="宋体"/>
          <w:color w:val="000000"/>
        </w:rPr>
        <w:t>行评估。逆向评审每一次战略调整的结果是否有助于战略目标实现，并及时修正并细化当年的整体战略目标与规划</w:t>
      </w:r>
      <w:r>
        <w:rPr>
          <w:rFonts w:hint="eastAsia" w:ascii="宋体" w:hAnsi="宋体"/>
          <w:color w:val="000000"/>
        </w:rPr>
        <w:t>，</w:t>
      </w:r>
      <w:r>
        <w:rPr>
          <w:rFonts w:ascii="宋体" w:hAnsi="宋体"/>
          <w:color w:val="000000"/>
        </w:rPr>
        <w:t>制定下一年的详细战略规划，将公司的三年计划向前动态滚动一年。</w:t>
      </w:r>
    </w:p>
    <w:p w14:paraId="387E2111">
      <w:pPr>
        <w:adjustRightInd w:val="0"/>
        <w:snapToGrid w:val="0"/>
        <w:spacing w:before="156" w:beforeLines="50" w:line="360" w:lineRule="auto"/>
        <w:ind w:firstLine="472" w:firstLineChars="196"/>
        <w:outlineLvl w:val="3"/>
        <w:rPr>
          <w:rFonts w:ascii="宋体" w:hAnsi="宋体"/>
          <w:b/>
          <w:color w:val="000000"/>
        </w:rPr>
      </w:pPr>
      <w:r>
        <w:rPr>
          <w:rFonts w:hint="eastAsia" w:ascii="宋体" w:hAnsi="宋体"/>
          <w:b/>
          <w:color w:val="000000"/>
        </w:rPr>
        <w:t>d）年度调整</w:t>
      </w:r>
    </w:p>
    <w:p w14:paraId="59C755AD">
      <w:pPr>
        <w:adjustRightInd w:val="0"/>
        <w:snapToGrid w:val="0"/>
        <w:spacing w:line="360" w:lineRule="auto"/>
        <w:ind w:firstLine="420"/>
        <w:rPr>
          <w:rFonts w:ascii="宋体" w:hAnsi="宋体"/>
        </w:rPr>
      </w:pPr>
      <w:r>
        <w:rPr>
          <w:rFonts w:hint="eastAsia" w:ascii="宋体" w:hAnsi="宋体"/>
        </w:rPr>
        <w:t>公司每五年制定一次战略规划，战略发展委员会每年召集各相关职能部门召开战略检讨与分析会议，对公司前一个阶段的战略实际完成情况与战略绩效指标进行评估，从而根据实际情况来及时修正并细化下一年的战略目标与规划。</w:t>
      </w:r>
    </w:p>
    <w:p w14:paraId="4F2EB925">
      <w:pPr>
        <w:adjustRightInd w:val="0"/>
        <w:snapToGrid w:val="0"/>
        <w:spacing w:before="156" w:beforeLines="50" w:line="360" w:lineRule="auto"/>
        <w:ind w:firstLine="422"/>
        <w:outlineLvl w:val="3"/>
        <w:rPr>
          <w:rFonts w:ascii="宋体" w:hAnsi="宋体"/>
          <w:b/>
        </w:rPr>
      </w:pPr>
      <w:r>
        <w:rPr>
          <w:rFonts w:hint="eastAsia" w:ascii="宋体" w:hAnsi="宋体"/>
          <w:b/>
        </w:rPr>
        <w:t>e）应急调整</w:t>
      </w:r>
    </w:p>
    <w:p w14:paraId="4E819E7A">
      <w:pPr>
        <w:adjustRightInd w:val="0"/>
        <w:snapToGrid w:val="0"/>
        <w:spacing w:line="360" w:lineRule="auto"/>
        <w:ind w:firstLine="420"/>
        <w:rPr>
          <w:rFonts w:ascii="宋体" w:hAnsi="宋体"/>
        </w:rPr>
      </w:pPr>
      <w:r>
        <w:rPr>
          <w:rFonts w:hint="eastAsia" w:ascii="宋体" w:hAnsi="宋体"/>
        </w:rPr>
        <w:t>对公司实现战略有重大影响的变化或者事件发生时，比如国家政策调整、原材料的价格上涨、竞争对手的重大经营举措等等，根据发生的实际事件提出紧急调整建议报战略委员会进行论证，如需调整则由总经理组织各相关职能部门商讨具体调整方案，经董事长审核后下发执行。</w:t>
      </w:r>
    </w:p>
    <w:p w14:paraId="5DA98696">
      <w:pPr>
        <w:spacing w:line="360" w:lineRule="auto"/>
        <w:rPr>
          <w:rFonts w:ascii="宋体" w:hAnsi="宋体"/>
          <w:b/>
        </w:rPr>
      </w:pPr>
      <w:r>
        <w:rPr>
          <w:rFonts w:hint="eastAsia" w:ascii="宋体" w:hAnsi="宋体"/>
          <w:b/>
        </w:rPr>
        <w:t>4.2.3.2.2 公司的长短期计划及主要变化</w:t>
      </w:r>
    </w:p>
    <w:p w14:paraId="4B9D0148">
      <w:pPr>
        <w:tabs>
          <w:tab w:val="left" w:pos="2893"/>
          <w:tab w:val="left" w:pos="2940"/>
          <w:tab w:val="left" w:pos="3360"/>
          <w:tab w:val="left" w:pos="3780"/>
          <w:tab w:val="center" w:pos="4452"/>
        </w:tabs>
        <w:adjustRightInd w:val="0"/>
        <w:snapToGrid w:val="0"/>
        <w:spacing w:before="156" w:beforeLines="50" w:line="360" w:lineRule="auto"/>
        <w:ind w:firstLine="472" w:firstLineChars="196"/>
        <w:outlineLvl w:val="4"/>
        <w:rPr>
          <w:rFonts w:ascii="宋体" w:hAnsi="宋体"/>
        </w:rPr>
      </w:pPr>
      <w:r>
        <w:rPr>
          <w:rFonts w:hint="eastAsia" w:ascii="宋体" w:hAnsi="宋体"/>
          <w:b/>
        </w:rPr>
        <w:t>a）支撑战略目标的职能战略计划</w:t>
      </w:r>
    </w:p>
    <w:p w14:paraId="61470A5C">
      <w:pPr>
        <w:adjustRightInd w:val="0"/>
        <w:snapToGrid w:val="0"/>
        <w:spacing w:line="360" w:lineRule="auto"/>
        <w:ind w:firstLine="420"/>
        <w:rPr>
          <w:rFonts w:ascii="宋体" w:hAnsi="宋体"/>
        </w:rPr>
      </w:pPr>
      <w:r>
        <w:rPr>
          <w:rFonts w:hint="eastAsia" w:ascii="宋体" w:hAnsi="宋体"/>
        </w:rPr>
        <w:t>公司为实现总体战略制定和展开战略规划，分为长、短期计划，内容主要包括人力资源战略（见表4.2-11）、研发战略（见表4.2-12）、市场营销战略（见表4.2-13）等三个职能战略来支撑关键战略目标的实现。</w:t>
      </w:r>
    </w:p>
    <w:p w14:paraId="7D655824">
      <w:pPr>
        <w:adjustRightInd w:val="0"/>
        <w:snapToGrid w:val="0"/>
        <w:spacing w:line="360" w:lineRule="auto"/>
        <w:ind w:firstLine="480" w:firstLineChars="200"/>
        <w:rPr>
          <w:rFonts w:ascii="宋体" w:hAnsi="宋体"/>
        </w:rPr>
      </w:pPr>
      <w:r>
        <w:rPr>
          <w:rFonts w:hint="eastAsia" w:ascii="宋体" w:hAnsi="宋体"/>
        </w:rPr>
        <w:t>公司充分了解企业最宝贵的资源是人才，通过深入实施人才强企战略，强化人力资源能力建设，以适应公司发展所需的高素质员工队伍；通过培训激励与职业生涯规划等举措，更好地激励公司各级人员为公司贡献力量</w:t>
      </w:r>
      <w:r>
        <w:rPr>
          <w:rFonts w:ascii="宋体" w:hAnsi="宋体"/>
        </w:rPr>
        <w:t>。</w:t>
      </w:r>
      <w:r>
        <w:rPr>
          <w:rFonts w:hint="eastAsia" w:ascii="宋体" w:hAnsi="宋体"/>
        </w:rPr>
        <w:t>具体人力资源计划目标见表4.2-11。</w:t>
      </w:r>
    </w:p>
    <w:p w14:paraId="33F34C6C">
      <w:pPr>
        <w:adjustRightInd w:val="0"/>
        <w:snapToGrid w:val="0"/>
        <w:spacing w:line="360" w:lineRule="auto"/>
        <w:ind w:firstLine="422"/>
        <w:jc w:val="center"/>
        <w:rPr>
          <w:rFonts w:ascii="宋体" w:hAnsi="宋体"/>
          <w:b/>
        </w:rPr>
      </w:pPr>
      <w:r>
        <w:rPr>
          <w:rFonts w:hint="eastAsia" w:ascii="宋体" w:hAnsi="宋体"/>
          <w:b/>
        </w:rPr>
        <w:t>表4.2-11 人力资源计划目标</w:t>
      </w:r>
    </w:p>
    <w:tbl>
      <w:tblPr>
        <w:tblStyle w:val="22"/>
        <w:tblW w:w="869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57" w:type="dxa"/>
          <w:left w:w="57" w:type="dxa"/>
          <w:bottom w:w="57" w:type="dxa"/>
          <w:right w:w="57" w:type="dxa"/>
        </w:tblCellMar>
      </w:tblPr>
      <w:tblGrid>
        <w:gridCol w:w="980"/>
        <w:gridCol w:w="2450"/>
        <w:gridCol w:w="2733"/>
        <w:gridCol w:w="2531"/>
      </w:tblGrid>
      <w:tr w14:paraId="487B11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57" w:type="dxa"/>
            <w:bottom w:w="57" w:type="dxa"/>
            <w:right w:w="57" w:type="dxa"/>
          </w:tblCellMar>
        </w:tblPrEx>
        <w:trPr>
          <w:trHeight w:val="352" w:hRule="atLeast"/>
          <w:tblHeader/>
          <w:jc w:val="center"/>
        </w:trPr>
        <w:tc>
          <w:tcPr>
            <w:tcW w:w="980" w:type="dxa"/>
            <w:tcBorders>
              <w:top w:val="single" w:color="auto" w:sz="12" w:space="0"/>
              <w:bottom w:val="single" w:color="auto" w:sz="6" w:space="0"/>
            </w:tcBorders>
            <w:shd w:val="clear" w:color="auto" w:fill="757070"/>
            <w:noWrap/>
            <w:vAlign w:val="center"/>
          </w:tcPr>
          <w:p w14:paraId="17C7A214">
            <w:pPr>
              <w:adjustRightInd w:val="0"/>
              <w:snapToGrid w:val="0"/>
              <w:jc w:val="center"/>
              <w:rPr>
                <w:rFonts w:ascii="宋体" w:hAnsi="宋体"/>
                <w:b/>
                <w:kern w:val="2"/>
                <w:szCs w:val="21"/>
              </w:rPr>
            </w:pPr>
            <w:r>
              <w:rPr>
                <w:rFonts w:hint="eastAsia" w:ascii="宋体" w:hAnsi="宋体"/>
                <w:b/>
                <w:szCs w:val="21"/>
              </w:rPr>
              <w:t>项目</w:t>
            </w:r>
          </w:p>
        </w:tc>
        <w:tc>
          <w:tcPr>
            <w:tcW w:w="2450" w:type="dxa"/>
            <w:tcBorders>
              <w:top w:val="single" w:color="auto" w:sz="12" w:space="0"/>
              <w:bottom w:val="single" w:color="auto" w:sz="6" w:space="0"/>
            </w:tcBorders>
            <w:shd w:val="clear" w:color="auto" w:fill="757070"/>
            <w:noWrap/>
            <w:vAlign w:val="center"/>
          </w:tcPr>
          <w:p w14:paraId="60A1A0BF">
            <w:pPr>
              <w:adjustRightInd w:val="0"/>
              <w:snapToGrid w:val="0"/>
              <w:jc w:val="center"/>
              <w:rPr>
                <w:rFonts w:ascii="宋体" w:hAnsi="宋体"/>
                <w:b/>
                <w:kern w:val="2"/>
                <w:szCs w:val="21"/>
              </w:rPr>
            </w:pPr>
            <w:r>
              <w:rPr>
                <w:rFonts w:hint="eastAsia" w:ascii="宋体" w:hAnsi="宋体"/>
                <w:b/>
                <w:szCs w:val="21"/>
              </w:rPr>
              <w:t>措施</w:t>
            </w:r>
          </w:p>
        </w:tc>
        <w:tc>
          <w:tcPr>
            <w:tcW w:w="2733" w:type="dxa"/>
            <w:tcBorders>
              <w:top w:val="single" w:color="auto" w:sz="12" w:space="0"/>
              <w:bottom w:val="single" w:color="auto" w:sz="6" w:space="0"/>
            </w:tcBorders>
            <w:shd w:val="clear" w:color="auto" w:fill="757070"/>
            <w:noWrap/>
            <w:vAlign w:val="center"/>
          </w:tcPr>
          <w:p w14:paraId="33A0A42B">
            <w:pPr>
              <w:adjustRightInd w:val="0"/>
              <w:snapToGrid w:val="0"/>
              <w:jc w:val="center"/>
              <w:rPr>
                <w:rFonts w:ascii="宋体" w:hAnsi="宋体"/>
                <w:b/>
                <w:kern w:val="2"/>
                <w:szCs w:val="21"/>
              </w:rPr>
            </w:pPr>
            <w:r>
              <w:rPr>
                <w:rFonts w:hint="eastAsia" w:ascii="宋体" w:hAnsi="宋体"/>
                <w:b/>
                <w:szCs w:val="21"/>
              </w:rPr>
              <w:t>短期目标（20</w:t>
            </w:r>
            <w:r>
              <w:rPr>
                <w:rFonts w:ascii="宋体" w:hAnsi="宋体"/>
                <w:b/>
                <w:szCs w:val="21"/>
              </w:rPr>
              <w:t>2</w:t>
            </w:r>
            <w:r>
              <w:rPr>
                <w:rFonts w:hint="eastAsia" w:ascii="宋体" w:hAnsi="宋体"/>
                <w:b/>
                <w:szCs w:val="21"/>
                <w:lang w:val="en-US" w:eastAsia="zh-CN"/>
              </w:rPr>
              <w:t>6</w:t>
            </w:r>
            <w:r>
              <w:rPr>
                <w:rFonts w:hint="eastAsia" w:ascii="宋体" w:hAnsi="宋体"/>
                <w:b/>
                <w:szCs w:val="21"/>
              </w:rPr>
              <w:t>年）</w:t>
            </w:r>
          </w:p>
        </w:tc>
        <w:tc>
          <w:tcPr>
            <w:tcW w:w="2531" w:type="dxa"/>
            <w:tcBorders>
              <w:top w:val="single" w:color="auto" w:sz="12" w:space="0"/>
              <w:bottom w:val="single" w:color="auto" w:sz="6" w:space="0"/>
            </w:tcBorders>
            <w:shd w:val="clear" w:color="auto" w:fill="757070"/>
            <w:noWrap/>
            <w:vAlign w:val="center"/>
          </w:tcPr>
          <w:p w14:paraId="34C6C4DD">
            <w:pPr>
              <w:adjustRightInd w:val="0"/>
              <w:snapToGrid w:val="0"/>
              <w:jc w:val="center"/>
              <w:rPr>
                <w:rFonts w:ascii="宋体" w:hAnsi="宋体"/>
                <w:b/>
                <w:kern w:val="2"/>
                <w:szCs w:val="21"/>
              </w:rPr>
            </w:pPr>
            <w:r>
              <w:rPr>
                <w:rFonts w:hint="eastAsia" w:ascii="宋体" w:hAnsi="宋体"/>
                <w:b/>
                <w:szCs w:val="21"/>
              </w:rPr>
              <w:t>中长期目标（20</w:t>
            </w:r>
            <w:r>
              <w:rPr>
                <w:rFonts w:hint="eastAsia" w:ascii="宋体" w:hAnsi="宋体"/>
                <w:b/>
                <w:szCs w:val="21"/>
                <w:lang w:val="en-US" w:eastAsia="zh-CN"/>
              </w:rPr>
              <w:t>30</w:t>
            </w:r>
            <w:r>
              <w:rPr>
                <w:rFonts w:hint="eastAsia" w:ascii="宋体" w:hAnsi="宋体"/>
                <w:b/>
                <w:szCs w:val="21"/>
              </w:rPr>
              <w:t>年）</w:t>
            </w:r>
          </w:p>
        </w:tc>
      </w:tr>
      <w:tr w14:paraId="742D87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57" w:type="dxa"/>
            <w:bottom w:w="57" w:type="dxa"/>
            <w:right w:w="57" w:type="dxa"/>
          </w:tblCellMar>
        </w:tblPrEx>
        <w:trPr>
          <w:trHeight w:val="526" w:hRule="atLeast"/>
          <w:jc w:val="center"/>
        </w:trPr>
        <w:tc>
          <w:tcPr>
            <w:tcW w:w="980" w:type="dxa"/>
            <w:tcBorders>
              <w:top w:val="single" w:color="auto" w:sz="6" w:space="0"/>
            </w:tcBorders>
            <w:noWrap/>
            <w:vAlign w:val="center"/>
          </w:tcPr>
          <w:p w14:paraId="34594756">
            <w:pPr>
              <w:adjustRightInd w:val="0"/>
              <w:snapToGrid w:val="0"/>
              <w:jc w:val="center"/>
              <w:rPr>
                <w:rFonts w:ascii="宋体" w:hAnsi="宋体"/>
                <w:sz w:val="21"/>
                <w:szCs w:val="21"/>
              </w:rPr>
            </w:pPr>
            <w:r>
              <w:rPr>
                <w:rFonts w:hint="eastAsia" w:ascii="宋体" w:hAnsi="宋体"/>
                <w:sz w:val="21"/>
                <w:szCs w:val="21"/>
              </w:rPr>
              <w:t>人才引</w:t>
            </w:r>
          </w:p>
          <w:p w14:paraId="601290EC">
            <w:pPr>
              <w:adjustRightInd w:val="0"/>
              <w:snapToGrid w:val="0"/>
              <w:jc w:val="center"/>
              <w:rPr>
                <w:rFonts w:ascii="宋体" w:hAnsi="宋体"/>
                <w:sz w:val="21"/>
                <w:szCs w:val="21"/>
              </w:rPr>
            </w:pPr>
            <w:r>
              <w:rPr>
                <w:rFonts w:hint="eastAsia" w:ascii="宋体" w:hAnsi="宋体"/>
                <w:sz w:val="21"/>
                <w:szCs w:val="21"/>
              </w:rPr>
              <w:t>进和人</w:t>
            </w:r>
          </w:p>
          <w:p w14:paraId="434E900A">
            <w:pPr>
              <w:adjustRightInd w:val="0"/>
              <w:snapToGrid w:val="0"/>
              <w:jc w:val="center"/>
              <w:rPr>
                <w:rFonts w:ascii="宋体" w:hAnsi="宋体"/>
                <w:kern w:val="2"/>
                <w:sz w:val="21"/>
                <w:szCs w:val="21"/>
              </w:rPr>
            </w:pPr>
            <w:r>
              <w:rPr>
                <w:rFonts w:hint="eastAsia" w:ascii="宋体" w:hAnsi="宋体"/>
                <w:sz w:val="21"/>
                <w:szCs w:val="21"/>
              </w:rPr>
              <w:t>才建设</w:t>
            </w:r>
          </w:p>
        </w:tc>
        <w:tc>
          <w:tcPr>
            <w:tcW w:w="2450" w:type="dxa"/>
            <w:tcBorders>
              <w:top w:val="single" w:color="auto" w:sz="6" w:space="0"/>
            </w:tcBorders>
            <w:noWrap/>
            <w:vAlign w:val="center"/>
          </w:tcPr>
          <w:p w14:paraId="37F8B576">
            <w:pPr>
              <w:adjustRightInd w:val="0"/>
              <w:snapToGrid w:val="0"/>
              <w:rPr>
                <w:rFonts w:ascii="宋体" w:hAnsi="宋体"/>
                <w:kern w:val="2"/>
                <w:sz w:val="21"/>
                <w:szCs w:val="21"/>
              </w:rPr>
            </w:pPr>
            <w:r>
              <w:rPr>
                <w:rFonts w:hint="eastAsia" w:ascii="宋体" w:hAnsi="宋体"/>
                <w:sz w:val="21"/>
                <w:szCs w:val="21"/>
              </w:rPr>
              <w:t>提高高学历人才比例</w:t>
            </w:r>
            <w:r>
              <w:rPr>
                <w:rFonts w:hint="eastAsia" w:ascii="宋体" w:hAnsi="宋体"/>
                <w:kern w:val="2"/>
                <w:sz w:val="21"/>
                <w:szCs w:val="21"/>
              </w:rPr>
              <w:t>；</w:t>
            </w:r>
          </w:p>
          <w:p w14:paraId="5B5643EF">
            <w:pPr>
              <w:adjustRightInd w:val="0"/>
              <w:snapToGrid w:val="0"/>
              <w:rPr>
                <w:rFonts w:ascii="宋体" w:hAnsi="宋体"/>
                <w:kern w:val="2"/>
                <w:sz w:val="21"/>
                <w:szCs w:val="21"/>
              </w:rPr>
            </w:pPr>
            <w:r>
              <w:rPr>
                <w:rFonts w:hint="eastAsia" w:ascii="宋体" w:hAnsi="宋体"/>
                <w:kern w:val="2"/>
                <w:sz w:val="21"/>
                <w:szCs w:val="21"/>
              </w:rPr>
              <w:t>招聘具有统筹能力的优秀管理人才，具有经验的销售人员及较强技术创新能力的研发人员；</w:t>
            </w:r>
          </w:p>
          <w:p w14:paraId="17792063">
            <w:pPr>
              <w:adjustRightInd w:val="0"/>
              <w:snapToGrid w:val="0"/>
              <w:rPr>
                <w:rFonts w:ascii="宋体" w:hAnsi="宋体"/>
                <w:kern w:val="2"/>
                <w:sz w:val="21"/>
                <w:szCs w:val="21"/>
              </w:rPr>
            </w:pPr>
            <w:r>
              <w:rPr>
                <w:rFonts w:hint="eastAsia" w:ascii="宋体" w:hAnsi="宋体"/>
                <w:kern w:val="2"/>
                <w:sz w:val="21"/>
                <w:szCs w:val="21"/>
              </w:rPr>
              <w:t>健全与完善后备干部培养机制。</w:t>
            </w:r>
          </w:p>
        </w:tc>
        <w:tc>
          <w:tcPr>
            <w:tcW w:w="2733" w:type="dxa"/>
            <w:tcBorders>
              <w:top w:val="single" w:color="auto" w:sz="6" w:space="0"/>
            </w:tcBorders>
            <w:noWrap/>
            <w:vAlign w:val="center"/>
          </w:tcPr>
          <w:p w14:paraId="1CDC3369">
            <w:pPr>
              <w:adjustRightInd w:val="0"/>
              <w:snapToGrid w:val="0"/>
              <w:rPr>
                <w:rFonts w:ascii="宋体" w:hAnsi="宋体"/>
                <w:kern w:val="2"/>
                <w:sz w:val="21"/>
                <w:szCs w:val="21"/>
              </w:rPr>
            </w:pPr>
            <w:r>
              <w:rPr>
                <w:rFonts w:hint="eastAsia" w:ascii="宋体" w:hAnsi="宋体"/>
                <w:sz w:val="21"/>
                <w:szCs w:val="21"/>
              </w:rPr>
              <w:t>大专及以上学历人数不低于35%。</w:t>
            </w:r>
          </w:p>
        </w:tc>
        <w:tc>
          <w:tcPr>
            <w:tcW w:w="2531" w:type="dxa"/>
            <w:tcBorders>
              <w:top w:val="single" w:color="auto" w:sz="6" w:space="0"/>
            </w:tcBorders>
            <w:noWrap/>
            <w:vAlign w:val="center"/>
          </w:tcPr>
          <w:p w14:paraId="46ACF486">
            <w:pPr>
              <w:adjustRightInd w:val="0"/>
              <w:snapToGrid w:val="0"/>
              <w:rPr>
                <w:rFonts w:ascii="宋体" w:hAnsi="宋体"/>
                <w:kern w:val="2"/>
                <w:sz w:val="21"/>
                <w:szCs w:val="21"/>
              </w:rPr>
            </w:pPr>
            <w:r>
              <w:rPr>
                <w:rFonts w:hint="eastAsia" w:ascii="宋体" w:hAnsi="宋体"/>
                <w:sz w:val="21"/>
                <w:szCs w:val="21"/>
              </w:rPr>
              <w:t>引进行业专家不少于5人，大专及以上学历人数不低于50%，</w:t>
            </w:r>
            <w:r>
              <w:rPr>
                <w:rFonts w:hint="eastAsia" w:ascii="宋体" w:hAnsi="宋体"/>
                <w:kern w:val="2"/>
                <w:sz w:val="21"/>
                <w:szCs w:val="21"/>
              </w:rPr>
              <w:t>人才流失率控制在4%以下。</w:t>
            </w:r>
          </w:p>
        </w:tc>
      </w:tr>
      <w:tr w14:paraId="0ECDB9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57" w:type="dxa"/>
            <w:bottom w:w="57" w:type="dxa"/>
            <w:right w:w="57" w:type="dxa"/>
          </w:tblCellMar>
        </w:tblPrEx>
        <w:trPr>
          <w:trHeight w:val="828" w:hRule="atLeast"/>
          <w:jc w:val="center"/>
        </w:trPr>
        <w:tc>
          <w:tcPr>
            <w:tcW w:w="980" w:type="dxa"/>
            <w:noWrap/>
            <w:vAlign w:val="center"/>
          </w:tcPr>
          <w:p w14:paraId="11A2FDC7">
            <w:pPr>
              <w:adjustRightInd w:val="0"/>
              <w:snapToGrid w:val="0"/>
              <w:jc w:val="center"/>
              <w:rPr>
                <w:rFonts w:ascii="宋体" w:hAnsi="宋体"/>
                <w:sz w:val="21"/>
                <w:szCs w:val="21"/>
              </w:rPr>
            </w:pPr>
            <w:r>
              <w:rPr>
                <w:rFonts w:hint="eastAsia" w:ascii="宋体" w:hAnsi="宋体"/>
                <w:sz w:val="21"/>
                <w:szCs w:val="21"/>
              </w:rPr>
              <w:t>员工</w:t>
            </w:r>
          </w:p>
          <w:p w14:paraId="34EE7F1B">
            <w:pPr>
              <w:adjustRightInd w:val="0"/>
              <w:snapToGrid w:val="0"/>
              <w:jc w:val="center"/>
              <w:rPr>
                <w:rFonts w:ascii="宋体" w:hAnsi="宋体"/>
                <w:sz w:val="21"/>
                <w:szCs w:val="21"/>
              </w:rPr>
            </w:pPr>
            <w:r>
              <w:rPr>
                <w:rFonts w:hint="eastAsia" w:ascii="宋体" w:hAnsi="宋体"/>
                <w:sz w:val="21"/>
                <w:szCs w:val="21"/>
              </w:rPr>
              <w:t>教育</w:t>
            </w:r>
          </w:p>
          <w:p w14:paraId="3C8EF10C">
            <w:pPr>
              <w:adjustRightInd w:val="0"/>
              <w:snapToGrid w:val="0"/>
              <w:jc w:val="center"/>
              <w:rPr>
                <w:rFonts w:ascii="宋体" w:hAnsi="宋体"/>
                <w:kern w:val="2"/>
                <w:sz w:val="21"/>
                <w:szCs w:val="21"/>
              </w:rPr>
            </w:pPr>
            <w:r>
              <w:rPr>
                <w:rFonts w:hint="eastAsia" w:ascii="宋体" w:hAnsi="宋体"/>
                <w:sz w:val="21"/>
                <w:szCs w:val="21"/>
              </w:rPr>
              <w:t>培训</w:t>
            </w:r>
          </w:p>
        </w:tc>
        <w:tc>
          <w:tcPr>
            <w:tcW w:w="2450" w:type="dxa"/>
            <w:noWrap/>
            <w:vAlign w:val="center"/>
          </w:tcPr>
          <w:p w14:paraId="52C222B7">
            <w:pPr>
              <w:adjustRightInd w:val="0"/>
              <w:snapToGrid w:val="0"/>
              <w:rPr>
                <w:rFonts w:ascii="宋体" w:hAnsi="宋体"/>
                <w:sz w:val="21"/>
                <w:szCs w:val="21"/>
              </w:rPr>
            </w:pPr>
            <w:r>
              <w:rPr>
                <w:rFonts w:hint="eastAsia" w:ascii="宋体" w:hAnsi="宋体"/>
                <w:sz w:val="21"/>
                <w:szCs w:val="21"/>
              </w:rPr>
              <w:t>采取校企合作的方式，内外部培训相结合</w:t>
            </w:r>
            <w:r>
              <w:rPr>
                <w:rFonts w:hint="eastAsia" w:ascii="宋体" w:hAnsi="宋体"/>
                <w:kern w:val="2"/>
                <w:sz w:val="21"/>
                <w:szCs w:val="21"/>
              </w:rPr>
              <w:t>。</w:t>
            </w:r>
          </w:p>
        </w:tc>
        <w:tc>
          <w:tcPr>
            <w:tcW w:w="2733" w:type="dxa"/>
            <w:noWrap/>
            <w:vAlign w:val="center"/>
          </w:tcPr>
          <w:p w14:paraId="7CBA99A6">
            <w:pPr>
              <w:adjustRightInd w:val="0"/>
              <w:snapToGrid w:val="0"/>
              <w:rPr>
                <w:rFonts w:ascii="宋体" w:hAnsi="宋体"/>
                <w:sz w:val="21"/>
                <w:szCs w:val="21"/>
              </w:rPr>
            </w:pPr>
            <w:r>
              <w:rPr>
                <w:rFonts w:hint="eastAsia" w:ascii="宋体" w:hAnsi="宋体"/>
                <w:sz w:val="21"/>
                <w:szCs w:val="21"/>
              </w:rPr>
              <w:t>全年培训不少于</w:t>
            </w:r>
            <w:r>
              <w:rPr>
                <w:rFonts w:hint="eastAsia" w:ascii="宋体" w:hAnsi="宋体"/>
                <w:sz w:val="21"/>
                <w:szCs w:val="21"/>
                <w:lang w:val="en-US" w:eastAsia="zh-CN"/>
              </w:rPr>
              <w:t>6</w:t>
            </w:r>
            <w:r>
              <w:rPr>
                <w:rFonts w:hint="eastAsia" w:ascii="宋体" w:hAnsi="宋体"/>
                <w:sz w:val="21"/>
                <w:szCs w:val="21"/>
              </w:rPr>
              <w:t>0课时/人；</w:t>
            </w:r>
          </w:p>
          <w:p w14:paraId="1DA566F9">
            <w:pPr>
              <w:adjustRightInd w:val="0"/>
              <w:snapToGrid w:val="0"/>
              <w:rPr>
                <w:rFonts w:ascii="宋体" w:hAnsi="宋体"/>
                <w:kern w:val="2"/>
                <w:sz w:val="21"/>
                <w:szCs w:val="21"/>
              </w:rPr>
            </w:pPr>
            <w:r>
              <w:rPr>
                <w:rFonts w:hint="eastAsia" w:ascii="宋体" w:hAnsi="宋体"/>
                <w:sz w:val="21"/>
                <w:szCs w:val="21"/>
              </w:rPr>
              <w:t>培训投入不低于</w:t>
            </w:r>
            <w:r>
              <w:rPr>
                <w:rFonts w:hint="eastAsia" w:ascii="宋体" w:hAnsi="宋体"/>
                <w:sz w:val="21"/>
                <w:szCs w:val="21"/>
                <w:lang w:val="en-US" w:eastAsia="zh-CN"/>
              </w:rPr>
              <w:t>3</w:t>
            </w:r>
            <w:r>
              <w:rPr>
                <w:rFonts w:hint="eastAsia" w:ascii="宋体" w:hAnsi="宋体"/>
                <w:sz w:val="21"/>
                <w:szCs w:val="21"/>
              </w:rPr>
              <w:t>0万元。</w:t>
            </w:r>
          </w:p>
        </w:tc>
        <w:tc>
          <w:tcPr>
            <w:tcW w:w="2531" w:type="dxa"/>
            <w:noWrap/>
            <w:vAlign w:val="center"/>
          </w:tcPr>
          <w:p w14:paraId="6D6C270F">
            <w:pPr>
              <w:adjustRightInd w:val="0"/>
              <w:snapToGrid w:val="0"/>
              <w:rPr>
                <w:rFonts w:ascii="宋体" w:hAnsi="宋体"/>
                <w:sz w:val="21"/>
                <w:szCs w:val="21"/>
              </w:rPr>
            </w:pPr>
            <w:r>
              <w:rPr>
                <w:rFonts w:hint="eastAsia" w:ascii="宋体" w:hAnsi="宋体"/>
                <w:sz w:val="21"/>
                <w:szCs w:val="21"/>
              </w:rPr>
              <w:t>全年培训不少于</w:t>
            </w:r>
            <w:r>
              <w:rPr>
                <w:rFonts w:hint="eastAsia" w:ascii="宋体" w:hAnsi="宋体"/>
                <w:sz w:val="21"/>
                <w:szCs w:val="21"/>
                <w:lang w:val="en-US" w:eastAsia="zh-CN"/>
              </w:rPr>
              <w:t>100</w:t>
            </w:r>
            <w:r>
              <w:rPr>
                <w:rFonts w:hint="eastAsia" w:ascii="宋体" w:hAnsi="宋体"/>
                <w:sz w:val="21"/>
                <w:szCs w:val="21"/>
              </w:rPr>
              <w:t>课时/人；</w:t>
            </w:r>
          </w:p>
          <w:p w14:paraId="69236B06">
            <w:pPr>
              <w:adjustRightInd w:val="0"/>
              <w:snapToGrid w:val="0"/>
              <w:rPr>
                <w:rFonts w:ascii="宋体" w:hAnsi="宋体"/>
                <w:kern w:val="2"/>
                <w:sz w:val="21"/>
                <w:szCs w:val="21"/>
              </w:rPr>
            </w:pPr>
            <w:r>
              <w:rPr>
                <w:rFonts w:hint="eastAsia" w:ascii="宋体" w:hAnsi="宋体"/>
                <w:sz w:val="21"/>
                <w:szCs w:val="21"/>
              </w:rPr>
              <w:t>培训投入不低于60万元。</w:t>
            </w:r>
          </w:p>
        </w:tc>
      </w:tr>
      <w:tr w14:paraId="718FD6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57" w:type="dxa"/>
            <w:bottom w:w="57" w:type="dxa"/>
            <w:right w:w="57" w:type="dxa"/>
          </w:tblCellMar>
        </w:tblPrEx>
        <w:trPr>
          <w:trHeight w:val="804" w:hRule="atLeast"/>
          <w:jc w:val="center"/>
        </w:trPr>
        <w:tc>
          <w:tcPr>
            <w:tcW w:w="980" w:type="dxa"/>
            <w:noWrap/>
            <w:vAlign w:val="center"/>
          </w:tcPr>
          <w:p w14:paraId="0559A674">
            <w:pPr>
              <w:adjustRightInd w:val="0"/>
              <w:snapToGrid w:val="0"/>
              <w:jc w:val="center"/>
              <w:rPr>
                <w:rFonts w:ascii="宋体" w:hAnsi="宋体"/>
                <w:sz w:val="21"/>
                <w:szCs w:val="21"/>
              </w:rPr>
            </w:pPr>
            <w:r>
              <w:rPr>
                <w:rFonts w:hint="eastAsia" w:ascii="宋体" w:hAnsi="宋体"/>
                <w:sz w:val="21"/>
                <w:szCs w:val="21"/>
              </w:rPr>
              <w:t>薪酬</w:t>
            </w:r>
          </w:p>
          <w:p w14:paraId="5B5359E0">
            <w:pPr>
              <w:adjustRightInd w:val="0"/>
              <w:snapToGrid w:val="0"/>
              <w:jc w:val="center"/>
              <w:rPr>
                <w:rFonts w:ascii="宋体" w:hAnsi="宋体"/>
                <w:kern w:val="2"/>
                <w:sz w:val="21"/>
                <w:szCs w:val="21"/>
              </w:rPr>
            </w:pPr>
            <w:r>
              <w:rPr>
                <w:rFonts w:hint="eastAsia" w:ascii="宋体" w:hAnsi="宋体"/>
                <w:sz w:val="21"/>
                <w:szCs w:val="21"/>
              </w:rPr>
              <w:t>激励</w:t>
            </w:r>
          </w:p>
        </w:tc>
        <w:tc>
          <w:tcPr>
            <w:tcW w:w="2450" w:type="dxa"/>
            <w:noWrap/>
            <w:vAlign w:val="center"/>
          </w:tcPr>
          <w:p w14:paraId="27ABC6E2">
            <w:pPr>
              <w:adjustRightInd w:val="0"/>
              <w:snapToGrid w:val="0"/>
              <w:rPr>
                <w:rFonts w:ascii="宋体" w:hAnsi="宋体"/>
                <w:kern w:val="2"/>
                <w:sz w:val="21"/>
                <w:szCs w:val="21"/>
              </w:rPr>
            </w:pPr>
            <w:r>
              <w:rPr>
                <w:rFonts w:hint="eastAsia" w:ascii="宋体" w:hAnsi="宋体"/>
                <w:kern w:val="2"/>
                <w:sz w:val="21"/>
                <w:szCs w:val="21"/>
              </w:rPr>
              <w:t>建立和完善薪酬管理制度</w:t>
            </w:r>
          </w:p>
        </w:tc>
        <w:tc>
          <w:tcPr>
            <w:tcW w:w="2733" w:type="dxa"/>
            <w:noWrap/>
            <w:vAlign w:val="center"/>
          </w:tcPr>
          <w:p w14:paraId="03F9A425">
            <w:pPr>
              <w:adjustRightInd w:val="0"/>
              <w:snapToGrid w:val="0"/>
              <w:rPr>
                <w:rFonts w:ascii="宋体" w:hAnsi="宋体"/>
                <w:kern w:val="2"/>
                <w:sz w:val="21"/>
                <w:szCs w:val="21"/>
              </w:rPr>
            </w:pPr>
            <w:r>
              <w:rPr>
                <w:rFonts w:hint="eastAsia" w:ascii="宋体" w:hAnsi="宋体"/>
                <w:sz w:val="21"/>
                <w:szCs w:val="21"/>
              </w:rPr>
              <w:t>实现全员参保，员工收入增长率不低于15%。</w:t>
            </w:r>
          </w:p>
        </w:tc>
        <w:tc>
          <w:tcPr>
            <w:tcW w:w="2531" w:type="dxa"/>
            <w:noWrap/>
            <w:vAlign w:val="center"/>
          </w:tcPr>
          <w:p w14:paraId="1B1AE354">
            <w:pPr>
              <w:adjustRightInd w:val="0"/>
              <w:snapToGrid w:val="0"/>
              <w:rPr>
                <w:rFonts w:ascii="宋体" w:hAnsi="宋体"/>
                <w:kern w:val="2"/>
                <w:sz w:val="21"/>
                <w:szCs w:val="21"/>
              </w:rPr>
            </w:pPr>
            <w:r>
              <w:rPr>
                <w:rFonts w:hint="eastAsia" w:ascii="宋体" w:hAnsi="宋体"/>
                <w:sz w:val="21"/>
                <w:szCs w:val="21"/>
              </w:rPr>
              <w:t>员工收入增长率不低于15%。</w:t>
            </w:r>
          </w:p>
        </w:tc>
      </w:tr>
      <w:tr w14:paraId="2ADC29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57" w:type="dxa"/>
            <w:bottom w:w="57" w:type="dxa"/>
            <w:right w:w="57" w:type="dxa"/>
          </w:tblCellMar>
        </w:tblPrEx>
        <w:trPr>
          <w:trHeight w:val="528" w:hRule="atLeast"/>
          <w:jc w:val="center"/>
        </w:trPr>
        <w:tc>
          <w:tcPr>
            <w:tcW w:w="980" w:type="dxa"/>
            <w:noWrap/>
            <w:vAlign w:val="center"/>
          </w:tcPr>
          <w:p w14:paraId="362D3C71">
            <w:pPr>
              <w:adjustRightInd w:val="0"/>
              <w:snapToGrid w:val="0"/>
              <w:jc w:val="center"/>
              <w:rPr>
                <w:rFonts w:ascii="宋体" w:hAnsi="宋体"/>
                <w:sz w:val="21"/>
                <w:szCs w:val="21"/>
              </w:rPr>
            </w:pPr>
            <w:r>
              <w:rPr>
                <w:rFonts w:hint="eastAsia" w:ascii="宋体" w:hAnsi="宋体"/>
                <w:sz w:val="21"/>
                <w:szCs w:val="21"/>
              </w:rPr>
              <w:t>职业</w:t>
            </w:r>
          </w:p>
          <w:p w14:paraId="00748E9A">
            <w:pPr>
              <w:adjustRightInd w:val="0"/>
              <w:snapToGrid w:val="0"/>
              <w:jc w:val="center"/>
              <w:rPr>
                <w:rFonts w:ascii="宋体" w:hAnsi="宋体"/>
                <w:kern w:val="2"/>
                <w:sz w:val="21"/>
                <w:szCs w:val="21"/>
              </w:rPr>
            </w:pPr>
            <w:r>
              <w:rPr>
                <w:rFonts w:hint="eastAsia" w:ascii="宋体" w:hAnsi="宋体"/>
                <w:sz w:val="21"/>
                <w:szCs w:val="21"/>
              </w:rPr>
              <w:t>生涯</w:t>
            </w:r>
          </w:p>
        </w:tc>
        <w:tc>
          <w:tcPr>
            <w:tcW w:w="2450" w:type="dxa"/>
            <w:noWrap/>
            <w:vAlign w:val="center"/>
          </w:tcPr>
          <w:p w14:paraId="128F4B5E">
            <w:pPr>
              <w:adjustRightInd w:val="0"/>
              <w:snapToGrid w:val="0"/>
              <w:rPr>
                <w:rFonts w:ascii="宋体" w:hAnsi="宋体"/>
                <w:kern w:val="2"/>
                <w:sz w:val="21"/>
                <w:szCs w:val="21"/>
              </w:rPr>
            </w:pPr>
            <w:r>
              <w:rPr>
                <w:rFonts w:hint="eastAsia" w:ascii="宋体" w:hAnsi="宋体"/>
                <w:kern w:val="2"/>
                <w:sz w:val="21"/>
                <w:szCs w:val="21"/>
              </w:rPr>
              <w:t>完善员工职业发展规划。</w:t>
            </w:r>
          </w:p>
        </w:tc>
        <w:tc>
          <w:tcPr>
            <w:tcW w:w="2733" w:type="dxa"/>
            <w:noWrap/>
            <w:vAlign w:val="center"/>
          </w:tcPr>
          <w:p w14:paraId="1E4B0914">
            <w:pPr>
              <w:adjustRightInd w:val="0"/>
              <w:snapToGrid w:val="0"/>
              <w:rPr>
                <w:rFonts w:ascii="宋体" w:hAnsi="宋体"/>
                <w:kern w:val="2"/>
                <w:sz w:val="21"/>
                <w:szCs w:val="21"/>
              </w:rPr>
            </w:pPr>
            <w:r>
              <w:rPr>
                <w:rFonts w:hint="eastAsia" w:ascii="宋体" w:hAnsi="宋体"/>
                <w:kern w:val="2"/>
                <w:sz w:val="21"/>
                <w:szCs w:val="21"/>
              </w:rPr>
              <w:t>建立完善职业生涯规划机制，加强职员规划体系。</w:t>
            </w:r>
          </w:p>
        </w:tc>
        <w:tc>
          <w:tcPr>
            <w:tcW w:w="2531" w:type="dxa"/>
            <w:noWrap/>
            <w:vAlign w:val="center"/>
          </w:tcPr>
          <w:p w14:paraId="3FA7FE86">
            <w:pPr>
              <w:adjustRightInd w:val="0"/>
              <w:snapToGrid w:val="0"/>
              <w:rPr>
                <w:rFonts w:ascii="宋体" w:hAnsi="宋体"/>
                <w:kern w:val="2"/>
                <w:sz w:val="21"/>
                <w:szCs w:val="21"/>
              </w:rPr>
            </w:pPr>
            <w:r>
              <w:rPr>
                <w:rFonts w:hint="eastAsia" w:ascii="宋体" w:hAnsi="宋体"/>
                <w:sz w:val="21"/>
                <w:szCs w:val="21"/>
              </w:rPr>
              <w:t>形成科学的新老员工职业生涯规划体系。</w:t>
            </w:r>
          </w:p>
        </w:tc>
      </w:tr>
      <w:tr w14:paraId="2268E4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57" w:type="dxa"/>
            <w:bottom w:w="57" w:type="dxa"/>
            <w:right w:w="57" w:type="dxa"/>
          </w:tblCellMar>
        </w:tblPrEx>
        <w:trPr>
          <w:trHeight w:val="452" w:hRule="atLeast"/>
          <w:jc w:val="center"/>
        </w:trPr>
        <w:tc>
          <w:tcPr>
            <w:tcW w:w="980" w:type="dxa"/>
            <w:noWrap/>
            <w:vAlign w:val="center"/>
          </w:tcPr>
          <w:p w14:paraId="5B43C632">
            <w:pPr>
              <w:adjustRightInd w:val="0"/>
              <w:snapToGrid w:val="0"/>
              <w:jc w:val="center"/>
              <w:rPr>
                <w:rFonts w:ascii="宋体" w:hAnsi="宋体"/>
                <w:sz w:val="21"/>
                <w:szCs w:val="21"/>
              </w:rPr>
            </w:pPr>
            <w:r>
              <w:rPr>
                <w:rFonts w:hint="eastAsia" w:ascii="宋体" w:hAnsi="宋体"/>
                <w:sz w:val="21"/>
                <w:szCs w:val="21"/>
              </w:rPr>
              <w:t>员工满</w:t>
            </w:r>
          </w:p>
          <w:p w14:paraId="52174C99">
            <w:pPr>
              <w:adjustRightInd w:val="0"/>
              <w:snapToGrid w:val="0"/>
              <w:jc w:val="center"/>
              <w:rPr>
                <w:rFonts w:ascii="宋体" w:hAnsi="宋体"/>
                <w:kern w:val="2"/>
                <w:sz w:val="21"/>
                <w:szCs w:val="21"/>
              </w:rPr>
            </w:pPr>
            <w:r>
              <w:rPr>
                <w:rFonts w:hint="eastAsia" w:ascii="宋体" w:hAnsi="宋体"/>
                <w:sz w:val="21"/>
                <w:szCs w:val="21"/>
              </w:rPr>
              <w:t>意 度</w:t>
            </w:r>
          </w:p>
        </w:tc>
        <w:tc>
          <w:tcPr>
            <w:tcW w:w="2450" w:type="dxa"/>
            <w:noWrap/>
            <w:vAlign w:val="center"/>
          </w:tcPr>
          <w:p w14:paraId="62E25AA7">
            <w:pPr>
              <w:adjustRightInd w:val="0"/>
              <w:snapToGrid w:val="0"/>
              <w:rPr>
                <w:rFonts w:ascii="宋体" w:hAnsi="宋体"/>
                <w:kern w:val="2"/>
                <w:sz w:val="21"/>
                <w:szCs w:val="21"/>
              </w:rPr>
            </w:pPr>
            <w:r>
              <w:rPr>
                <w:rFonts w:hint="eastAsia" w:ascii="宋体" w:hAnsi="宋体"/>
                <w:kern w:val="2"/>
                <w:sz w:val="21"/>
                <w:szCs w:val="21"/>
              </w:rPr>
              <w:t>薪酬激励，人性化管理，增加福利待遇，发展空间和平台，价值观引导等等</w:t>
            </w:r>
          </w:p>
        </w:tc>
        <w:tc>
          <w:tcPr>
            <w:tcW w:w="2733" w:type="dxa"/>
            <w:noWrap/>
            <w:vAlign w:val="center"/>
          </w:tcPr>
          <w:p w14:paraId="20BCA70A">
            <w:pPr>
              <w:adjustRightInd w:val="0"/>
              <w:snapToGrid w:val="0"/>
              <w:jc w:val="center"/>
              <w:rPr>
                <w:rFonts w:ascii="宋体" w:hAnsi="宋体"/>
                <w:kern w:val="2"/>
                <w:sz w:val="21"/>
                <w:szCs w:val="21"/>
              </w:rPr>
            </w:pPr>
            <w:r>
              <w:rPr>
                <w:rFonts w:hint="eastAsia" w:ascii="宋体" w:hAnsi="宋体"/>
                <w:sz w:val="21"/>
                <w:szCs w:val="21"/>
              </w:rPr>
              <w:t>9</w:t>
            </w:r>
            <w:r>
              <w:rPr>
                <w:rFonts w:hint="eastAsia" w:ascii="宋体" w:hAnsi="宋体"/>
                <w:sz w:val="21"/>
                <w:szCs w:val="21"/>
                <w:lang w:val="en-US" w:eastAsia="zh-CN"/>
              </w:rPr>
              <w:t>6</w:t>
            </w:r>
            <w:r>
              <w:rPr>
                <w:rFonts w:hint="eastAsia" w:ascii="宋体" w:hAnsi="宋体"/>
                <w:sz w:val="21"/>
                <w:szCs w:val="21"/>
              </w:rPr>
              <w:t>%以上</w:t>
            </w:r>
          </w:p>
        </w:tc>
        <w:tc>
          <w:tcPr>
            <w:tcW w:w="2531" w:type="dxa"/>
            <w:noWrap/>
            <w:vAlign w:val="center"/>
          </w:tcPr>
          <w:p w14:paraId="0060F378">
            <w:pPr>
              <w:adjustRightInd w:val="0"/>
              <w:snapToGrid w:val="0"/>
              <w:jc w:val="center"/>
              <w:rPr>
                <w:rFonts w:ascii="宋体" w:hAnsi="宋体"/>
                <w:kern w:val="2"/>
                <w:sz w:val="21"/>
                <w:szCs w:val="21"/>
              </w:rPr>
            </w:pPr>
            <w:r>
              <w:rPr>
                <w:rFonts w:hint="eastAsia" w:ascii="宋体" w:hAnsi="宋体"/>
                <w:sz w:val="21"/>
                <w:szCs w:val="21"/>
              </w:rPr>
              <w:t>9</w:t>
            </w:r>
            <w:r>
              <w:rPr>
                <w:rFonts w:hint="eastAsia" w:ascii="宋体" w:hAnsi="宋体"/>
                <w:sz w:val="21"/>
                <w:szCs w:val="21"/>
                <w:lang w:val="en-US" w:eastAsia="zh-CN"/>
              </w:rPr>
              <w:t>9</w:t>
            </w:r>
            <w:r>
              <w:rPr>
                <w:rFonts w:hint="eastAsia" w:ascii="宋体" w:hAnsi="宋体"/>
                <w:sz w:val="21"/>
                <w:szCs w:val="21"/>
              </w:rPr>
              <w:t>%以上</w:t>
            </w:r>
          </w:p>
        </w:tc>
      </w:tr>
    </w:tbl>
    <w:p w14:paraId="2D257FB3">
      <w:pPr>
        <w:spacing w:line="360" w:lineRule="auto"/>
        <w:ind w:firstLine="480" w:firstLineChars="200"/>
        <w:rPr>
          <w:rFonts w:ascii="宋体" w:hAnsi="宋体"/>
        </w:rPr>
      </w:pPr>
      <w:r>
        <w:rPr>
          <w:rFonts w:hint="eastAsia" w:ascii="宋体" w:hAnsi="宋体"/>
        </w:rPr>
        <w:t>公司产品发展以创新为源动力，以行业标杆的先进技术为目标，积极引进先进设备，不断提升研发与创新能力，并保持公司在行业中的技术领先地位。具体技术研发计划目标见表4.2-12。</w:t>
      </w:r>
    </w:p>
    <w:p w14:paraId="12A0CA53">
      <w:pPr>
        <w:adjustRightInd w:val="0"/>
        <w:snapToGrid w:val="0"/>
        <w:spacing w:line="360" w:lineRule="auto"/>
        <w:jc w:val="center"/>
        <w:rPr>
          <w:rFonts w:ascii="宋体" w:hAnsi="宋体"/>
          <w:b/>
        </w:rPr>
      </w:pPr>
      <w:r>
        <w:rPr>
          <w:rFonts w:hint="eastAsia" w:ascii="宋体" w:hAnsi="宋体"/>
          <w:b/>
        </w:rPr>
        <w:t>表4.2-12技术研发计划目标</w:t>
      </w:r>
    </w:p>
    <w:tbl>
      <w:tblPr>
        <w:tblStyle w:val="22"/>
        <w:tblW w:w="841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57" w:type="dxa"/>
          <w:left w:w="57" w:type="dxa"/>
          <w:bottom w:w="57" w:type="dxa"/>
          <w:right w:w="57" w:type="dxa"/>
        </w:tblCellMar>
      </w:tblPr>
      <w:tblGrid>
        <w:gridCol w:w="2282"/>
        <w:gridCol w:w="1134"/>
        <w:gridCol w:w="1134"/>
        <w:gridCol w:w="1134"/>
        <w:gridCol w:w="1367"/>
        <w:gridCol w:w="1367"/>
      </w:tblGrid>
      <w:tr w14:paraId="78C229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57" w:type="dxa"/>
            <w:bottom w:w="57" w:type="dxa"/>
            <w:right w:w="57" w:type="dxa"/>
          </w:tblCellMar>
        </w:tblPrEx>
        <w:trPr>
          <w:cantSplit/>
          <w:trHeight w:val="356" w:hRule="atLeast"/>
          <w:jc w:val="center"/>
        </w:trPr>
        <w:tc>
          <w:tcPr>
            <w:tcW w:w="2282" w:type="dxa"/>
            <w:vMerge w:val="restart"/>
            <w:tcBorders>
              <w:top w:val="single" w:color="auto" w:sz="12" w:space="0"/>
              <w:bottom w:val="single" w:color="auto" w:sz="6" w:space="0"/>
            </w:tcBorders>
            <w:shd w:val="clear" w:color="auto" w:fill="757070"/>
            <w:noWrap/>
            <w:vAlign w:val="center"/>
          </w:tcPr>
          <w:p w14:paraId="3D7E92E4">
            <w:pPr>
              <w:adjustRightInd w:val="0"/>
              <w:snapToGrid w:val="0"/>
              <w:ind w:firstLine="361"/>
              <w:rPr>
                <w:rFonts w:ascii="宋体" w:hAnsi="宋体"/>
                <w:b/>
                <w:szCs w:val="21"/>
              </w:rPr>
            </w:pPr>
            <w:r>
              <w:rPr>
                <w:rFonts w:hint="eastAsia" w:ascii="宋体" w:hAnsi="宋体"/>
                <w:b/>
                <w:szCs w:val="21"/>
              </w:rPr>
              <w:t xml:space="preserve">          年度</w:t>
            </w:r>
          </w:p>
          <w:p w14:paraId="3BD60C45">
            <w:pPr>
              <w:adjustRightInd w:val="0"/>
              <w:snapToGrid w:val="0"/>
              <w:ind w:firstLine="361"/>
              <w:rPr>
                <w:rFonts w:ascii="宋体" w:hAnsi="宋体"/>
                <w:b/>
                <w:szCs w:val="21"/>
              </w:rPr>
            </w:pPr>
            <w:r>
              <w:rPr>
                <w:rFonts w:hint="eastAsia" w:ascii="宋体" w:hAnsi="宋体"/>
                <w:b/>
                <w:szCs w:val="21"/>
              </w:rPr>
              <w:t>类型</w:t>
            </w:r>
          </w:p>
        </w:tc>
        <w:tc>
          <w:tcPr>
            <w:tcW w:w="3402" w:type="dxa"/>
            <w:gridSpan w:val="3"/>
            <w:tcBorders>
              <w:top w:val="single" w:color="auto" w:sz="12" w:space="0"/>
              <w:bottom w:val="single" w:color="auto" w:sz="6" w:space="0"/>
            </w:tcBorders>
            <w:shd w:val="clear" w:color="auto" w:fill="757070"/>
            <w:noWrap/>
            <w:vAlign w:val="center"/>
          </w:tcPr>
          <w:p w14:paraId="1DA18BEF">
            <w:pPr>
              <w:adjustRightInd w:val="0"/>
              <w:snapToGrid w:val="0"/>
              <w:ind w:firstLine="361"/>
              <w:jc w:val="center"/>
              <w:rPr>
                <w:rFonts w:ascii="宋体" w:hAnsi="宋体"/>
                <w:b/>
                <w:szCs w:val="21"/>
              </w:rPr>
            </w:pPr>
            <w:r>
              <w:rPr>
                <w:rFonts w:hint="eastAsia" w:ascii="宋体" w:hAnsi="宋体"/>
                <w:b/>
                <w:szCs w:val="21"/>
              </w:rPr>
              <w:t>完成值</w:t>
            </w:r>
          </w:p>
        </w:tc>
        <w:tc>
          <w:tcPr>
            <w:tcW w:w="1367" w:type="dxa"/>
            <w:tcBorders>
              <w:top w:val="single" w:color="auto" w:sz="12" w:space="0"/>
              <w:bottom w:val="single" w:color="auto" w:sz="6" w:space="0"/>
            </w:tcBorders>
            <w:shd w:val="clear" w:color="auto" w:fill="757070"/>
            <w:noWrap/>
            <w:vAlign w:val="center"/>
          </w:tcPr>
          <w:p w14:paraId="598213A2">
            <w:pPr>
              <w:adjustRightInd w:val="0"/>
              <w:snapToGrid w:val="0"/>
              <w:rPr>
                <w:rFonts w:ascii="宋体" w:hAnsi="宋体"/>
                <w:b/>
                <w:szCs w:val="21"/>
              </w:rPr>
            </w:pPr>
            <w:r>
              <w:rPr>
                <w:rFonts w:hint="eastAsia" w:ascii="宋体" w:hAnsi="宋体"/>
                <w:b/>
                <w:szCs w:val="21"/>
              </w:rPr>
              <w:t>短期目标</w:t>
            </w:r>
          </w:p>
        </w:tc>
        <w:tc>
          <w:tcPr>
            <w:tcW w:w="1367" w:type="dxa"/>
            <w:tcBorders>
              <w:top w:val="single" w:color="auto" w:sz="12" w:space="0"/>
              <w:bottom w:val="single" w:color="auto" w:sz="6" w:space="0"/>
            </w:tcBorders>
            <w:shd w:val="clear" w:color="auto" w:fill="757070"/>
            <w:noWrap/>
            <w:vAlign w:val="center"/>
          </w:tcPr>
          <w:p w14:paraId="6E381673">
            <w:pPr>
              <w:adjustRightInd w:val="0"/>
              <w:snapToGrid w:val="0"/>
              <w:rPr>
                <w:rFonts w:ascii="宋体" w:hAnsi="宋体"/>
                <w:b/>
                <w:szCs w:val="21"/>
              </w:rPr>
            </w:pPr>
            <w:r>
              <w:rPr>
                <w:rFonts w:hint="eastAsia" w:ascii="宋体" w:hAnsi="宋体"/>
                <w:b/>
                <w:szCs w:val="21"/>
              </w:rPr>
              <w:t>长期目标</w:t>
            </w:r>
          </w:p>
        </w:tc>
      </w:tr>
      <w:tr w14:paraId="2ADE6C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57" w:type="dxa"/>
            <w:bottom w:w="57" w:type="dxa"/>
            <w:right w:w="57" w:type="dxa"/>
          </w:tblCellMar>
        </w:tblPrEx>
        <w:trPr>
          <w:cantSplit/>
          <w:trHeight w:val="298" w:hRule="atLeast"/>
          <w:jc w:val="center"/>
        </w:trPr>
        <w:tc>
          <w:tcPr>
            <w:tcW w:w="2282" w:type="dxa"/>
            <w:vMerge w:val="continue"/>
            <w:tcBorders>
              <w:top w:val="single" w:color="auto" w:sz="6" w:space="0"/>
              <w:bottom w:val="single" w:color="auto" w:sz="6" w:space="0"/>
            </w:tcBorders>
            <w:shd w:val="clear" w:color="auto" w:fill="757070"/>
            <w:noWrap/>
            <w:vAlign w:val="center"/>
          </w:tcPr>
          <w:p w14:paraId="4BBEC062">
            <w:pPr>
              <w:adjustRightInd w:val="0"/>
              <w:snapToGrid w:val="0"/>
              <w:ind w:firstLine="361"/>
              <w:rPr>
                <w:rFonts w:ascii="宋体" w:hAnsi="宋体"/>
                <w:b/>
                <w:szCs w:val="21"/>
              </w:rPr>
            </w:pPr>
          </w:p>
        </w:tc>
        <w:tc>
          <w:tcPr>
            <w:tcW w:w="1134" w:type="dxa"/>
            <w:tcBorders>
              <w:top w:val="single" w:color="auto" w:sz="6" w:space="0"/>
              <w:bottom w:val="single" w:color="auto" w:sz="6" w:space="0"/>
            </w:tcBorders>
            <w:shd w:val="clear" w:color="auto" w:fill="757070"/>
            <w:noWrap/>
            <w:vAlign w:val="center"/>
          </w:tcPr>
          <w:p w14:paraId="6FE741F2">
            <w:pPr>
              <w:adjustRightInd w:val="0"/>
              <w:snapToGrid w:val="0"/>
              <w:jc w:val="center"/>
              <w:rPr>
                <w:rFonts w:ascii="宋体" w:hAnsi="宋体"/>
                <w:b/>
                <w:szCs w:val="21"/>
              </w:rPr>
            </w:pPr>
            <w:r>
              <w:rPr>
                <w:rFonts w:hint="eastAsia" w:ascii="宋体" w:hAnsi="宋体"/>
                <w:b/>
                <w:szCs w:val="21"/>
              </w:rPr>
              <w:t>202</w:t>
            </w:r>
            <w:r>
              <w:rPr>
                <w:rFonts w:hint="eastAsia" w:ascii="宋体" w:hAnsi="宋体"/>
                <w:b/>
                <w:szCs w:val="21"/>
                <w:lang w:val="en-US" w:eastAsia="zh-CN"/>
              </w:rPr>
              <w:t>3</w:t>
            </w:r>
            <w:r>
              <w:rPr>
                <w:rFonts w:hint="eastAsia" w:ascii="宋体" w:hAnsi="宋体"/>
                <w:b/>
                <w:szCs w:val="21"/>
              </w:rPr>
              <w:t>年</w:t>
            </w:r>
          </w:p>
        </w:tc>
        <w:tc>
          <w:tcPr>
            <w:tcW w:w="1134" w:type="dxa"/>
            <w:tcBorders>
              <w:top w:val="single" w:color="auto" w:sz="6" w:space="0"/>
              <w:bottom w:val="single" w:color="auto" w:sz="6" w:space="0"/>
            </w:tcBorders>
            <w:shd w:val="clear" w:color="auto" w:fill="757070"/>
            <w:noWrap/>
            <w:vAlign w:val="center"/>
          </w:tcPr>
          <w:p w14:paraId="15D9D2A8">
            <w:pPr>
              <w:adjustRightInd w:val="0"/>
              <w:snapToGrid w:val="0"/>
              <w:jc w:val="center"/>
              <w:rPr>
                <w:rFonts w:ascii="宋体" w:hAnsi="宋体"/>
                <w:b/>
                <w:szCs w:val="21"/>
              </w:rPr>
            </w:pPr>
            <w:r>
              <w:rPr>
                <w:rFonts w:hint="eastAsia" w:ascii="宋体" w:hAnsi="宋体"/>
                <w:b/>
                <w:szCs w:val="21"/>
              </w:rPr>
              <w:t>20</w:t>
            </w:r>
            <w:r>
              <w:rPr>
                <w:rFonts w:ascii="宋体" w:hAnsi="宋体"/>
                <w:b/>
                <w:szCs w:val="21"/>
              </w:rPr>
              <w:t>2</w:t>
            </w:r>
            <w:r>
              <w:rPr>
                <w:rFonts w:hint="eastAsia" w:ascii="宋体" w:hAnsi="宋体"/>
                <w:b/>
                <w:szCs w:val="21"/>
                <w:lang w:val="en-US" w:eastAsia="zh-CN"/>
              </w:rPr>
              <w:t>4</w:t>
            </w:r>
            <w:r>
              <w:rPr>
                <w:rFonts w:hint="eastAsia" w:ascii="宋体" w:hAnsi="宋体"/>
                <w:b/>
                <w:szCs w:val="21"/>
              </w:rPr>
              <w:t>年</w:t>
            </w:r>
          </w:p>
        </w:tc>
        <w:tc>
          <w:tcPr>
            <w:tcW w:w="1134" w:type="dxa"/>
            <w:tcBorders>
              <w:top w:val="single" w:color="auto" w:sz="6" w:space="0"/>
              <w:bottom w:val="single" w:color="auto" w:sz="6" w:space="0"/>
            </w:tcBorders>
            <w:shd w:val="clear" w:color="auto" w:fill="757070"/>
            <w:noWrap/>
            <w:vAlign w:val="center"/>
          </w:tcPr>
          <w:p w14:paraId="607346AE">
            <w:pPr>
              <w:adjustRightInd w:val="0"/>
              <w:snapToGrid w:val="0"/>
              <w:jc w:val="center"/>
              <w:rPr>
                <w:rFonts w:ascii="宋体" w:hAnsi="宋体"/>
                <w:b/>
                <w:szCs w:val="21"/>
              </w:rPr>
            </w:pPr>
            <w:r>
              <w:rPr>
                <w:rFonts w:hint="eastAsia" w:ascii="宋体" w:hAnsi="宋体"/>
                <w:b/>
                <w:szCs w:val="21"/>
              </w:rPr>
              <w:t>202</w:t>
            </w:r>
            <w:r>
              <w:rPr>
                <w:rFonts w:hint="eastAsia" w:ascii="宋体" w:hAnsi="宋体"/>
                <w:b/>
                <w:szCs w:val="21"/>
                <w:lang w:val="en-US" w:eastAsia="zh-CN"/>
              </w:rPr>
              <w:t>5</w:t>
            </w:r>
            <w:r>
              <w:rPr>
                <w:rFonts w:hint="eastAsia" w:ascii="宋体" w:hAnsi="宋体"/>
                <w:b/>
                <w:szCs w:val="21"/>
              </w:rPr>
              <w:t>年</w:t>
            </w:r>
          </w:p>
        </w:tc>
        <w:tc>
          <w:tcPr>
            <w:tcW w:w="1367" w:type="dxa"/>
            <w:tcBorders>
              <w:top w:val="single" w:color="auto" w:sz="6" w:space="0"/>
              <w:bottom w:val="single" w:color="auto" w:sz="6" w:space="0"/>
            </w:tcBorders>
            <w:shd w:val="clear" w:color="auto" w:fill="757070"/>
            <w:noWrap/>
            <w:vAlign w:val="center"/>
          </w:tcPr>
          <w:p w14:paraId="416B5E46">
            <w:pPr>
              <w:adjustRightInd w:val="0"/>
              <w:snapToGrid w:val="0"/>
              <w:jc w:val="center"/>
              <w:rPr>
                <w:rFonts w:ascii="宋体" w:hAnsi="宋体"/>
                <w:b/>
                <w:szCs w:val="21"/>
              </w:rPr>
            </w:pPr>
            <w:r>
              <w:rPr>
                <w:rFonts w:hint="eastAsia" w:ascii="宋体" w:hAnsi="宋体"/>
                <w:b/>
                <w:szCs w:val="21"/>
              </w:rPr>
              <w:t>202</w:t>
            </w:r>
            <w:r>
              <w:rPr>
                <w:rFonts w:hint="eastAsia" w:ascii="宋体" w:hAnsi="宋体"/>
                <w:b/>
                <w:szCs w:val="21"/>
                <w:lang w:val="en-US" w:eastAsia="zh-CN"/>
              </w:rPr>
              <w:t>6</w:t>
            </w:r>
            <w:r>
              <w:rPr>
                <w:rFonts w:hint="eastAsia" w:ascii="宋体" w:hAnsi="宋体"/>
                <w:b/>
                <w:szCs w:val="21"/>
              </w:rPr>
              <w:t>年</w:t>
            </w:r>
          </w:p>
        </w:tc>
        <w:tc>
          <w:tcPr>
            <w:tcW w:w="1367" w:type="dxa"/>
            <w:tcBorders>
              <w:top w:val="single" w:color="auto" w:sz="6" w:space="0"/>
              <w:bottom w:val="single" w:color="auto" w:sz="6" w:space="0"/>
            </w:tcBorders>
            <w:shd w:val="clear" w:color="auto" w:fill="757070"/>
            <w:noWrap/>
            <w:vAlign w:val="center"/>
          </w:tcPr>
          <w:p w14:paraId="4F0C6DD5">
            <w:pPr>
              <w:adjustRightInd w:val="0"/>
              <w:snapToGrid w:val="0"/>
              <w:ind w:firstLine="354" w:firstLineChars="147"/>
              <w:rPr>
                <w:rFonts w:ascii="宋体" w:hAnsi="宋体"/>
                <w:b/>
                <w:szCs w:val="21"/>
              </w:rPr>
            </w:pPr>
            <w:r>
              <w:rPr>
                <w:rFonts w:hint="eastAsia" w:ascii="宋体" w:hAnsi="宋体"/>
                <w:b/>
                <w:szCs w:val="21"/>
              </w:rPr>
              <w:t>20</w:t>
            </w:r>
            <w:r>
              <w:rPr>
                <w:rFonts w:hint="eastAsia" w:ascii="宋体" w:hAnsi="宋体"/>
                <w:b/>
                <w:szCs w:val="21"/>
                <w:lang w:val="en-US" w:eastAsia="zh-CN"/>
              </w:rPr>
              <w:t>30</w:t>
            </w:r>
            <w:r>
              <w:rPr>
                <w:rFonts w:hint="eastAsia" w:ascii="宋体" w:hAnsi="宋体"/>
                <w:b/>
                <w:szCs w:val="21"/>
              </w:rPr>
              <w:t>年</w:t>
            </w:r>
          </w:p>
        </w:tc>
      </w:tr>
      <w:tr w14:paraId="7F202A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57" w:type="dxa"/>
            <w:bottom w:w="57" w:type="dxa"/>
            <w:right w:w="57" w:type="dxa"/>
          </w:tblCellMar>
        </w:tblPrEx>
        <w:trPr>
          <w:trHeight w:val="219" w:hRule="atLeast"/>
          <w:jc w:val="center"/>
        </w:trPr>
        <w:tc>
          <w:tcPr>
            <w:tcW w:w="2282" w:type="dxa"/>
            <w:noWrap/>
            <w:vAlign w:val="center"/>
          </w:tcPr>
          <w:p w14:paraId="31F0A393">
            <w:pPr>
              <w:adjustRightInd w:val="0"/>
              <w:snapToGrid w:val="0"/>
              <w:ind w:firstLine="360"/>
              <w:jc w:val="center"/>
              <w:rPr>
                <w:rFonts w:ascii="宋体" w:hAnsi="宋体"/>
                <w:szCs w:val="21"/>
              </w:rPr>
            </w:pPr>
            <w:r>
              <w:rPr>
                <w:rFonts w:hint="eastAsia" w:ascii="宋体" w:hAnsi="宋体"/>
                <w:szCs w:val="21"/>
              </w:rPr>
              <w:t>研发费用（万元）</w:t>
            </w:r>
          </w:p>
        </w:tc>
        <w:tc>
          <w:tcPr>
            <w:tcW w:w="1134" w:type="dxa"/>
            <w:shd w:val="clear" w:color="auto" w:fill="auto"/>
            <w:noWrap/>
            <w:vAlign w:val="center"/>
          </w:tcPr>
          <w:p w14:paraId="77C00C2D">
            <w:pPr>
              <w:adjustRightInd w:val="0"/>
              <w:snapToGrid w:val="0"/>
              <w:jc w:val="center"/>
              <w:rPr>
                <w:rFonts w:hint="default" w:ascii="宋体" w:hAnsi="宋体" w:eastAsia="宋体"/>
                <w:color w:val="auto"/>
                <w:kern w:val="2"/>
                <w:szCs w:val="21"/>
                <w:highlight w:val="none"/>
                <w:lang w:val="en-US" w:eastAsia="zh-CN"/>
              </w:rPr>
            </w:pPr>
            <w:r>
              <w:rPr>
                <w:rFonts w:hint="eastAsia" w:ascii="宋体" w:hAnsi="宋体"/>
                <w:color w:val="auto"/>
                <w:kern w:val="2"/>
                <w:szCs w:val="21"/>
                <w:highlight w:val="none"/>
                <w:lang w:val="en-US" w:eastAsia="zh-CN"/>
              </w:rPr>
              <w:t>156</w:t>
            </w:r>
          </w:p>
        </w:tc>
        <w:tc>
          <w:tcPr>
            <w:tcW w:w="1134" w:type="dxa"/>
            <w:shd w:val="clear" w:color="auto" w:fill="auto"/>
            <w:noWrap/>
            <w:vAlign w:val="center"/>
          </w:tcPr>
          <w:p w14:paraId="1DA00905">
            <w:pPr>
              <w:jc w:val="center"/>
              <w:rPr>
                <w:rFonts w:hint="default" w:ascii="宋体" w:hAnsi="宋体" w:eastAsia="宋体"/>
                <w:color w:val="auto"/>
                <w:kern w:val="2"/>
                <w:szCs w:val="21"/>
                <w:highlight w:val="none"/>
                <w:lang w:val="en-US" w:eastAsia="zh-CN"/>
              </w:rPr>
            </w:pPr>
            <w:r>
              <w:rPr>
                <w:rFonts w:hint="eastAsia" w:ascii="宋体" w:hAnsi="宋体"/>
                <w:color w:val="auto"/>
                <w:kern w:val="2"/>
                <w:szCs w:val="21"/>
                <w:highlight w:val="none"/>
                <w:lang w:val="en-US" w:eastAsia="zh-CN"/>
              </w:rPr>
              <w:t>163</w:t>
            </w:r>
          </w:p>
        </w:tc>
        <w:tc>
          <w:tcPr>
            <w:tcW w:w="1134" w:type="dxa"/>
            <w:shd w:val="clear" w:color="auto" w:fill="auto"/>
            <w:noWrap/>
            <w:vAlign w:val="center"/>
          </w:tcPr>
          <w:p w14:paraId="1F86C33C">
            <w:pPr>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170</w:t>
            </w:r>
          </w:p>
        </w:tc>
        <w:tc>
          <w:tcPr>
            <w:tcW w:w="1367" w:type="dxa"/>
            <w:noWrap/>
            <w:vAlign w:val="center"/>
          </w:tcPr>
          <w:p w14:paraId="0FFC940A">
            <w:pPr>
              <w:jc w:val="center"/>
              <w:rPr>
                <w:rFonts w:hint="default" w:ascii="宋体" w:hAnsi="宋体" w:eastAsia="宋体"/>
                <w:szCs w:val="21"/>
                <w:lang w:val="en-US" w:eastAsia="zh-CN"/>
              </w:rPr>
            </w:pPr>
            <w:r>
              <w:rPr>
                <w:rFonts w:hint="eastAsia" w:ascii="宋体" w:hAnsi="宋体"/>
                <w:szCs w:val="21"/>
                <w:lang w:val="en-US" w:eastAsia="zh-CN"/>
              </w:rPr>
              <w:t>180</w:t>
            </w:r>
          </w:p>
        </w:tc>
        <w:tc>
          <w:tcPr>
            <w:tcW w:w="1367" w:type="dxa"/>
            <w:noWrap/>
            <w:vAlign w:val="center"/>
          </w:tcPr>
          <w:p w14:paraId="67C802CC">
            <w:pPr>
              <w:jc w:val="center"/>
              <w:rPr>
                <w:rFonts w:hint="default" w:ascii="宋体" w:hAnsi="宋体" w:eastAsia="宋体"/>
                <w:szCs w:val="21"/>
                <w:lang w:val="en-US" w:eastAsia="zh-CN"/>
              </w:rPr>
            </w:pPr>
            <w:r>
              <w:rPr>
                <w:rFonts w:hint="eastAsia" w:ascii="宋体" w:hAnsi="宋体"/>
                <w:szCs w:val="21"/>
                <w:lang w:val="en-US" w:eastAsia="zh-CN"/>
              </w:rPr>
              <w:t>240</w:t>
            </w:r>
          </w:p>
        </w:tc>
      </w:tr>
      <w:tr w14:paraId="16778D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57" w:type="dxa"/>
            <w:bottom w:w="57" w:type="dxa"/>
            <w:right w:w="57" w:type="dxa"/>
          </w:tblCellMar>
        </w:tblPrEx>
        <w:trPr>
          <w:trHeight w:val="219" w:hRule="atLeast"/>
          <w:jc w:val="center"/>
        </w:trPr>
        <w:tc>
          <w:tcPr>
            <w:tcW w:w="2282" w:type="dxa"/>
            <w:noWrap/>
            <w:vAlign w:val="center"/>
          </w:tcPr>
          <w:p w14:paraId="1011C4CE">
            <w:pPr>
              <w:adjustRightInd w:val="0"/>
              <w:snapToGrid w:val="0"/>
              <w:ind w:firstLine="360"/>
              <w:jc w:val="center"/>
              <w:rPr>
                <w:rFonts w:ascii="宋体" w:hAnsi="宋体"/>
                <w:szCs w:val="21"/>
              </w:rPr>
            </w:pPr>
            <w:r>
              <w:rPr>
                <w:rFonts w:hint="eastAsia" w:ascii="宋体" w:hAnsi="宋体"/>
                <w:szCs w:val="21"/>
              </w:rPr>
              <w:t>措施</w:t>
            </w:r>
          </w:p>
        </w:tc>
        <w:tc>
          <w:tcPr>
            <w:tcW w:w="6136" w:type="dxa"/>
            <w:gridSpan w:val="5"/>
            <w:noWrap/>
            <w:vAlign w:val="center"/>
          </w:tcPr>
          <w:p w14:paraId="14B7CEDB">
            <w:pPr>
              <w:numPr>
                <w:ilvl w:val="0"/>
                <w:numId w:val="1"/>
              </w:numPr>
              <w:adjustRightInd w:val="0"/>
              <w:snapToGrid w:val="0"/>
              <w:spacing w:line="300" w:lineRule="auto"/>
              <w:ind w:left="96" w:leftChars="40" w:firstLine="0"/>
              <w:rPr>
                <w:rFonts w:ascii="宋体" w:hAnsi="宋体"/>
                <w:szCs w:val="21"/>
              </w:rPr>
            </w:pPr>
            <w:r>
              <w:rPr>
                <w:rFonts w:hint="eastAsia" w:ascii="宋体" w:hAnsi="宋体"/>
                <w:szCs w:val="21"/>
              </w:rPr>
              <w:t>完善与梳理工艺文件，</w:t>
            </w:r>
            <w:r>
              <w:rPr>
                <w:rFonts w:hint="eastAsia" w:ascii="宋体" w:hAnsi="宋体"/>
                <w:kern w:val="2"/>
                <w:szCs w:val="21"/>
              </w:rPr>
              <w:t>编制相关设备的工艺卡片，</w:t>
            </w:r>
            <w:r>
              <w:rPr>
                <w:rFonts w:hint="eastAsia" w:ascii="宋体" w:hAnsi="宋体"/>
                <w:szCs w:val="21"/>
              </w:rPr>
              <w:t>保持其与公司体系运行及生产的衔接；</w:t>
            </w:r>
          </w:p>
          <w:p w14:paraId="6A876DFD">
            <w:pPr>
              <w:numPr>
                <w:ilvl w:val="0"/>
                <w:numId w:val="1"/>
              </w:numPr>
              <w:adjustRightInd w:val="0"/>
              <w:snapToGrid w:val="0"/>
              <w:spacing w:line="300" w:lineRule="auto"/>
              <w:ind w:left="96" w:leftChars="40" w:firstLine="0"/>
              <w:rPr>
                <w:rFonts w:ascii="宋体" w:hAnsi="宋体"/>
                <w:kern w:val="2"/>
                <w:szCs w:val="21"/>
              </w:rPr>
            </w:pPr>
            <w:r>
              <w:rPr>
                <w:rFonts w:hint="eastAsia" w:ascii="宋体" w:hAnsi="宋体"/>
                <w:kern w:val="2"/>
                <w:szCs w:val="21"/>
              </w:rPr>
              <w:t>组织全体人员进行相关培训，提高人员素质；</w:t>
            </w:r>
          </w:p>
          <w:p w14:paraId="68937938">
            <w:pPr>
              <w:numPr>
                <w:ilvl w:val="0"/>
                <w:numId w:val="1"/>
              </w:numPr>
              <w:adjustRightInd w:val="0"/>
              <w:snapToGrid w:val="0"/>
              <w:spacing w:line="300" w:lineRule="auto"/>
              <w:ind w:left="96" w:leftChars="40" w:firstLine="0"/>
              <w:rPr>
                <w:rFonts w:ascii="宋体" w:hAnsi="宋体"/>
                <w:kern w:val="2"/>
                <w:szCs w:val="21"/>
              </w:rPr>
            </w:pPr>
            <w:r>
              <w:rPr>
                <w:rFonts w:hint="eastAsia" w:ascii="宋体" w:hAnsi="宋体"/>
                <w:kern w:val="2"/>
                <w:szCs w:val="21"/>
              </w:rPr>
              <w:t>产品开发按照项目制进行，加强对各工艺纪律考核；</w:t>
            </w:r>
          </w:p>
          <w:p w14:paraId="7C9E5246">
            <w:pPr>
              <w:numPr>
                <w:ilvl w:val="0"/>
                <w:numId w:val="1"/>
              </w:numPr>
              <w:adjustRightInd w:val="0"/>
              <w:snapToGrid w:val="0"/>
              <w:spacing w:line="300" w:lineRule="auto"/>
              <w:ind w:left="96" w:leftChars="40" w:firstLine="0"/>
              <w:rPr>
                <w:rFonts w:ascii="宋体" w:hAnsi="宋体"/>
                <w:kern w:val="2"/>
                <w:szCs w:val="21"/>
              </w:rPr>
            </w:pPr>
            <w:r>
              <w:rPr>
                <w:rFonts w:hint="eastAsia" w:ascii="宋体" w:hAnsi="宋体"/>
                <w:kern w:val="2"/>
                <w:szCs w:val="21"/>
              </w:rPr>
              <w:t>进行定额的工艺验证；</w:t>
            </w:r>
          </w:p>
          <w:p w14:paraId="60C74E13">
            <w:pPr>
              <w:numPr>
                <w:ilvl w:val="0"/>
                <w:numId w:val="1"/>
              </w:numPr>
              <w:adjustRightInd w:val="0"/>
              <w:snapToGrid w:val="0"/>
              <w:spacing w:line="300" w:lineRule="auto"/>
              <w:ind w:left="96" w:leftChars="40" w:firstLine="0"/>
              <w:rPr>
                <w:rFonts w:ascii="宋体" w:hAnsi="宋体"/>
                <w:szCs w:val="21"/>
              </w:rPr>
            </w:pPr>
            <w:r>
              <w:rPr>
                <w:rFonts w:hint="eastAsia" w:ascii="宋体" w:hAnsi="宋体"/>
                <w:kern w:val="2"/>
                <w:szCs w:val="21"/>
              </w:rPr>
              <w:t>积极开展与产品相关的专利开发与申报工作，增强企业产品技术含量；</w:t>
            </w:r>
          </w:p>
          <w:p w14:paraId="590B187A">
            <w:pPr>
              <w:numPr>
                <w:ilvl w:val="0"/>
                <w:numId w:val="1"/>
              </w:numPr>
              <w:adjustRightInd w:val="0"/>
              <w:snapToGrid w:val="0"/>
              <w:spacing w:line="300" w:lineRule="auto"/>
              <w:ind w:left="96" w:leftChars="40" w:firstLine="0"/>
              <w:rPr>
                <w:rFonts w:ascii="宋体" w:hAnsi="宋体"/>
                <w:kern w:val="2"/>
                <w:szCs w:val="21"/>
              </w:rPr>
            </w:pPr>
            <w:r>
              <w:rPr>
                <w:rFonts w:hint="eastAsia" w:ascii="宋体" w:hAnsi="宋体"/>
                <w:kern w:val="2"/>
                <w:szCs w:val="21"/>
              </w:rPr>
              <w:t>着重开发较利于市场开拓及提高企业知名度的产品；</w:t>
            </w:r>
          </w:p>
          <w:p w14:paraId="19B6D78A">
            <w:pPr>
              <w:numPr>
                <w:ilvl w:val="0"/>
                <w:numId w:val="1"/>
              </w:numPr>
              <w:adjustRightInd w:val="0"/>
              <w:snapToGrid w:val="0"/>
              <w:spacing w:line="300" w:lineRule="auto"/>
              <w:ind w:left="96" w:leftChars="40" w:firstLine="0"/>
              <w:rPr>
                <w:kern w:val="2"/>
                <w:szCs w:val="21"/>
              </w:rPr>
            </w:pPr>
            <w:r>
              <w:rPr>
                <w:rFonts w:hint="eastAsia"/>
                <w:kern w:val="2"/>
                <w:szCs w:val="21"/>
              </w:rPr>
              <w:t>根据生产一线及市场提出的问题，加强服务。</w:t>
            </w:r>
          </w:p>
        </w:tc>
      </w:tr>
    </w:tbl>
    <w:p w14:paraId="036CA1E5">
      <w:pPr>
        <w:adjustRightInd w:val="0"/>
        <w:snapToGrid w:val="0"/>
        <w:ind w:firstLine="420"/>
        <w:rPr>
          <w:rFonts w:ascii="宋体" w:hAnsi="宋体"/>
        </w:rPr>
      </w:pPr>
    </w:p>
    <w:p w14:paraId="798B8F4D">
      <w:pPr>
        <w:adjustRightInd w:val="0"/>
        <w:snapToGrid w:val="0"/>
        <w:spacing w:line="360" w:lineRule="auto"/>
        <w:ind w:firstLine="420"/>
        <w:rPr>
          <w:rFonts w:ascii="宋体" w:hAnsi="宋体"/>
        </w:rPr>
      </w:pPr>
      <w:r>
        <w:rPr>
          <w:rFonts w:hint="eastAsia" w:ascii="宋体" w:hAnsi="宋体"/>
        </w:rPr>
        <w:t>注：未来产品的研发方向主要集中在较利于目标市场开拓产品的开发，以及具有发展潜力的应用领域的产品开发，并引进高端技术人才，加强基础研究投入。</w:t>
      </w:r>
    </w:p>
    <w:p w14:paraId="7A057741">
      <w:pPr>
        <w:tabs>
          <w:tab w:val="left" w:pos="2893"/>
          <w:tab w:val="left" w:pos="2940"/>
          <w:tab w:val="left" w:pos="3360"/>
          <w:tab w:val="left" w:pos="3780"/>
          <w:tab w:val="center" w:pos="4452"/>
        </w:tabs>
        <w:adjustRightInd w:val="0"/>
        <w:snapToGrid w:val="0"/>
        <w:spacing w:before="156" w:beforeLines="50" w:line="360" w:lineRule="auto"/>
        <w:ind w:firstLine="472" w:firstLineChars="196"/>
        <w:outlineLvl w:val="4"/>
        <w:rPr>
          <w:rFonts w:ascii="宋体" w:hAnsi="宋体"/>
          <w:b/>
        </w:rPr>
      </w:pPr>
      <w:r>
        <w:rPr>
          <w:rFonts w:hint="eastAsia" w:ascii="宋体" w:hAnsi="宋体"/>
          <w:b/>
        </w:rPr>
        <w:t>b）关键变化</w:t>
      </w:r>
    </w:p>
    <w:p w14:paraId="3EBCE33D">
      <w:pPr>
        <w:adjustRightInd w:val="0"/>
        <w:snapToGrid w:val="0"/>
        <w:spacing w:line="360" w:lineRule="auto"/>
        <w:ind w:firstLine="422"/>
        <w:jc w:val="center"/>
        <w:rPr>
          <w:rFonts w:ascii="宋体" w:hAnsi="宋体"/>
          <w:b/>
        </w:rPr>
      </w:pPr>
      <w:r>
        <w:rPr>
          <w:rFonts w:hint="eastAsia" w:ascii="宋体" w:hAnsi="宋体"/>
          <w:b/>
        </w:rPr>
        <w:t>表4.2-14 产品和服务、顾客和市场、运营方面的关键变化</w:t>
      </w:r>
    </w:p>
    <w:tbl>
      <w:tblPr>
        <w:tblStyle w:val="22"/>
        <w:tblW w:w="870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108" w:type="dxa"/>
          <w:bottom w:w="28" w:type="dxa"/>
          <w:right w:w="108" w:type="dxa"/>
        </w:tblCellMar>
      </w:tblPr>
      <w:tblGrid>
        <w:gridCol w:w="1189"/>
        <w:gridCol w:w="3877"/>
        <w:gridCol w:w="3640"/>
      </w:tblGrid>
      <w:tr w14:paraId="09B74E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108" w:type="dxa"/>
            <w:bottom w:w="28" w:type="dxa"/>
            <w:right w:w="108" w:type="dxa"/>
          </w:tblCellMar>
        </w:tblPrEx>
        <w:trPr>
          <w:trHeight w:val="415" w:hRule="atLeast"/>
          <w:jc w:val="center"/>
        </w:trPr>
        <w:tc>
          <w:tcPr>
            <w:tcW w:w="1189" w:type="dxa"/>
            <w:tcBorders>
              <w:top w:val="single" w:color="auto" w:sz="12" w:space="0"/>
              <w:bottom w:val="single" w:color="auto" w:sz="6" w:space="0"/>
            </w:tcBorders>
            <w:shd w:val="clear" w:color="auto" w:fill="757070"/>
            <w:noWrap/>
            <w:vAlign w:val="center"/>
          </w:tcPr>
          <w:p w14:paraId="6F6660EA">
            <w:pPr>
              <w:adjustRightInd w:val="0"/>
              <w:snapToGrid w:val="0"/>
              <w:jc w:val="center"/>
              <w:rPr>
                <w:rFonts w:ascii="宋体" w:hAnsi="宋体"/>
                <w:b/>
                <w:szCs w:val="21"/>
              </w:rPr>
            </w:pPr>
            <w:r>
              <w:rPr>
                <w:rFonts w:hint="eastAsia" w:ascii="宋体" w:hAnsi="宋体"/>
                <w:b/>
                <w:szCs w:val="21"/>
              </w:rPr>
              <w:t>类别</w:t>
            </w:r>
          </w:p>
        </w:tc>
        <w:tc>
          <w:tcPr>
            <w:tcW w:w="3877" w:type="dxa"/>
            <w:tcBorders>
              <w:top w:val="single" w:color="auto" w:sz="12" w:space="0"/>
              <w:bottom w:val="single" w:color="auto" w:sz="6" w:space="0"/>
            </w:tcBorders>
            <w:shd w:val="clear" w:color="auto" w:fill="757070"/>
            <w:noWrap/>
            <w:vAlign w:val="center"/>
          </w:tcPr>
          <w:p w14:paraId="45A0F555">
            <w:pPr>
              <w:adjustRightInd w:val="0"/>
              <w:snapToGrid w:val="0"/>
              <w:jc w:val="center"/>
              <w:rPr>
                <w:rFonts w:ascii="宋体" w:hAnsi="宋体"/>
                <w:b/>
                <w:szCs w:val="21"/>
              </w:rPr>
            </w:pPr>
            <w:r>
              <w:rPr>
                <w:rFonts w:hint="eastAsia" w:ascii="宋体" w:hAnsi="宋体"/>
                <w:b/>
                <w:szCs w:val="21"/>
              </w:rPr>
              <w:t>现状</w:t>
            </w:r>
          </w:p>
        </w:tc>
        <w:tc>
          <w:tcPr>
            <w:tcW w:w="3640" w:type="dxa"/>
            <w:tcBorders>
              <w:top w:val="single" w:color="auto" w:sz="12" w:space="0"/>
              <w:bottom w:val="single" w:color="auto" w:sz="6" w:space="0"/>
            </w:tcBorders>
            <w:shd w:val="clear" w:color="auto" w:fill="757070"/>
            <w:noWrap/>
            <w:vAlign w:val="center"/>
          </w:tcPr>
          <w:p w14:paraId="4AF08F53">
            <w:pPr>
              <w:adjustRightInd w:val="0"/>
              <w:snapToGrid w:val="0"/>
              <w:jc w:val="center"/>
              <w:rPr>
                <w:rFonts w:ascii="宋体" w:hAnsi="宋体"/>
                <w:b/>
                <w:szCs w:val="21"/>
              </w:rPr>
            </w:pPr>
            <w:r>
              <w:rPr>
                <w:rFonts w:hint="eastAsia" w:ascii="宋体" w:hAnsi="宋体"/>
                <w:b/>
                <w:szCs w:val="21"/>
              </w:rPr>
              <w:t>将来</w:t>
            </w:r>
          </w:p>
        </w:tc>
      </w:tr>
      <w:tr w14:paraId="17D644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108" w:type="dxa"/>
            <w:bottom w:w="28" w:type="dxa"/>
            <w:right w:w="108" w:type="dxa"/>
          </w:tblCellMar>
        </w:tblPrEx>
        <w:trPr>
          <w:trHeight w:val="436" w:hRule="atLeast"/>
          <w:jc w:val="center"/>
        </w:trPr>
        <w:tc>
          <w:tcPr>
            <w:tcW w:w="1189" w:type="dxa"/>
            <w:tcBorders>
              <w:top w:val="single" w:color="auto" w:sz="6" w:space="0"/>
            </w:tcBorders>
            <w:noWrap/>
            <w:vAlign w:val="center"/>
          </w:tcPr>
          <w:p w14:paraId="58383096">
            <w:pPr>
              <w:adjustRightInd w:val="0"/>
              <w:snapToGrid w:val="0"/>
              <w:rPr>
                <w:rFonts w:ascii="宋体" w:hAnsi="宋体"/>
                <w:szCs w:val="21"/>
              </w:rPr>
            </w:pPr>
            <w:r>
              <w:rPr>
                <w:rFonts w:hint="eastAsia" w:ascii="宋体" w:hAnsi="宋体"/>
                <w:szCs w:val="21"/>
              </w:rPr>
              <w:t>产品方面</w:t>
            </w:r>
          </w:p>
        </w:tc>
        <w:tc>
          <w:tcPr>
            <w:tcW w:w="3877" w:type="dxa"/>
            <w:tcBorders>
              <w:top w:val="single" w:color="auto" w:sz="6" w:space="0"/>
            </w:tcBorders>
            <w:noWrap/>
            <w:vAlign w:val="center"/>
          </w:tcPr>
          <w:p w14:paraId="7EACDB7B">
            <w:pPr>
              <w:adjustRightInd w:val="0"/>
              <w:snapToGrid w:val="0"/>
              <w:rPr>
                <w:rFonts w:ascii="宋体" w:hAnsi="宋体"/>
                <w:szCs w:val="21"/>
              </w:rPr>
            </w:pPr>
            <w:r>
              <w:rPr>
                <w:rFonts w:hint="eastAsia" w:ascii="宋体" w:hAnsi="宋体"/>
                <w:szCs w:val="21"/>
              </w:rPr>
              <w:t>专业化程度有待加强</w:t>
            </w:r>
          </w:p>
        </w:tc>
        <w:tc>
          <w:tcPr>
            <w:tcW w:w="3640" w:type="dxa"/>
            <w:tcBorders>
              <w:top w:val="single" w:color="auto" w:sz="6" w:space="0"/>
            </w:tcBorders>
            <w:noWrap/>
            <w:vAlign w:val="center"/>
          </w:tcPr>
          <w:p w14:paraId="486CFA97">
            <w:pPr>
              <w:tabs>
                <w:tab w:val="left" w:pos="3722"/>
              </w:tabs>
              <w:adjustRightInd w:val="0"/>
              <w:snapToGrid w:val="0"/>
              <w:rPr>
                <w:rFonts w:ascii="宋体" w:hAnsi="宋体"/>
                <w:szCs w:val="21"/>
              </w:rPr>
            </w:pPr>
            <w:r>
              <w:rPr>
                <w:rFonts w:hint="eastAsia" w:ascii="宋体" w:hAnsi="宋体"/>
                <w:szCs w:val="21"/>
              </w:rPr>
              <w:t>专注建筑工程涂料，着重发展较利于目标市场开拓及企业知名度提高的产品，形成更全面的产品种类。</w:t>
            </w:r>
          </w:p>
        </w:tc>
      </w:tr>
      <w:tr w14:paraId="3D0D0B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108" w:type="dxa"/>
            <w:bottom w:w="28" w:type="dxa"/>
            <w:right w:w="108" w:type="dxa"/>
          </w:tblCellMar>
        </w:tblPrEx>
        <w:trPr>
          <w:trHeight w:val="142" w:hRule="atLeast"/>
          <w:jc w:val="center"/>
        </w:trPr>
        <w:tc>
          <w:tcPr>
            <w:tcW w:w="1189" w:type="dxa"/>
            <w:noWrap/>
            <w:vAlign w:val="center"/>
          </w:tcPr>
          <w:p w14:paraId="121E27CA">
            <w:pPr>
              <w:adjustRightInd w:val="0"/>
              <w:snapToGrid w:val="0"/>
              <w:rPr>
                <w:rFonts w:ascii="宋体" w:hAnsi="宋体"/>
                <w:szCs w:val="21"/>
              </w:rPr>
            </w:pPr>
            <w:r>
              <w:rPr>
                <w:rFonts w:hint="eastAsia" w:ascii="宋体" w:hAnsi="宋体"/>
                <w:szCs w:val="21"/>
              </w:rPr>
              <w:t>市场方面</w:t>
            </w:r>
          </w:p>
        </w:tc>
        <w:tc>
          <w:tcPr>
            <w:tcW w:w="3877" w:type="dxa"/>
            <w:noWrap/>
            <w:vAlign w:val="center"/>
          </w:tcPr>
          <w:p w14:paraId="29E92A01">
            <w:pPr>
              <w:adjustRightInd w:val="0"/>
              <w:snapToGrid w:val="0"/>
              <w:rPr>
                <w:rFonts w:ascii="宋体" w:hAnsi="宋体"/>
                <w:szCs w:val="21"/>
              </w:rPr>
            </w:pPr>
            <w:r>
              <w:rPr>
                <w:rFonts w:hint="eastAsia" w:ascii="宋体" w:hAnsi="宋体"/>
                <w:szCs w:val="21"/>
              </w:rPr>
              <w:t>具有品牌优势，产品定位于高端市场</w:t>
            </w:r>
          </w:p>
        </w:tc>
        <w:tc>
          <w:tcPr>
            <w:tcW w:w="3640" w:type="dxa"/>
            <w:noWrap/>
            <w:vAlign w:val="center"/>
          </w:tcPr>
          <w:p w14:paraId="70FD35FD">
            <w:pPr>
              <w:tabs>
                <w:tab w:val="left" w:pos="3722"/>
              </w:tabs>
              <w:adjustRightInd w:val="0"/>
              <w:snapToGrid w:val="0"/>
              <w:rPr>
                <w:rFonts w:ascii="宋体" w:hAnsi="宋体"/>
                <w:szCs w:val="21"/>
              </w:rPr>
            </w:pPr>
            <w:r>
              <w:rPr>
                <w:rFonts w:hint="eastAsia" w:ascii="宋体" w:hAnsi="宋体"/>
                <w:szCs w:val="21"/>
              </w:rPr>
              <w:t>进一步提高产品知名度，并开拓高科技领域</w:t>
            </w:r>
          </w:p>
        </w:tc>
      </w:tr>
      <w:tr w14:paraId="11F825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108" w:type="dxa"/>
            <w:bottom w:w="28" w:type="dxa"/>
            <w:right w:w="108" w:type="dxa"/>
          </w:tblCellMar>
        </w:tblPrEx>
        <w:trPr>
          <w:trHeight w:val="574" w:hRule="atLeast"/>
          <w:jc w:val="center"/>
        </w:trPr>
        <w:tc>
          <w:tcPr>
            <w:tcW w:w="1189" w:type="dxa"/>
            <w:noWrap/>
            <w:vAlign w:val="center"/>
          </w:tcPr>
          <w:p w14:paraId="38847F99">
            <w:pPr>
              <w:adjustRightInd w:val="0"/>
              <w:snapToGrid w:val="0"/>
              <w:rPr>
                <w:rFonts w:ascii="宋体" w:hAnsi="宋体"/>
                <w:szCs w:val="21"/>
              </w:rPr>
            </w:pPr>
            <w:r>
              <w:rPr>
                <w:rFonts w:hint="eastAsia" w:ascii="宋体" w:hAnsi="宋体"/>
                <w:szCs w:val="21"/>
              </w:rPr>
              <w:t>顾客方面</w:t>
            </w:r>
          </w:p>
        </w:tc>
        <w:tc>
          <w:tcPr>
            <w:tcW w:w="3877" w:type="dxa"/>
            <w:noWrap/>
            <w:vAlign w:val="center"/>
          </w:tcPr>
          <w:p w14:paraId="4E1FF56F">
            <w:pPr>
              <w:adjustRightInd w:val="0"/>
              <w:snapToGrid w:val="0"/>
              <w:rPr>
                <w:rFonts w:ascii="宋体" w:hAnsi="宋体"/>
                <w:szCs w:val="21"/>
              </w:rPr>
            </w:pPr>
            <w:r>
              <w:rPr>
                <w:rFonts w:hint="eastAsia" w:ascii="宋体" w:hAnsi="宋体"/>
                <w:szCs w:val="21"/>
              </w:rPr>
              <w:t>主要集中国际市场</w:t>
            </w:r>
          </w:p>
        </w:tc>
        <w:tc>
          <w:tcPr>
            <w:tcW w:w="3640" w:type="dxa"/>
            <w:noWrap/>
            <w:vAlign w:val="center"/>
          </w:tcPr>
          <w:p w14:paraId="3B178FE5">
            <w:pPr>
              <w:tabs>
                <w:tab w:val="left" w:pos="3722"/>
              </w:tabs>
              <w:adjustRightInd w:val="0"/>
              <w:snapToGrid w:val="0"/>
              <w:rPr>
                <w:rFonts w:ascii="宋体" w:hAnsi="宋体"/>
                <w:szCs w:val="21"/>
              </w:rPr>
            </w:pPr>
            <w:r>
              <w:rPr>
                <w:rFonts w:hint="eastAsia" w:ascii="宋体" w:hAnsi="宋体"/>
                <w:szCs w:val="21"/>
              </w:rPr>
              <w:t>挖掘市场发展空间，进一步拓展国内市场</w:t>
            </w:r>
          </w:p>
        </w:tc>
      </w:tr>
      <w:tr w14:paraId="4274C3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108" w:type="dxa"/>
            <w:bottom w:w="28" w:type="dxa"/>
            <w:right w:w="108" w:type="dxa"/>
          </w:tblCellMar>
        </w:tblPrEx>
        <w:trPr>
          <w:trHeight w:val="518" w:hRule="atLeast"/>
          <w:jc w:val="center"/>
        </w:trPr>
        <w:tc>
          <w:tcPr>
            <w:tcW w:w="1189" w:type="dxa"/>
            <w:noWrap/>
            <w:vAlign w:val="center"/>
          </w:tcPr>
          <w:p w14:paraId="77C73D83">
            <w:pPr>
              <w:adjustRightInd w:val="0"/>
              <w:snapToGrid w:val="0"/>
              <w:rPr>
                <w:rFonts w:ascii="宋体" w:hAnsi="宋体"/>
                <w:szCs w:val="21"/>
              </w:rPr>
            </w:pPr>
            <w:r>
              <w:rPr>
                <w:rFonts w:hint="eastAsia" w:ascii="宋体" w:hAnsi="宋体"/>
                <w:szCs w:val="21"/>
              </w:rPr>
              <w:t>运营方面</w:t>
            </w:r>
          </w:p>
        </w:tc>
        <w:tc>
          <w:tcPr>
            <w:tcW w:w="3877" w:type="dxa"/>
            <w:noWrap/>
            <w:vAlign w:val="center"/>
          </w:tcPr>
          <w:p w14:paraId="318FD01D">
            <w:pPr>
              <w:adjustRightInd w:val="0"/>
              <w:snapToGrid w:val="0"/>
              <w:rPr>
                <w:rFonts w:ascii="宋体" w:hAnsi="宋体"/>
                <w:color w:val="000000"/>
                <w:szCs w:val="21"/>
              </w:rPr>
            </w:pPr>
            <w:r>
              <w:rPr>
                <w:rFonts w:hint="eastAsia" w:ascii="宋体" w:hAnsi="宋体"/>
                <w:color w:val="000000"/>
                <w:szCs w:val="21"/>
              </w:rPr>
              <w:t>产品质量顾客满意度良好</w:t>
            </w:r>
          </w:p>
        </w:tc>
        <w:tc>
          <w:tcPr>
            <w:tcW w:w="3640" w:type="dxa"/>
            <w:noWrap/>
            <w:vAlign w:val="center"/>
          </w:tcPr>
          <w:p w14:paraId="752FB662">
            <w:pPr>
              <w:tabs>
                <w:tab w:val="left" w:pos="3722"/>
              </w:tabs>
              <w:adjustRightInd w:val="0"/>
              <w:snapToGrid w:val="0"/>
              <w:rPr>
                <w:rFonts w:ascii="宋体" w:hAnsi="宋体"/>
                <w:szCs w:val="21"/>
              </w:rPr>
            </w:pPr>
            <w:r>
              <w:rPr>
                <w:rFonts w:hint="eastAsia" w:ascii="宋体" w:hAnsi="宋体"/>
                <w:szCs w:val="21"/>
              </w:rPr>
              <w:t>保证质量，顾客满意度达到98%以上</w:t>
            </w:r>
          </w:p>
        </w:tc>
      </w:tr>
    </w:tbl>
    <w:p w14:paraId="1472DBE5">
      <w:pPr>
        <w:spacing w:line="200" w:lineRule="exact"/>
        <w:rPr>
          <w:rFonts w:ascii="宋体" w:hAnsi="宋体"/>
          <w:b/>
        </w:rPr>
      </w:pPr>
    </w:p>
    <w:p w14:paraId="156AA6C7">
      <w:pPr>
        <w:adjustRightInd w:val="0"/>
        <w:snapToGrid w:val="0"/>
        <w:spacing w:line="360" w:lineRule="auto"/>
        <w:ind w:firstLine="480" w:firstLineChars="200"/>
        <w:rPr>
          <w:rFonts w:ascii="宋体" w:hAnsi="宋体"/>
        </w:rPr>
      </w:pPr>
    </w:p>
    <w:p w14:paraId="378CD7D1">
      <w:pPr>
        <w:spacing w:line="360" w:lineRule="auto"/>
        <w:rPr>
          <w:rFonts w:ascii="宋体" w:hAnsi="宋体"/>
          <w:b/>
        </w:rPr>
      </w:pPr>
    </w:p>
    <w:p w14:paraId="31403742">
      <w:pPr>
        <w:spacing w:line="360" w:lineRule="auto"/>
        <w:rPr>
          <w:rFonts w:ascii="宋体" w:hAnsi="宋体"/>
          <w:b/>
        </w:rPr>
      </w:pPr>
      <w:r>
        <w:rPr>
          <w:rFonts w:hint="eastAsia" w:ascii="宋体" w:hAnsi="宋体"/>
          <w:b/>
        </w:rPr>
        <w:t>4.2.3.2.3 资源配置</w:t>
      </w:r>
    </w:p>
    <w:p w14:paraId="079499A6">
      <w:pPr>
        <w:adjustRightInd w:val="0"/>
        <w:snapToGrid w:val="0"/>
        <w:spacing w:line="360" w:lineRule="auto"/>
        <w:ind w:firstLine="420"/>
        <w:jc w:val="center"/>
        <w:rPr>
          <w:rFonts w:ascii="宋体" w:hAnsi="宋体"/>
          <w:b/>
        </w:rPr>
      </w:pPr>
      <w:r>
        <w:rPr>
          <w:rFonts w:hint="eastAsia" w:ascii="宋体" w:hAnsi="宋体"/>
          <w:b/>
        </w:rPr>
        <w:t>表4.2-15 资源配置计划</w:t>
      </w:r>
    </w:p>
    <w:tbl>
      <w:tblPr>
        <w:tblStyle w:val="22"/>
        <w:tblW w:w="852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64"/>
        <w:gridCol w:w="7358"/>
      </w:tblGrid>
      <w:tr w14:paraId="70B8CB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0" w:hRule="atLeast"/>
          <w:tblHeader/>
          <w:jc w:val="center"/>
        </w:trPr>
        <w:tc>
          <w:tcPr>
            <w:tcW w:w="1164" w:type="dxa"/>
            <w:tcBorders>
              <w:top w:val="single" w:color="auto" w:sz="12" w:space="0"/>
              <w:bottom w:val="single" w:color="auto" w:sz="6" w:space="0"/>
            </w:tcBorders>
            <w:shd w:val="clear" w:color="auto" w:fill="757070"/>
            <w:noWrap/>
            <w:vAlign w:val="center"/>
          </w:tcPr>
          <w:p w14:paraId="6AD73165">
            <w:pPr>
              <w:adjustRightInd w:val="0"/>
              <w:snapToGrid w:val="0"/>
              <w:jc w:val="center"/>
              <w:rPr>
                <w:rFonts w:ascii="宋体" w:hAnsi="宋体" w:cs="宋体"/>
                <w:b/>
                <w:szCs w:val="21"/>
              </w:rPr>
            </w:pPr>
            <w:r>
              <w:rPr>
                <w:rFonts w:hint="eastAsia" w:ascii="宋体" w:hAnsi="宋体" w:cs="宋体"/>
                <w:b/>
                <w:szCs w:val="21"/>
              </w:rPr>
              <w:t>资源类型</w:t>
            </w:r>
          </w:p>
        </w:tc>
        <w:tc>
          <w:tcPr>
            <w:tcW w:w="7358" w:type="dxa"/>
            <w:tcBorders>
              <w:top w:val="single" w:color="auto" w:sz="12" w:space="0"/>
              <w:bottom w:val="single" w:color="auto" w:sz="6" w:space="0"/>
            </w:tcBorders>
            <w:shd w:val="clear" w:color="auto" w:fill="757070"/>
            <w:noWrap/>
            <w:vAlign w:val="center"/>
          </w:tcPr>
          <w:p w14:paraId="5C8EE374">
            <w:pPr>
              <w:adjustRightInd w:val="0"/>
              <w:snapToGrid w:val="0"/>
              <w:jc w:val="center"/>
              <w:rPr>
                <w:rFonts w:ascii="宋体" w:hAnsi="宋体"/>
                <w:b/>
                <w:kern w:val="2"/>
                <w:szCs w:val="21"/>
              </w:rPr>
            </w:pPr>
            <w:r>
              <w:rPr>
                <w:rFonts w:hint="eastAsia" w:ascii="宋体" w:hAnsi="宋体" w:cs="宋体"/>
                <w:b/>
                <w:szCs w:val="21"/>
              </w:rPr>
              <w:t>20</w:t>
            </w:r>
            <w:r>
              <w:rPr>
                <w:rFonts w:ascii="宋体" w:hAnsi="宋体" w:cs="宋体"/>
                <w:b/>
                <w:szCs w:val="21"/>
              </w:rPr>
              <w:t>2</w:t>
            </w:r>
            <w:r>
              <w:rPr>
                <w:rFonts w:hint="eastAsia" w:ascii="宋体" w:hAnsi="宋体" w:cs="宋体"/>
                <w:b/>
                <w:szCs w:val="21"/>
                <w:lang w:val="en-US" w:eastAsia="zh-CN"/>
              </w:rPr>
              <w:t>6</w:t>
            </w:r>
            <w:r>
              <w:rPr>
                <w:rFonts w:hint="eastAsia" w:ascii="宋体" w:hAnsi="宋体" w:cs="宋体"/>
                <w:b/>
                <w:szCs w:val="21"/>
              </w:rPr>
              <w:t>-20</w:t>
            </w:r>
            <w:r>
              <w:rPr>
                <w:rFonts w:hint="eastAsia" w:ascii="宋体" w:hAnsi="宋体" w:cs="宋体"/>
                <w:b/>
                <w:szCs w:val="21"/>
                <w:lang w:val="en-US" w:eastAsia="zh-CN"/>
              </w:rPr>
              <w:t>30</w:t>
            </w:r>
            <w:r>
              <w:rPr>
                <w:rFonts w:hint="eastAsia" w:ascii="宋体" w:hAnsi="宋体" w:cs="宋体"/>
                <w:b/>
                <w:szCs w:val="21"/>
              </w:rPr>
              <w:t>年资源配置计划</w:t>
            </w:r>
          </w:p>
        </w:tc>
      </w:tr>
      <w:tr w14:paraId="51ABF4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47" w:hRule="atLeast"/>
          <w:jc w:val="center"/>
        </w:trPr>
        <w:tc>
          <w:tcPr>
            <w:tcW w:w="1164" w:type="dxa"/>
            <w:tcBorders>
              <w:top w:val="single" w:color="auto" w:sz="6" w:space="0"/>
            </w:tcBorders>
            <w:noWrap/>
            <w:vAlign w:val="center"/>
          </w:tcPr>
          <w:p w14:paraId="7C602EB1">
            <w:pPr>
              <w:adjustRightInd w:val="0"/>
              <w:snapToGrid w:val="0"/>
              <w:jc w:val="center"/>
              <w:rPr>
                <w:rFonts w:ascii="宋体" w:hAnsi="宋体" w:cs="宋体"/>
                <w:szCs w:val="21"/>
                <w:highlight w:val="yellow"/>
              </w:rPr>
            </w:pPr>
            <w:r>
              <w:rPr>
                <w:rFonts w:hint="eastAsia" w:ascii="宋体" w:hAnsi="宋体" w:cs="宋体"/>
                <w:szCs w:val="21"/>
              </w:rPr>
              <w:t>人力资源</w:t>
            </w:r>
          </w:p>
        </w:tc>
        <w:tc>
          <w:tcPr>
            <w:tcW w:w="7358" w:type="dxa"/>
            <w:tcBorders>
              <w:top w:val="single" w:color="auto" w:sz="6" w:space="0"/>
            </w:tcBorders>
            <w:noWrap/>
            <w:vAlign w:val="center"/>
          </w:tcPr>
          <w:p w14:paraId="10EC3B4F">
            <w:pPr>
              <w:adjustRightInd w:val="0"/>
              <w:snapToGrid w:val="0"/>
              <w:rPr>
                <w:kern w:val="2"/>
                <w:szCs w:val="21"/>
              </w:rPr>
            </w:pPr>
            <w:r>
              <w:rPr>
                <w:rFonts w:hint="eastAsia" w:ascii="宋体" w:hAnsi="宋体"/>
                <w:kern w:val="2"/>
                <w:szCs w:val="21"/>
              </w:rPr>
              <w:t>员工总人数在</w:t>
            </w:r>
            <w:r>
              <w:rPr>
                <w:rFonts w:hint="eastAsia" w:ascii="宋体" w:hAnsi="宋体"/>
                <w:kern w:val="2"/>
                <w:szCs w:val="21"/>
                <w:lang w:val="en-US" w:eastAsia="zh-CN"/>
              </w:rPr>
              <w:t>70</w:t>
            </w:r>
            <w:r>
              <w:rPr>
                <w:rFonts w:hint="eastAsia" w:ascii="宋体" w:hAnsi="宋体"/>
                <w:kern w:val="2"/>
                <w:szCs w:val="21"/>
              </w:rPr>
              <w:t>人；管理人员在</w:t>
            </w:r>
            <w:r>
              <w:rPr>
                <w:rFonts w:ascii="宋体" w:hAnsi="宋体"/>
                <w:kern w:val="2"/>
                <w:szCs w:val="21"/>
              </w:rPr>
              <w:t>1</w:t>
            </w:r>
            <w:r>
              <w:rPr>
                <w:rFonts w:hint="eastAsia" w:ascii="宋体" w:hAnsi="宋体"/>
                <w:kern w:val="2"/>
                <w:szCs w:val="21"/>
                <w:lang w:val="en-US" w:eastAsia="zh-CN"/>
              </w:rPr>
              <w:t>0</w:t>
            </w:r>
            <w:r>
              <w:rPr>
                <w:rFonts w:hint="eastAsia" w:ascii="宋体" w:hAnsi="宋体"/>
                <w:kern w:val="2"/>
                <w:szCs w:val="21"/>
              </w:rPr>
              <w:t>人以内；技术人员达到</w:t>
            </w:r>
            <w:r>
              <w:rPr>
                <w:rFonts w:hint="eastAsia" w:ascii="宋体" w:hAnsi="宋体"/>
                <w:kern w:val="2"/>
                <w:szCs w:val="21"/>
                <w:lang w:val="en-US" w:eastAsia="zh-CN"/>
              </w:rPr>
              <w:t>10</w:t>
            </w:r>
            <w:r>
              <w:rPr>
                <w:rFonts w:hint="eastAsia" w:ascii="宋体" w:hAnsi="宋体"/>
                <w:kern w:val="2"/>
                <w:szCs w:val="21"/>
              </w:rPr>
              <w:t>人以上；人才流失率控制在4%以下，</w:t>
            </w:r>
            <w:r>
              <w:rPr>
                <w:kern w:val="2"/>
                <w:szCs w:val="21"/>
              </w:rPr>
              <w:t>努力在近年内打造一支一流的经营管理者队伍和员工队伍，提升企业核心竞争力。</w:t>
            </w:r>
          </w:p>
        </w:tc>
      </w:tr>
      <w:tr w14:paraId="7F6875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1" w:hRule="atLeast"/>
          <w:jc w:val="center"/>
        </w:trPr>
        <w:tc>
          <w:tcPr>
            <w:tcW w:w="1164" w:type="dxa"/>
            <w:noWrap/>
            <w:vAlign w:val="center"/>
          </w:tcPr>
          <w:p w14:paraId="4CD68CC7">
            <w:pPr>
              <w:adjustRightInd w:val="0"/>
              <w:snapToGrid w:val="0"/>
              <w:rPr>
                <w:rFonts w:ascii="宋体" w:hAnsi="宋体" w:cs="宋体"/>
                <w:szCs w:val="21"/>
              </w:rPr>
            </w:pPr>
            <w:r>
              <w:rPr>
                <w:rFonts w:hint="eastAsia" w:ascii="宋体" w:hAnsi="宋体" w:cs="宋体"/>
                <w:szCs w:val="21"/>
              </w:rPr>
              <w:t>实物资源与设备</w:t>
            </w:r>
          </w:p>
        </w:tc>
        <w:tc>
          <w:tcPr>
            <w:tcW w:w="7358" w:type="dxa"/>
            <w:noWrap/>
            <w:vAlign w:val="center"/>
          </w:tcPr>
          <w:p w14:paraId="5DE398C4">
            <w:pPr>
              <w:adjustRightInd w:val="0"/>
              <w:snapToGrid w:val="0"/>
              <w:rPr>
                <w:rFonts w:ascii="宋体" w:hAnsi="宋体" w:cs="宋体"/>
                <w:szCs w:val="21"/>
              </w:rPr>
            </w:pPr>
            <w:r>
              <w:rPr>
                <w:rFonts w:hint="eastAsia" w:ascii="宋体" w:hAnsi="宋体" w:cs="宋体"/>
                <w:szCs w:val="21"/>
              </w:rPr>
              <w:t>在原基础上继续改善生产车间 ，导入精益生产和六西格玛。增加二条以上装配自动化生产线。</w:t>
            </w:r>
          </w:p>
        </w:tc>
      </w:tr>
      <w:tr w14:paraId="410A63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6" w:hRule="atLeast"/>
          <w:jc w:val="center"/>
        </w:trPr>
        <w:tc>
          <w:tcPr>
            <w:tcW w:w="1164" w:type="dxa"/>
            <w:noWrap/>
            <w:vAlign w:val="center"/>
          </w:tcPr>
          <w:p w14:paraId="65695D4B">
            <w:pPr>
              <w:adjustRightInd w:val="0"/>
              <w:snapToGrid w:val="0"/>
              <w:jc w:val="center"/>
              <w:rPr>
                <w:rFonts w:ascii="宋体" w:hAnsi="宋体" w:cs="宋体"/>
                <w:szCs w:val="21"/>
              </w:rPr>
            </w:pPr>
            <w:r>
              <w:rPr>
                <w:rFonts w:hint="eastAsia" w:ascii="宋体" w:hAnsi="宋体" w:cs="宋体"/>
                <w:szCs w:val="21"/>
              </w:rPr>
              <w:t>信息化</w:t>
            </w:r>
          </w:p>
          <w:p w14:paraId="162D015B">
            <w:pPr>
              <w:adjustRightInd w:val="0"/>
              <w:snapToGrid w:val="0"/>
              <w:jc w:val="center"/>
              <w:rPr>
                <w:rFonts w:ascii="宋体" w:hAnsi="宋体" w:cs="宋体"/>
                <w:szCs w:val="21"/>
              </w:rPr>
            </w:pPr>
            <w:r>
              <w:rPr>
                <w:rFonts w:hint="eastAsia" w:ascii="宋体" w:hAnsi="宋体" w:cs="宋体"/>
                <w:szCs w:val="21"/>
              </w:rPr>
              <w:t>建设</w:t>
            </w:r>
          </w:p>
        </w:tc>
        <w:tc>
          <w:tcPr>
            <w:tcW w:w="7358" w:type="dxa"/>
            <w:noWrap/>
            <w:vAlign w:val="center"/>
          </w:tcPr>
          <w:p w14:paraId="5799C43E">
            <w:pPr>
              <w:adjustRightInd w:val="0"/>
              <w:snapToGrid w:val="0"/>
              <w:rPr>
                <w:rFonts w:ascii="宋体" w:hAnsi="宋体"/>
                <w:kern w:val="2"/>
                <w:szCs w:val="21"/>
              </w:rPr>
            </w:pPr>
            <w:r>
              <w:rPr>
                <w:rFonts w:hint="eastAsia" w:ascii="宋体" w:hAnsi="宋体"/>
                <w:kern w:val="2"/>
                <w:szCs w:val="21"/>
              </w:rPr>
              <w:t>再投资50万元完善公司的信息管理系统，逐步采用数据库等系统，对企业原材料、生产信息和发货信息进行全面监控，加大硬件和软件的投资；投资30万元对公司现有服务器进行更换及维护；逐步更新企业计算机、交换机、网络机，光纤及网络服务设备等硬件设施。</w:t>
            </w:r>
          </w:p>
        </w:tc>
      </w:tr>
      <w:tr w14:paraId="4FC79B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16" w:hRule="atLeast"/>
          <w:jc w:val="center"/>
        </w:trPr>
        <w:tc>
          <w:tcPr>
            <w:tcW w:w="1164" w:type="dxa"/>
            <w:noWrap/>
            <w:vAlign w:val="center"/>
          </w:tcPr>
          <w:p w14:paraId="469BE60F">
            <w:pPr>
              <w:adjustRightInd w:val="0"/>
              <w:snapToGrid w:val="0"/>
              <w:jc w:val="center"/>
              <w:rPr>
                <w:rFonts w:ascii="宋体" w:hAnsi="宋体" w:cs="宋体"/>
                <w:szCs w:val="21"/>
              </w:rPr>
            </w:pPr>
            <w:r>
              <w:rPr>
                <w:rFonts w:hint="eastAsia" w:ascii="宋体" w:hAnsi="宋体" w:cs="宋体"/>
                <w:szCs w:val="21"/>
              </w:rPr>
              <w:t>相关方</w:t>
            </w:r>
          </w:p>
        </w:tc>
        <w:tc>
          <w:tcPr>
            <w:tcW w:w="7358" w:type="dxa"/>
            <w:noWrap/>
            <w:vAlign w:val="center"/>
          </w:tcPr>
          <w:p w14:paraId="65D5A27E">
            <w:pPr>
              <w:adjustRightInd w:val="0"/>
              <w:snapToGrid w:val="0"/>
              <w:rPr>
                <w:rFonts w:ascii="宋体" w:hAnsi="宋体"/>
                <w:kern w:val="2"/>
                <w:szCs w:val="21"/>
              </w:rPr>
            </w:pPr>
            <w:r>
              <w:rPr>
                <w:rFonts w:hint="eastAsia" w:ascii="宋体" w:hAnsi="宋体"/>
                <w:kern w:val="2"/>
                <w:szCs w:val="21"/>
              </w:rPr>
              <w:t>进一步完善与普及网络系统，保证企业供应商100%通过系统进行管理，实现多部门协同进行采购管理；完善信息系统，争取100%的用户通过系统实现动态化管理；对公司市场开拓实现信息支持。</w:t>
            </w:r>
          </w:p>
        </w:tc>
      </w:tr>
    </w:tbl>
    <w:p w14:paraId="37B20EF9">
      <w:pPr>
        <w:rPr>
          <w:rFonts w:ascii="宋体" w:hAnsi="宋体"/>
          <w:b/>
        </w:rPr>
      </w:pPr>
    </w:p>
    <w:p w14:paraId="44F54312">
      <w:pPr>
        <w:spacing w:before="156" w:beforeLines="50"/>
        <w:rPr>
          <w:rFonts w:ascii="宋体" w:hAnsi="宋体"/>
          <w:b/>
        </w:rPr>
      </w:pPr>
      <w:r>
        <w:rPr>
          <w:rFonts w:hint="eastAsia" w:ascii="宋体" w:hAnsi="宋体"/>
          <w:b/>
        </w:rPr>
        <w:t>4.2.3.2.4 绩效监测</w:t>
      </w:r>
    </w:p>
    <w:p w14:paraId="101AD080">
      <w:pPr>
        <w:spacing w:after="156" w:afterLines="50" w:line="360" w:lineRule="auto"/>
        <w:rPr>
          <w:rFonts w:ascii="宋体" w:hAnsi="宋体" w:cs="宋体"/>
          <w:color w:val="000000"/>
        </w:rPr>
      </w:pPr>
      <w:r>
        <w:rPr>
          <w:rFonts w:ascii="宋体" w:hAnsi="宋体" w:cs="宋体"/>
          <w:color w:val="000000"/>
        </w:rPr>
        <w:t>公司建立三级战略监测系统进行实时监控。三级监测系统为操作监测、职能监测、战略监测</w:t>
      </w:r>
      <w:r>
        <w:rPr>
          <w:rFonts w:hint="eastAsia" w:ascii="宋体" w:hAnsi="宋体" w:cs="宋体"/>
          <w:color w:val="000000"/>
        </w:rPr>
        <w:t>。</w:t>
      </w:r>
      <w:r>
        <w:rPr>
          <w:rFonts w:ascii="宋体" w:hAnsi="宋体" w:cs="宋体"/>
          <w:color w:val="000000"/>
        </w:rPr>
        <w:t>见表4.2-</w:t>
      </w:r>
      <w:r>
        <w:rPr>
          <w:rFonts w:hint="eastAsia" w:ascii="宋体" w:hAnsi="宋体" w:cs="宋体"/>
          <w:color w:val="000000"/>
        </w:rPr>
        <w:t>16。</w:t>
      </w:r>
    </w:p>
    <w:p w14:paraId="6FBD727F">
      <w:pPr>
        <w:spacing w:before="156" w:beforeLines="50" w:after="156" w:afterLines="50" w:line="360" w:lineRule="auto"/>
        <w:jc w:val="center"/>
        <w:rPr>
          <w:rFonts w:ascii="宋体" w:hAnsi="宋体" w:cs="宋体"/>
          <w:b/>
          <w:color w:val="000000"/>
        </w:rPr>
      </w:pPr>
      <w:r>
        <w:rPr>
          <w:rFonts w:ascii="宋体" w:hAnsi="宋体" w:cs="宋体"/>
          <w:b/>
          <w:color w:val="000000"/>
        </w:rPr>
        <w:t>表4.2-</w:t>
      </w:r>
      <w:r>
        <w:rPr>
          <w:rFonts w:hint="eastAsia" w:ascii="宋体" w:hAnsi="宋体" w:cs="宋体"/>
          <w:b/>
          <w:color w:val="000000"/>
        </w:rPr>
        <w:t>16</w:t>
      </w:r>
      <w:r>
        <w:rPr>
          <w:rFonts w:ascii="宋体" w:hAnsi="宋体" w:cs="宋体"/>
          <w:b/>
          <w:color w:val="000000"/>
        </w:rPr>
        <w:t xml:space="preserve"> 公司三级监测系统</w:t>
      </w:r>
    </w:p>
    <w:tbl>
      <w:tblPr>
        <w:tblStyle w:val="2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1"/>
        <w:gridCol w:w="2840"/>
        <w:gridCol w:w="2841"/>
      </w:tblGrid>
      <w:tr w14:paraId="5BC63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exact"/>
        </w:trPr>
        <w:tc>
          <w:tcPr>
            <w:tcW w:w="2841" w:type="dxa"/>
            <w:shd w:val="clear" w:color="auto" w:fill="757070"/>
            <w:noWrap/>
          </w:tcPr>
          <w:p w14:paraId="51DE7496">
            <w:pPr>
              <w:spacing w:before="156" w:beforeLines="50" w:after="156" w:afterLines="50" w:line="360" w:lineRule="auto"/>
              <w:jc w:val="center"/>
              <w:rPr>
                <w:rFonts w:ascii="宋体" w:hAnsi="宋体" w:cs="宋体"/>
                <w:b/>
                <w:szCs w:val="21"/>
              </w:rPr>
            </w:pPr>
            <w:r>
              <w:rPr>
                <w:rFonts w:hint="eastAsia" w:ascii="宋体" w:hAnsi="宋体" w:cs="宋体"/>
                <w:b/>
                <w:szCs w:val="21"/>
              </w:rPr>
              <w:t>操作监测</w:t>
            </w:r>
          </w:p>
        </w:tc>
        <w:tc>
          <w:tcPr>
            <w:tcW w:w="2840" w:type="dxa"/>
            <w:shd w:val="clear" w:color="auto" w:fill="757070"/>
            <w:noWrap/>
          </w:tcPr>
          <w:p w14:paraId="5E2B8179">
            <w:pPr>
              <w:spacing w:before="156" w:beforeLines="50" w:after="156" w:afterLines="50" w:line="360" w:lineRule="auto"/>
              <w:jc w:val="center"/>
              <w:rPr>
                <w:rFonts w:ascii="宋体" w:hAnsi="宋体" w:cs="宋体"/>
                <w:b/>
                <w:szCs w:val="21"/>
              </w:rPr>
            </w:pPr>
            <w:r>
              <w:rPr>
                <w:rFonts w:hint="eastAsia" w:ascii="宋体" w:hAnsi="宋体" w:cs="宋体"/>
                <w:b/>
                <w:szCs w:val="21"/>
              </w:rPr>
              <w:t>职能监测</w:t>
            </w:r>
          </w:p>
        </w:tc>
        <w:tc>
          <w:tcPr>
            <w:tcW w:w="2841" w:type="dxa"/>
            <w:shd w:val="clear" w:color="auto" w:fill="757070"/>
            <w:noWrap/>
          </w:tcPr>
          <w:p w14:paraId="4612D6C6">
            <w:pPr>
              <w:spacing w:before="156" w:beforeLines="50" w:after="156" w:afterLines="50" w:line="360" w:lineRule="auto"/>
              <w:jc w:val="center"/>
              <w:rPr>
                <w:rFonts w:ascii="宋体" w:hAnsi="宋体" w:cs="宋体"/>
                <w:b/>
                <w:szCs w:val="21"/>
              </w:rPr>
            </w:pPr>
            <w:r>
              <w:rPr>
                <w:rFonts w:hint="eastAsia" w:ascii="宋体" w:hAnsi="宋体" w:cs="宋体"/>
                <w:b/>
                <w:szCs w:val="21"/>
              </w:rPr>
              <w:t>战略监测</w:t>
            </w:r>
          </w:p>
        </w:tc>
      </w:tr>
      <w:tr w14:paraId="17E36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trPr>
        <w:tc>
          <w:tcPr>
            <w:tcW w:w="2841" w:type="dxa"/>
            <w:noWrap/>
          </w:tcPr>
          <w:p w14:paraId="5F7635FF">
            <w:pPr>
              <w:spacing w:before="156" w:beforeLines="50" w:after="156" w:afterLines="50" w:line="300" w:lineRule="exact"/>
              <w:rPr>
                <w:rFonts w:ascii="宋体" w:hAnsi="宋体" w:cs="宋体"/>
                <w:color w:val="000000"/>
                <w:szCs w:val="21"/>
              </w:rPr>
            </w:pPr>
            <w:r>
              <w:rPr>
                <w:rFonts w:hint="eastAsia" w:ascii="宋体" w:hAnsi="宋体" w:cs="宋体"/>
                <w:color w:val="000000"/>
                <w:szCs w:val="21"/>
              </w:rPr>
              <w:t>监测级别：一级</w:t>
            </w:r>
          </w:p>
        </w:tc>
        <w:tc>
          <w:tcPr>
            <w:tcW w:w="2840" w:type="dxa"/>
            <w:noWrap/>
          </w:tcPr>
          <w:p w14:paraId="5502621C">
            <w:pPr>
              <w:spacing w:before="156" w:beforeLines="50" w:after="156" w:afterLines="50" w:line="300" w:lineRule="exact"/>
              <w:rPr>
                <w:rFonts w:ascii="宋体" w:hAnsi="宋体" w:cs="宋体"/>
                <w:color w:val="000000"/>
                <w:szCs w:val="21"/>
              </w:rPr>
            </w:pPr>
            <w:r>
              <w:rPr>
                <w:rFonts w:hint="eastAsia" w:ascii="宋体" w:hAnsi="宋体" w:cs="宋体"/>
                <w:color w:val="000000"/>
                <w:szCs w:val="21"/>
              </w:rPr>
              <w:t>监测级别：二级</w:t>
            </w:r>
          </w:p>
        </w:tc>
        <w:tc>
          <w:tcPr>
            <w:tcW w:w="2841" w:type="dxa"/>
            <w:noWrap/>
          </w:tcPr>
          <w:p w14:paraId="577AAA48">
            <w:pPr>
              <w:spacing w:before="156" w:beforeLines="50" w:after="156" w:afterLines="50" w:line="300" w:lineRule="exact"/>
              <w:rPr>
                <w:rFonts w:ascii="宋体" w:hAnsi="宋体" w:cs="宋体"/>
                <w:color w:val="000000"/>
                <w:szCs w:val="21"/>
              </w:rPr>
            </w:pPr>
            <w:r>
              <w:rPr>
                <w:rFonts w:hint="eastAsia" w:ascii="宋体" w:hAnsi="宋体" w:cs="宋体"/>
                <w:color w:val="000000"/>
                <w:szCs w:val="21"/>
              </w:rPr>
              <w:t>监测级别：三级</w:t>
            </w:r>
          </w:p>
        </w:tc>
      </w:tr>
      <w:tr w14:paraId="23A0B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exact"/>
        </w:trPr>
        <w:tc>
          <w:tcPr>
            <w:tcW w:w="2841" w:type="dxa"/>
            <w:noWrap/>
          </w:tcPr>
          <w:p w14:paraId="0A9BB000">
            <w:pPr>
              <w:spacing w:before="156" w:beforeLines="50" w:after="156" w:afterLines="50" w:line="300" w:lineRule="exact"/>
              <w:rPr>
                <w:rFonts w:ascii="宋体" w:hAnsi="宋体" w:cs="宋体"/>
                <w:color w:val="000000"/>
                <w:szCs w:val="21"/>
              </w:rPr>
            </w:pPr>
            <w:r>
              <w:rPr>
                <w:rFonts w:hint="eastAsia" w:ascii="宋体" w:hAnsi="宋体" w:cs="宋体"/>
                <w:color w:val="000000"/>
                <w:szCs w:val="21"/>
              </w:rPr>
              <w:t>监测频率：月度</w:t>
            </w:r>
          </w:p>
        </w:tc>
        <w:tc>
          <w:tcPr>
            <w:tcW w:w="2840" w:type="dxa"/>
            <w:noWrap/>
          </w:tcPr>
          <w:p w14:paraId="11BBAD38">
            <w:pPr>
              <w:spacing w:before="156" w:beforeLines="50" w:after="156" w:afterLines="50" w:line="300" w:lineRule="exact"/>
              <w:rPr>
                <w:rFonts w:ascii="宋体" w:hAnsi="宋体" w:cs="宋体"/>
                <w:color w:val="000000"/>
                <w:szCs w:val="21"/>
              </w:rPr>
            </w:pPr>
            <w:r>
              <w:rPr>
                <w:rFonts w:hint="eastAsia" w:ascii="宋体" w:hAnsi="宋体" w:cs="宋体"/>
                <w:color w:val="000000"/>
                <w:szCs w:val="21"/>
              </w:rPr>
              <w:t>监测频率：月度</w:t>
            </w:r>
          </w:p>
        </w:tc>
        <w:tc>
          <w:tcPr>
            <w:tcW w:w="2841" w:type="dxa"/>
            <w:noWrap/>
          </w:tcPr>
          <w:p w14:paraId="67F1002D">
            <w:pPr>
              <w:spacing w:before="156" w:beforeLines="50" w:after="156" w:afterLines="50" w:line="300" w:lineRule="exact"/>
              <w:rPr>
                <w:rFonts w:ascii="宋体" w:hAnsi="宋体" w:cs="宋体"/>
                <w:color w:val="000000"/>
                <w:szCs w:val="21"/>
              </w:rPr>
            </w:pPr>
            <w:r>
              <w:rPr>
                <w:rFonts w:hint="eastAsia" w:ascii="宋体" w:hAnsi="宋体" w:cs="宋体"/>
                <w:color w:val="000000"/>
                <w:szCs w:val="21"/>
              </w:rPr>
              <w:t>监测频率：季度/年度</w:t>
            </w:r>
          </w:p>
        </w:tc>
      </w:tr>
      <w:tr w14:paraId="02E4B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exact"/>
        </w:trPr>
        <w:tc>
          <w:tcPr>
            <w:tcW w:w="2841" w:type="dxa"/>
            <w:noWrap/>
          </w:tcPr>
          <w:p w14:paraId="68DD7757">
            <w:pPr>
              <w:spacing w:before="156" w:beforeLines="50" w:after="156" w:afterLines="50" w:line="300" w:lineRule="exact"/>
              <w:rPr>
                <w:rFonts w:ascii="宋体" w:hAnsi="宋体" w:cs="宋体"/>
                <w:color w:val="000000"/>
                <w:szCs w:val="21"/>
              </w:rPr>
            </w:pPr>
            <w:r>
              <w:rPr>
                <w:rFonts w:hint="eastAsia" w:ascii="宋体" w:hAnsi="宋体" w:cs="宋体"/>
                <w:color w:val="000000"/>
                <w:szCs w:val="21"/>
              </w:rPr>
              <w:t>监测部门：各职能部门</w:t>
            </w:r>
          </w:p>
        </w:tc>
        <w:tc>
          <w:tcPr>
            <w:tcW w:w="2840" w:type="dxa"/>
            <w:noWrap/>
          </w:tcPr>
          <w:p w14:paraId="13383946">
            <w:pPr>
              <w:spacing w:before="156" w:beforeLines="50" w:after="156" w:afterLines="50" w:line="300" w:lineRule="exact"/>
              <w:rPr>
                <w:rFonts w:ascii="宋体" w:hAnsi="宋体" w:cs="宋体"/>
                <w:color w:val="000000"/>
                <w:szCs w:val="21"/>
              </w:rPr>
            </w:pPr>
            <w:r>
              <w:rPr>
                <w:rFonts w:hint="eastAsia" w:ascii="宋体" w:hAnsi="宋体" w:cs="宋体"/>
                <w:color w:val="000000"/>
                <w:szCs w:val="21"/>
              </w:rPr>
              <w:t>监测部门：总经理办公室</w:t>
            </w:r>
          </w:p>
        </w:tc>
        <w:tc>
          <w:tcPr>
            <w:tcW w:w="2841" w:type="dxa"/>
            <w:noWrap/>
          </w:tcPr>
          <w:p w14:paraId="6EF9DEC9">
            <w:pPr>
              <w:spacing w:before="156" w:beforeLines="50" w:after="156" w:afterLines="50" w:line="300" w:lineRule="exact"/>
              <w:rPr>
                <w:rFonts w:ascii="宋体" w:hAnsi="宋体" w:cs="宋体"/>
                <w:color w:val="000000"/>
                <w:szCs w:val="21"/>
              </w:rPr>
            </w:pPr>
            <w:r>
              <w:rPr>
                <w:rFonts w:hint="eastAsia" w:ascii="宋体" w:hAnsi="宋体" w:cs="宋体"/>
                <w:color w:val="000000"/>
                <w:szCs w:val="21"/>
              </w:rPr>
              <w:t>监测部门：战略委员会</w:t>
            </w:r>
          </w:p>
        </w:tc>
      </w:tr>
      <w:tr w14:paraId="74082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exact"/>
        </w:trPr>
        <w:tc>
          <w:tcPr>
            <w:tcW w:w="2841" w:type="dxa"/>
            <w:noWrap/>
          </w:tcPr>
          <w:p w14:paraId="1ABD0C7F">
            <w:pPr>
              <w:spacing w:before="156" w:beforeLines="50" w:after="156" w:afterLines="50" w:line="300" w:lineRule="exact"/>
              <w:rPr>
                <w:rFonts w:ascii="宋体" w:hAnsi="宋体" w:cs="宋体"/>
                <w:color w:val="000000"/>
                <w:szCs w:val="21"/>
              </w:rPr>
            </w:pPr>
            <w:r>
              <w:rPr>
                <w:rFonts w:hint="eastAsia" w:ascii="宋体" w:hAnsi="宋体" w:cs="宋体"/>
                <w:color w:val="000000"/>
                <w:szCs w:val="21"/>
              </w:rPr>
              <w:t>监测对象：各单位及部门指标</w:t>
            </w:r>
          </w:p>
        </w:tc>
        <w:tc>
          <w:tcPr>
            <w:tcW w:w="2840" w:type="dxa"/>
            <w:noWrap/>
          </w:tcPr>
          <w:p w14:paraId="619515BD">
            <w:pPr>
              <w:spacing w:before="156" w:beforeLines="50" w:after="156" w:afterLines="50" w:line="300" w:lineRule="exact"/>
              <w:rPr>
                <w:rFonts w:ascii="宋体" w:hAnsi="宋体" w:cs="宋体"/>
                <w:color w:val="000000"/>
                <w:szCs w:val="21"/>
              </w:rPr>
            </w:pPr>
            <w:r>
              <w:rPr>
                <w:rFonts w:hint="eastAsia" w:ascii="宋体" w:hAnsi="宋体" w:cs="宋体"/>
                <w:color w:val="000000"/>
                <w:szCs w:val="21"/>
              </w:rPr>
              <w:t>监测对象：职能部门所承担的专业计划指标，对标指标</w:t>
            </w:r>
          </w:p>
        </w:tc>
        <w:tc>
          <w:tcPr>
            <w:tcW w:w="2841" w:type="dxa"/>
            <w:noWrap/>
          </w:tcPr>
          <w:p w14:paraId="2F6FEDF2">
            <w:pPr>
              <w:spacing w:before="156" w:beforeLines="50" w:after="156" w:afterLines="50" w:line="300" w:lineRule="exact"/>
              <w:rPr>
                <w:rFonts w:ascii="宋体" w:hAnsi="宋体" w:cs="宋体"/>
                <w:color w:val="000000"/>
                <w:szCs w:val="21"/>
              </w:rPr>
            </w:pPr>
            <w:r>
              <w:rPr>
                <w:rFonts w:hint="eastAsia" w:ascii="宋体" w:hAnsi="宋体" w:cs="宋体"/>
                <w:color w:val="000000"/>
                <w:szCs w:val="21"/>
              </w:rPr>
              <w:t>监测对象：关键战略绩效指标，对标指标</w:t>
            </w:r>
          </w:p>
        </w:tc>
      </w:tr>
      <w:tr w14:paraId="614E1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exact"/>
        </w:trPr>
        <w:tc>
          <w:tcPr>
            <w:tcW w:w="2841" w:type="dxa"/>
            <w:noWrap/>
          </w:tcPr>
          <w:p w14:paraId="76ED8107">
            <w:pPr>
              <w:spacing w:before="156" w:beforeLines="50" w:after="156" w:afterLines="50" w:line="300" w:lineRule="exact"/>
              <w:rPr>
                <w:rFonts w:ascii="宋体" w:hAnsi="宋体" w:cs="宋体"/>
                <w:color w:val="000000"/>
                <w:szCs w:val="21"/>
              </w:rPr>
            </w:pPr>
            <w:r>
              <w:rPr>
                <w:rFonts w:hint="eastAsia" w:ascii="宋体" w:hAnsi="宋体" w:cs="宋体"/>
                <w:color w:val="000000"/>
                <w:szCs w:val="21"/>
              </w:rPr>
              <w:t>汇报对象：部门领导</w:t>
            </w:r>
          </w:p>
        </w:tc>
        <w:tc>
          <w:tcPr>
            <w:tcW w:w="2840" w:type="dxa"/>
            <w:noWrap/>
          </w:tcPr>
          <w:p w14:paraId="107BE70D">
            <w:pPr>
              <w:spacing w:before="156" w:beforeLines="50" w:after="156" w:afterLines="50" w:line="300" w:lineRule="exact"/>
              <w:rPr>
                <w:rFonts w:ascii="宋体" w:hAnsi="宋体" w:cs="宋体"/>
                <w:color w:val="000000"/>
                <w:szCs w:val="21"/>
              </w:rPr>
            </w:pPr>
            <w:r>
              <w:rPr>
                <w:rFonts w:hint="eastAsia" w:ascii="宋体" w:hAnsi="宋体" w:cs="宋体"/>
                <w:color w:val="000000"/>
                <w:szCs w:val="21"/>
              </w:rPr>
              <w:t>汇报对象：战略委员会</w:t>
            </w:r>
          </w:p>
        </w:tc>
        <w:tc>
          <w:tcPr>
            <w:tcW w:w="2841" w:type="dxa"/>
            <w:noWrap/>
          </w:tcPr>
          <w:p w14:paraId="7C5B9AC9">
            <w:pPr>
              <w:spacing w:before="156" w:beforeLines="50" w:after="156" w:afterLines="50" w:line="300" w:lineRule="exact"/>
              <w:rPr>
                <w:rFonts w:ascii="宋体" w:hAnsi="宋体" w:cs="宋体"/>
                <w:color w:val="000000"/>
                <w:szCs w:val="21"/>
              </w:rPr>
            </w:pPr>
            <w:r>
              <w:rPr>
                <w:rFonts w:hint="eastAsia" w:ascii="宋体" w:hAnsi="宋体" w:cs="宋体"/>
                <w:color w:val="000000"/>
                <w:szCs w:val="21"/>
              </w:rPr>
              <w:t>汇报对象：董事会</w:t>
            </w:r>
          </w:p>
        </w:tc>
      </w:tr>
    </w:tbl>
    <w:p w14:paraId="0B2E2713">
      <w:pPr>
        <w:spacing w:before="156" w:beforeLines="50" w:after="156" w:afterLines="50" w:line="360" w:lineRule="auto"/>
        <w:ind w:firstLine="420"/>
        <w:rPr>
          <w:rFonts w:ascii="宋体" w:hAnsi="宋体"/>
        </w:rPr>
      </w:pPr>
      <w:r>
        <w:rPr>
          <w:rFonts w:ascii="宋体" w:hAnsi="宋体"/>
        </w:rPr>
        <w:t>根据战略目标，从财务、顾客与市场、内部运营、学习与成长层面，系统性地制定了绩效测量指标，涵盖了所有关键的战略部署领域和相关方，并层层分解落实到所有相关部门，以确保协调一致性。关键绩效通过绩效测量体系进行测量和评估，以量化的指标评价战略实施过程，通过对比分析发现战略实施的偏差，采取改进措施，保证战略目标的实现。</w:t>
      </w:r>
    </w:p>
    <w:bookmarkEnd w:id="18"/>
    <w:p w14:paraId="049DC34C">
      <w:pPr>
        <w:pStyle w:val="4"/>
      </w:pPr>
      <w:bookmarkStart w:id="20" w:name="_Toc339617465"/>
      <w:bookmarkStart w:id="21" w:name="_Toc339641732"/>
      <w:bookmarkStart w:id="22" w:name="_Toc99720420"/>
      <w:bookmarkStart w:id="23" w:name="_Toc401871374"/>
      <w:r>
        <w:t>4.2.3</w:t>
      </w:r>
      <w:r>
        <w:rPr>
          <w:rFonts w:hint="eastAsia"/>
        </w:rPr>
        <w:t>战略部署</w:t>
      </w:r>
      <w:bookmarkEnd w:id="20"/>
      <w:bookmarkEnd w:id="21"/>
      <w:bookmarkEnd w:id="22"/>
      <w:bookmarkEnd w:id="23"/>
    </w:p>
    <w:p w14:paraId="3359E159">
      <w:pPr>
        <w:pStyle w:val="5"/>
      </w:pPr>
      <w:r>
        <w:rPr>
          <w:rFonts w:hint="eastAsia"/>
        </w:rPr>
        <w:t>4.2.3.1提要</w:t>
      </w:r>
    </w:p>
    <w:p w14:paraId="1A26E9A7">
      <w:pPr>
        <w:spacing w:line="360" w:lineRule="auto"/>
        <w:ind w:firstLine="480" w:firstLineChars="200"/>
        <w:rPr>
          <w:szCs w:val="32"/>
        </w:rPr>
      </w:pPr>
      <w:r>
        <w:rPr>
          <w:rFonts w:hint="eastAsia"/>
          <w:szCs w:val="32"/>
        </w:rPr>
        <w:t>在总的战略的指导下，公司制定了年度推进计划，以及各个子支撑性战略，通过资源匹配计划，在人力、财力和物力上为战略的实现提供支撑。为保证战略执行的科学性、有效性，公司制定了事前-事中-事后的战略监控计划。</w:t>
      </w:r>
    </w:p>
    <w:p w14:paraId="61DE68BC">
      <w:pPr>
        <w:pStyle w:val="5"/>
      </w:pPr>
      <w:r>
        <w:rPr>
          <w:rFonts w:hint="eastAsia"/>
        </w:rPr>
        <w:t>4.2.3.2实施计划的制定与部署</w:t>
      </w:r>
    </w:p>
    <w:p w14:paraId="2C64CF90">
      <w:pPr>
        <w:pStyle w:val="6"/>
        <w:rPr>
          <w:sz w:val="24"/>
          <w:szCs w:val="24"/>
        </w:rPr>
      </w:pPr>
      <w:r>
        <w:rPr>
          <w:rFonts w:hint="eastAsia"/>
          <w:bCs/>
          <w:sz w:val="24"/>
          <w:szCs w:val="24"/>
        </w:rPr>
        <w:t>4.2.3.2.1</w:t>
      </w:r>
      <w:r>
        <w:rPr>
          <w:rFonts w:hint="eastAsia"/>
          <w:sz w:val="24"/>
          <w:szCs w:val="24"/>
        </w:rPr>
        <w:t>制定和部署实现战略目标的计划并对战略目标和实施计划进行调整</w:t>
      </w:r>
    </w:p>
    <w:p w14:paraId="327B83EE">
      <w:pPr>
        <w:spacing w:line="360" w:lineRule="auto"/>
        <w:ind w:firstLine="480" w:firstLineChars="200"/>
        <w:rPr>
          <w:szCs w:val="32"/>
        </w:rPr>
      </w:pPr>
      <w:r>
        <w:rPr>
          <w:rFonts w:hint="eastAsia"/>
          <w:szCs w:val="32"/>
        </w:rPr>
        <w:t>公司对五年战略总体规划进行了年度目标分解，并通过年度工作计划目标进行部署与考核。</w:t>
      </w:r>
    </w:p>
    <w:p w14:paraId="47811947">
      <w:pPr>
        <w:pStyle w:val="36"/>
        <w:spacing w:line="360" w:lineRule="auto"/>
        <w:ind w:firstLine="480"/>
        <w:rPr>
          <w:rFonts w:ascii="Times New Roman" w:hAnsi="Times New Roman" w:eastAsia="宋体"/>
          <w:szCs w:val="32"/>
        </w:rPr>
      </w:pPr>
      <w:r>
        <w:rPr>
          <w:rFonts w:hint="eastAsia" w:ascii="Times New Roman" w:hAnsi="Times New Roman" w:eastAsia="宋体"/>
          <w:szCs w:val="32"/>
        </w:rPr>
        <w:t>公司坚持“动态适应、局部调整”的原则，每半年由战略委员会召集经营班子、业务单元及职能部门负责人召开战略分析会议，对公司经营业绩进行总结、评估和分析，对战略目标、年度工作重点实践执行存在偏差的进行局部微调，从而推动战略的实施。</w:t>
      </w:r>
    </w:p>
    <w:p w14:paraId="3EB38E23">
      <w:pPr>
        <w:spacing w:line="360" w:lineRule="auto"/>
        <w:ind w:firstLine="480" w:firstLineChars="200"/>
        <w:rPr>
          <w:rFonts w:ascii="宋体" w:hAnsi="宋体"/>
          <w:szCs w:val="32"/>
        </w:rPr>
      </w:pPr>
      <w:r>
        <w:rPr>
          <w:rFonts w:hint="eastAsia" w:ascii="宋体" w:hAnsi="宋体"/>
          <w:szCs w:val="32"/>
        </w:rPr>
        <w:t>公司进行战略的描述、沟通和部署，以便有效地实施战略。按照战略部署管理流程（见图4.2.3-1），将公司战略展开为与规划区间对应的战略规划并滚动分解为公司的年度经营计划，公司各职能部门根据既定的规划和战略目标，运用平衡计分卡的思路展开部门二级规划，二级规划进一步分解为部门的年度经营计划。连续的、一贯的、动态的战略规划可以固化已取得的战略成果并在此基础上将企业推向更大的成功。</w:t>
      </w:r>
    </w:p>
    <w:p w14:paraId="0960AA49">
      <w:pPr>
        <w:snapToGrid w:val="0"/>
        <w:jc w:val="center"/>
        <w:rPr>
          <w:rFonts w:ascii="黑体" w:hAnsi="黑体" w:eastAsia="黑体"/>
          <w:b/>
          <w:sz w:val="21"/>
          <w:szCs w:val="21"/>
        </w:rPr>
      </w:pPr>
      <w:r>
        <w:rPr>
          <w:rFonts w:ascii="黑体" w:hAnsi="黑体" w:eastAsia="黑体"/>
          <w:b/>
          <w:sz w:val="21"/>
          <w:szCs w:val="21"/>
        </w:rPr>
        <w:t>图4.2.3-1战略部署管理流程图</w:t>
      </w:r>
    </w:p>
    <w:p w14:paraId="5C7176A1">
      <w:pPr>
        <w:spacing w:line="360" w:lineRule="auto"/>
        <w:rPr>
          <w:rFonts w:ascii="宋体" w:hAnsi="宋体"/>
          <w:b/>
          <w:bCs/>
        </w:rPr>
      </w:pPr>
      <w:r>
        <w:rPr>
          <w:rFonts w:ascii="仿宋_GB2312" w:hAnsi="宋体" w:eastAsia="仿宋_GB2312"/>
          <w:sz w:val="28"/>
          <w:szCs w:val="28"/>
        </w:rPr>
        <w:drawing>
          <wp:inline distT="0" distB="0" distL="114300" distR="114300">
            <wp:extent cx="5553075" cy="4048125"/>
            <wp:effectExtent l="0" t="0" r="9525" b="9525"/>
            <wp:docPr id="7" name="图片 7" descr="滨州活塞董事会战略委员会工作细则（技术中心内部使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滨州活塞董事会战略委员会工作细则（技术中心内部使用）"/>
                    <pic:cNvPicPr>
                      <a:picLocks noChangeAspect="1"/>
                    </pic:cNvPicPr>
                  </pic:nvPicPr>
                  <pic:blipFill>
                    <a:blip r:embed="rId15"/>
                    <a:srcRect l="148" t="1680" r="-146" b="2341"/>
                    <a:stretch>
                      <a:fillRect/>
                    </a:stretch>
                  </pic:blipFill>
                  <pic:spPr>
                    <a:xfrm>
                      <a:off x="0" y="0"/>
                      <a:ext cx="5553075" cy="4048125"/>
                    </a:xfrm>
                    <a:prstGeom prst="rect">
                      <a:avLst/>
                    </a:prstGeom>
                    <a:noFill/>
                    <a:ln>
                      <a:noFill/>
                    </a:ln>
                  </pic:spPr>
                </pic:pic>
              </a:graphicData>
            </a:graphic>
          </wp:inline>
        </w:drawing>
      </w:r>
    </w:p>
    <w:p w14:paraId="07E0DC9A">
      <w:pPr>
        <w:pStyle w:val="6"/>
        <w:spacing w:before="156" w:beforeLines="50"/>
        <w:rPr>
          <w:bCs/>
          <w:sz w:val="24"/>
          <w:szCs w:val="24"/>
        </w:rPr>
      </w:pPr>
      <w:r>
        <w:rPr>
          <w:rFonts w:hint="eastAsia"/>
          <w:bCs/>
          <w:sz w:val="24"/>
          <w:szCs w:val="24"/>
        </w:rPr>
        <w:t>4.2.3.2.2组织的主要长短期实施计划及其反映的关键变化</w:t>
      </w:r>
    </w:p>
    <w:p w14:paraId="587BB8D1">
      <w:pPr>
        <w:spacing w:line="360" w:lineRule="auto"/>
        <w:ind w:firstLine="480" w:firstLineChars="200"/>
        <w:rPr>
          <w:szCs w:val="32"/>
        </w:rPr>
      </w:pPr>
      <w:r>
        <w:rPr>
          <w:rFonts w:hint="eastAsia"/>
          <w:szCs w:val="32"/>
        </w:rPr>
        <w:t>根据公司的发展使命和愿景，在未来战略的基础上，公司科学地制定了涵盖人力资源、市场和管理等多方面的支撑性战略，支撑公司长、短期战略的实施。</w:t>
      </w:r>
    </w:p>
    <w:p w14:paraId="1D6DFE99">
      <w:pPr>
        <w:spacing w:line="360" w:lineRule="auto"/>
        <w:ind w:firstLine="480" w:firstLineChars="200"/>
        <w:rPr>
          <w:szCs w:val="32"/>
        </w:rPr>
      </w:pPr>
      <w:r>
        <w:rPr>
          <w:rFonts w:hint="eastAsia"/>
          <w:szCs w:val="32"/>
        </w:rPr>
        <w:t>公司一方面人才引进主要从大中专院校招聘有潜力的应届毕业生加入，另一方面，通过从同行业引进技术人才和复合型管理人才。结合公司的发展需要，从企业文化、专业知识、市场行情、管理能力等多方位、多渠道、多形式进行培训与开发，并为各类人员设立阶段性成长目标，帮助其快速成长。骨干队伍的梯队建设及专业化能力待提升。未来几年，公司将着力于提升骨干队伍专业化水平的提升，造就复合型人才。</w:t>
      </w:r>
    </w:p>
    <w:p w14:paraId="1FCCF0CD">
      <w:pPr>
        <w:pStyle w:val="20"/>
        <w:spacing w:before="0" w:beforeAutospacing="0" w:after="0" w:afterAutospacing="0" w:line="360" w:lineRule="auto"/>
        <w:ind w:left="17" w:leftChars="7" w:firstLine="480" w:firstLineChars="200"/>
        <w:rPr>
          <w:rFonts w:ascii="Times New Roman" w:hAnsi="Times New Roman" w:cs="Times New Roman"/>
          <w:kern w:val="2"/>
        </w:rPr>
      </w:pPr>
      <w:r>
        <w:rPr>
          <w:rFonts w:hint="eastAsia" w:ascii="Times New Roman" w:hAnsi="Times New Roman" w:cs="Times New Roman"/>
          <w:kern w:val="2"/>
        </w:rPr>
        <w:t>未来五年，公司通过过硬的产品质量取信于客户，通过超过客户预期的产品和服务，来提高客户的满意度和忠诚度。通过继续参加国内外行业展台会，同时通过赞助行业活动和在专业杂志刊登广告，扩大公司的品牌的知名度和美名度，提高“</w:t>
      </w:r>
      <w:r>
        <w:rPr>
          <w:rFonts w:hint="eastAsia" w:ascii="Times New Roman" w:hAnsi="Times New Roman" w:cs="Times New Roman"/>
          <w:kern w:val="2"/>
          <w:lang w:eastAsia="zh-CN"/>
        </w:rPr>
        <w:t>中凯涂料</w:t>
      </w:r>
      <w:r>
        <w:rPr>
          <w:rFonts w:hint="eastAsia" w:ascii="Times New Roman" w:hAnsi="Times New Roman" w:cs="Times New Roman"/>
          <w:kern w:val="2"/>
        </w:rPr>
        <w:t>”品牌的影响。</w:t>
      </w:r>
    </w:p>
    <w:p w14:paraId="143EAB50">
      <w:pPr>
        <w:pStyle w:val="20"/>
        <w:spacing w:before="0" w:beforeAutospacing="0" w:after="0" w:afterAutospacing="0" w:line="360" w:lineRule="auto"/>
        <w:ind w:firstLine="480" w:firstLineChars="200"/>
        <w:rPr>
          <w:rFonts w:ascii="Times New Roman" w:hAnsi="Times New Roman" w:cs="Times New Roman"/>
          <w:kern w:val="2"/>
        </w:rPr>
      </w:pPr>
      <w:r>
        <w:rPr>
          <w:rFonts w:hint="eastAsia" w:ascii="Times New Roman" w:hAnsi="Times New Roman" w:cs="Times New Roman"/>
          <w:kern w:val="2"/>
        </w:rPr>
        <w:t>根据公司和行业的实际情况，公司不断完善公司财务管理体系，对内，严格控制并合理降低产品成本及管理成本。对外，在确保采购物料质量要求的基础上，采取一切措施与手段，严格控制并降低采购成本。以此确保公司的市场竞争力和可持续发展能力。</w:t>
      </w:r>
    </w:p>
    <w:p w14:paraId="433ED070">
      <w:pPr>
        <w:pStyle w:val="20"/>
        <w:spacing w:before="0" w:beforeAutospacing="0" w:after="0" w:afterAutospacing="0" w:line="360" w:lineRule="auto"/>
        <w:ind w:left="17" w:leftChars="7" w:firstLine="480" w:firstLineChars="200"/>
        <w:rPr>
          <w:rFonts w:ascii="Times New Roman" w:hAnsi="Times New Roman" w:cs="Times New Roman"/>
          <w:kern w:val="2"/>
        </w:rPr>
      </w:pPr>
      <w:r>
        <w:rPr>
          <w:rFonts w:hint="eastAsia" w:ascii="Times New Roman" w:hAnsi="Times New Roman" w:cs="Times New Roman"/>
          <w:kern w:val="2"/>
        </w:rPr>
        <w:t>公司战略规划的制定和实施，势必对公司的产品和服务、顾客和市场以及经营方面产生影响。</w:t>
      </w:r>
    </w:p>
    <w:p w14:paraId="5BCF3140">
      <w:pPr>
        <w:pStyle w:val="6"/>
        <w:rPr>
          <w:sz w:val="24"/>
          <w:szCs w:val="24"/>
        </w:rPr>
      </w:pPr>
      <w:r>
        <w:rPr>
          <w:rFonts w:hint="eastAsia"/>
          <w:sz w:val="24"/>
          <w:szCs w:val="24"/>
        </w:rPr>
        <w:t>4.2.3.2.3获取和配置资源</w:t>
      </w:r>
    </w:p>
    <w:p w14:paraId="36A158EA">
      <w:pPr>
        <w:pStyle w:val="20"/>
        <w:spacing w:before="0" w:beforeAutospacing="0" w:after="0" w:afterAutospacing="0" w:line="360" w:lineRule="auto"/>
        <w:ind w:left="17" w:leftChars="7" w:firstLine="480" w:firstLineChars="200"/>
        <w:rPr>
          <w:rFonts w:ascii="Times New Roman" w:hAnsi="Times New Roman" w:cs="Times New Roman"/>
          <w:kern w:val="2"/>
          <w:szCs w:val="32"/>
        </w:rPr>
      </w:pPr>
      <w:r>
        <w:rPr>
          <w:rFonts w:hint="eastAsia" w:ascii="Times New Roman" w:hAnsi="Times New Roman" w:cs="Times New Roman"/>
          <w:kern w:val="2"/>
          <w:szCs w:val="32"/>
          <w:lang w:eastAsia="zh-CN"/>
        </w:rPr>
        <w:t>中凯涂料</w:t>
      </w:r>
      <w:r>
        <w:rPr>
          <w:rFonts w:hint="eastAsia" w:ascii="Times New Roman" w:hAnsi="Times New Roman" w:cs="Times New Roman"/>
          <w:kern w:val="2"/>
          <w:szCs w:val="32"/>
        </w:rPr>
        <w:t>根据战略规划，从人力、财务等方面制定了20</w:t>
      </w:r>
      <w:r>
        <w:rPr>
          <w:rFonts w:ascii="Times New Roman" w:hAnsi="Times New Roman" w:cs="Times New Roman"/>
          <w:kern w:val="2"/>
          <w:szCs w:val="32"/>
        </w:rPr>
        <w:t>2</w:t>
      </w:r>
      <w:r>
        <w:rPr>
          <w:rFonts w:hint="eastAsia" w:ascii="Times New Roman" w:hAnsi="Times New Roman" w:cs="Times New Roman"/>
          <w:kern w:val="2"/>
          <w:szCs w:val="32"/>
          <w:lang w:val="en-US" w:eastAsia="zh-CN"/>
        </w:rPr>
        <w:t>5</w:t>
      </w:r>
      <w:r>
        <w:rPr>
          <w:rFonts w:hint="eastAsia" w:ascii="Times New Roman" w:hAnsi="Times New Roman" w:cs="Times New Roman"/>
          <w:kern w:val="2"/>
          <w:szCs w:val="32"/>
        </w:rPr>
        <w:t>-202</w:t>
      </w:r>
      <w:r>
        <w:rPr>
          <w:rFonts w:hint="eastAsia" w:ascii="Times New Roman" w:hAnsi="Times New Roman" w:cs="Times New Roman"/>
          <w:kern w:val="2"/>
          <w:szCs w:val="32"/>
          <w:lang w:val="en-US" w:eastAsia="zh-CN"/>
        </w:rPr>
        <w:t>8</w:t>
      </w:r>
      <w:r>
        <w:rPr>
          <w:rFonts w:hint="eastAsia" w:ascii="Times New Roman" w:hAnsi="Times New Roman" w:cs="Times New Roman"/>
          <w:kern w:val="2"/>
          <w:szCs w:val="32"/>
        </w:rPr>
        <w:t>年资源配置计划。公司每年通过战略评估，改进资源配置计划，优化资源配置。通过定期对公司各种资源的使用状况进行监测与评价，快速调整资源分配。</w:t>
      </w:r>
    </w:p>
    <w:p w14:paraId="66DCDBBA">
      <w:pPr>
        <w:pStyle w:val="6"/>
        <w:rPr>
          <w:sz w:val="24"/>
          <w:szCs w:val="24"/>
        </w:rPr>
      </w:pPr>
      <w:r>
        <w:rPr>
          <w:rFonts w:hint="eastAsia"/>
          <w:sz w:val="24"/>
          <w:szCs w:val="24"/>
        </w:rPr>
        <w:t>4.2.3.2.4监测实施计划进展情况</w:t>
      </w:r>
    </w:p>
    <w:p w14:paraId="41E65CCA">
      <w:pPr>
        <w:pStyle w:val="20"/>
        <w:spacing w:before="0" w:beforeAutospacing="0" w:after="0" w:afterAutospacing="0" w:line="360" w:lineRule="auto"/>
        <w:ind w:left="17" w:leftChars="7" w:firstLine="480" w:firstLineChars="200"/>
        <w:rPr>
          <w:rFonts w:ascii="Times New Roman" w:hAnsi="Times New Roman" w:cs="Times New Roman"/>
          <w:kern w:val="2"/>
        </w:rPr>
      </w:pPr>
      <w:r>
        <w:rPr>
          <w:rFonts w:hint="eastAsia" w:ascii="Times New Roman" w:hAnsi="Times New Roman" w:cs="Times New Roman"/>
          <w:kern w:val="2"/>
        </w:rPr>
        <w:t>为监测战略规划实施，公司从财务、客户、运营、学习与发展等方面确定了影响企业成功的关键成功因素。将其进一步分解为几项绩效考核指标，建立了关键绩效指标的绩效质量体系。公司以月度、年度考核的方式，通过量化的指标对绩效进行跟踪评价，从而评价战略实施过程。通过对比分析战略实施的偏差，采取改进措施，保证战略目标的实现。</w:t>
      </w:r>
    </w:p>
    <w:p w14:paraId="3D8292A4">
      <w:pPr>
        <w:pStyle w:val="20"/>
        <w:spacing w:before="0" w:beforeAutospacing="0" w:after="0" w:afterAutospacing="0" w:line="360" w:lineRule="auto"/>
        <w:ind w:left="17" w:leftChars="7" w:firstLine="480" w:firstLineChars="200"/>
        <w:rPr>
          <w:rFonts w:ascii="Times New Roman" w:hAnsi="Times New Roman" w:cs="Times New Roman"/>
          <w:kern w:val="2"/>
        </w:rPr>
      </w:pPr>
      <w:r>
        <w:rPr>
          <w:rFonts w:hint="eastAsia" w:ascii="Times New Roman" w:hAnsi="Times New Roman" w:cs="Times New Roman"/>
          <w:kern w:val="2"/>
        </w:rPr>
        <w:t>公司通过岗位说明书，在岗位职责中明确规定测量任务，并通过每月召开例会，公布和评估测量的组织系统，保证了内部的协调沟通。公司的绩效测量指标体系覆盖了所有相关方，顾客满意度指标保证了客户利益，利润总额指标保证了股东利益，员工流失率及员工满意度指标可以使员工利益得以保证。</w:t>
      </w:r>
    </w:p>
    <w:p w14:paraId="55406E93">
      <w:pPr>
        <w:pStyle w:val="20"/>
        <w:spacing w:before="0" w:beforeAutospacing="0" w:after="0" w:afterAutospacing="0" w:line="360" w:lineRule="auto"/>
        <w:ind w:left="17" w:leftChars="7" w:firstLine="480" w:firstLineChars="200"/>
        <w:rPr>
          <w:rFonts w:ascii="Times New Roman" w:hAnsi="Times New Roman" w:cs="Times New Roman"/>
          <w:kern w:val="2"/>
        </w:rPr>
      </w:pPr>
      <w:r>
        <w:rPr>
          <w:rFonts w:hint="eastAsia" w:ascii="Times New Roman" w:hAnsi="Times New Roman" w:cs="Times New Roman"/>
          <w:kern w:val="2"/>
        </w:rPr>
        <w:t>公司每年年终对战略进行年度适当调整。根据调整情况，每年年底开始编制下一年度经营计划。公司通过分析、研究运营过程中的关键绩效结果，对指标的适应性进行测评，并适时对关键绩效指标体系的结构及目标性进行调整，并在经理办公会上颁布。</w:t>
      </w:r>
    </w:p>
    <w:p w14:paraId="23DEE4CE">
      <w:pPr>
        <w:spacing w:line="360" w:lineRule="auto"/>
        <w:ind w:firstLine="480" w:firstLineChars="200"/>
        <w:rPr>
          <w:rFonts w:ascii="宋体" w:hAnsi="宋体"/>
          <w:szCs w:val="32"/>
        </w:rPr>
      </w:pPr>
      <w:r>
        <w:rPr>
          <w:rFonts w:hint="eastAsia" w:ascii="宋体" w:hAnsi="宋体"/>
          <w:szCs w:val="32"/>
        </w:rPr>
        <w:t>公司运用平衡计分卡，建立科学的关键绩效指标体系，在体系中融合了社会责任绩效，涵盖了所有的关键战略部署领域和相关方。建立了“岗位-部门-公司”组织层次和“月度-季度-年度”时间层次的战略绩效测量系统，形成了上下贯通、长短结合的绩效监测体系对战略实施的进展情况及效果进行监测。人事行政部是日常战略绩效监测的负责部门，负责对输入</w:t>
      </w:r>
      <w:r>
        <w:rPr>
          <w:rFonts w:hint="eastAsia" w:ascii="宋体" w:hAnsi="宋体"/>
          <w:szCs w:val="32"/>
          <w:lang w:eastAsia="zh-CN"/>
        </w:rPr>
        <w:t>财物管理</w:t>
      </w:r>
      <w:r>
        <w:rPr>
          <w:rFonts w:hint="eastAsia" w:ascii="宋体" w:hAnsi="宋体"/>
          <w:szCs w:val="32"/>
        </w:rPr>
        <w:t>战略管理信息系统中绩效指标的及时性、有效性等进行监控和考核。为了加强对战略绩效的监测，通过对绩效指标的分解和增加测量频次，强化了测量系统，保证了战略执行和监测的协调一致性。</w:t>
      </w:r>
    </w:p>
    <w:p w14:paraId="38FC7FCA">
      <w:pPr>
        <w:snapToGrid w:val="0"/>
        <w:spacing w:line="360" w:lineRule="auto"/>
        <w:jc w:val="center"/>
        <w:rPr>
          <w:rFonts w:ascii="黑体" w:hAnsi="黑体" w:eastAsia="黑体"/>
          <w:b/>
          <w:sz w:val="21"/>
          <w:szCs w:val="21"/>
        </w:rPr>
      </w:pPr>
      <w:r>
        <w:rPr>
          <w:rFonts w:ascii="黑体" w:hAnsi="黑体" w:eastAsia="黑体"/>
          <w:b/>
          <w:sz w:val="21"/>
          <w:szCs w:val="21"/>
        </w:rPr>
        <w:t>表4.2.3-</w:t>
      </w:r>
      <w:r>
        <w:rPr>
          <w:rFonts w:hint="eastAsia" w:ascii="黑体" w:hAnsi="黑体" w:eastAsia="黑体"/>
          <w:b/>
          <w:sz w:val="21"/>
          <w:szCs w:val="21"/>
        </w:rPr>
        <w:t>2关键绩效测量指标</w:t>
      </w:r>
    </w:p>
    <w:tbl>
      <w:tblPr>
        <w:tblStyle w:val="22"/>
        <w:tblW w:w="8920" w:type="dxa"/>
        <w:jc w:val="center"/>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Layout w:type="fixed"/>
        <w:tblCellMar>
          <w:top w:w="0" w:type="dxa"/>
          <w:left w:w="108" w:type="dxa"/>
          <w:bottom w:w="0" w:type="dxa"/>
          <w:right w:w="108" w:type="dxa"/>
        </w:tblCellMar>
      </w:tblPr>
      <w:tblGrid>
        <w:gridCol w:w="967"/>
        <w:gridCol w:w="1420"/>
        <w:gridCol w:w="3119"/>
        <w:gridCol w:w="1460"/>
        <w:gridCol w:w="1954"/>
      </w:tblGrid>
      <w:tr w14:paraId="2EB93ABA">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326" w:hRule="atLeast"/>
          <w:tblHeader/>
          <w:jc w:val="center"/>
        </w:trPr>
        <w:tc>
          <w:tcPr>
            <w:tcW w:w="967" w:type="dxa"/>
            <w:shd w:val="clear" w:color="auto" w:fill="938953"/>
            <w:vAlign w:val="center"/>
          </w:tcPr>
          <w:p w14:paraId="49BF30C3">
            <w:pPr>
              <w:jc w:val="center"/>
              <w:rPr>
                <w:rFonts w:ascii="宋体" w:hAnsi="宋体"/>
                <w:b/>
                <w:bCs/>
                <w:color w:val="FFFFFF"/>
                <w:kern w:val="2"/>
                <w:sz w:val="21"/>
                <w:szCs w:val="21"/>
              </w:rPr>
            </w:pPr>
            <w:r>
              <w:rPr>
                <w:rFonts w:hint="eastAsia" w:ascii="宋体" w:hAnsi="宋体"/>
                <w:b/>
                <w:bCs/>
                <w:color w:val="FFFFFF"/>
                <w:kern w:val="2"/>
                <w:sz w:val="21"/>
                <w:szCs w:val="21"/>
              </w:rPr>
              <w:t>序号</w:t>
            </w:r>
          </w:p>
        </w:tc>
        <w:tc>
          <w:tcPr>
            <w:tcW w:w="1420" w:type="dxa"/>
            <w:shd w:val="clear" w:color="auto" w:fill="938953"/>
            <w:vAlign w:val="center"/>
          </w:tcPr>
          <w:p w14:paraId="46BE9483">
            <w:pPr>
              <w:jc w:val="center"/>
              <w:rPr>
                <w:rFonts w:ascii="宋体" w:hAnsi="宋体"/>
                <w:b/>
                <w:bCs/>
                <w:color w:val="FFFFFF"/>
                <w:kern w:val="2"/>
                <w:sz w:val="21"/>
                <w:szCs w:val="21"/>
              </w:rPr>
            </w:pPr>
            <w:r>
              <w:rPr>
                <w:rFonts w:hint="eastAsia" w:ascii="宋体" w:hAnsi="宋体"/>
                <w:b/>
                <w:bCs/>
                <w:color w:val="FFFFFF"/>
                <w:kern w:val="2"/>
                <w:sz w:val="21"/>
                <w:szCs w:val="21"/>
              </w:rPr>
              <w:t>指标类别</w:t>
            </w:r>
          </w:p>
        </w:tc>
        <w:tc>
          <w:tcPr>
            <w:tcW w:w="3119" w:type="dxa"/>
            <w:shd w:val="clear" w:color="auto" w:fill="938953"/>
            <w:vAlign w:val="center"/>
          </w:tcPr>
          <w:p w14:paraId="1854401B">
            <w:pPr>
              <w:jc w:val="center"/>
              <w:rPr>
                <w:rFonts w:ascii="宋体" w:hAnsi="宋体"/>
                <w:b/>
                <w:bCs/>
                <w:color w:val="FFFFFF"/>
                <w:kern w:val="2"/>
                <w:sz w:val="21"/>
                <w:szCs w:val="21"/>
              </w:rPr>
            </w:pPr>
            <w:r>
              <w:rPr>
                <w:rFonts w:hint="eastAsia" w:ascii="宋体" w:hAnsi="宋体"/>
                <w:b/>
                <w:bCs/>
                <w:color w:val="FFFFFF"/>
                <w:kern w:val="2"/>
                <w:sz w:val="21"/>
                <w:szCs w:val="21"/>
              </w:rPr>
              <w:t>关键指标</w:t>
            </w:r>
          </w:p>
        </w:tc>
        <w:tc>
          <w:tcPr>
            <w:tcW w:w="1460" w:type="dxa"/>
            <w:shd w:val="clear" w:color="auto" w:fill="938953"/>
            <w:vAlign w:val="center"/>
          </w:tcPr>
          <w:p w14:paraId="732C0F77">
            <w:pPr>
              <w:jc w:val="center"/>
              <w:rPr>
                <w:rFonts w:ascii="宋体" w:hAnsi="宋体"/>
                <w:b/>
                <w:bCs/>
                <w:color w:val="FFFFFF"/>
                <w:kern w:val="2"/>
                <w:sz w:val="21"/>
                <w:szCs w:val="21"/>
              </w:rPr>
            </w:pPr>
            <w:r>
              <w:rPr>
                <w:rFonts w:hint="eastAsia" w:ascii="宋体" w:hAnsi="宋体"/>
                <w:b/>
                <w:bCs/>
                <w:color w:val="FFFFFF"/>
                <w:kern w:val="2"/>
                <w:sz w:val="21"/>
                <w:szCs w:val="21"/>
              </w:rPr>
              <w:t>单位</w:t>
            </w:r>
          </w:p>
        </w:tc>
        <w:tc>
          <w:tcPr>
            <w:tcW w:w="1954" w:type="dxa"/>
            <w:shd w:val="clear" w:color="auto" w:fill="938953"/>
          </w:tcPr>
          <w:p w14:paraId="7C5A4941">
            <w:pPr>
              <w:jc w:val="center"/>
              <w:rPr>
                <w:rFonts w:ascii="宋体" w:hAnsi="宋体"/>
                <w:b/>
                <w:bCs/>
                <w:color w:val="FFFFFF"/>
                <w:kern w:val="2"/>
                <w:sz w:val="21"/>
                <w:szCs w:val="21"/>
              </w:rPr>
            </w:pPr>
            <w:r>
              <w:rPr>
                <w:rFonts w:hint="eastAsia" w:ascii="宋体" w:hAnsi="宋体"/>
                <w:b/>
                <w:bCs/>
                <w:color w:val="FFFFFF"/>
                <w:kern w:val="2"/>
                <w:sz w:val="21"/>
                <w:szCs w:val="21"/>
              </w:rPr>
              <w:t>相关方</w:t>
            </w:r>
          </w:p>
        </w:tc>
      </w:tr>
      <w:tr w14:paraId="606E90E1">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295" w:hRule="atLeast"/>
          <w:jc w:val="center"/>
        </w:trPr>
        <w:tc>
          <w:tcPr>
            <w:tcW w:w="967" w:type="dxa"/>
            <w:vAlign w:val="center"/>
          </w:tcPr>
          <w:p w14:paraId="130EABA5">
            <w:pPr>
              <w:jc w:val="center"/>
              <w:rPr>
                <w:rFonts w:ascii="宋体" w:hAnsi="宋体"/>
                <w:kern w:val="2"/>
                <w:sz w:val="21"/>
                <w:szCs w:val="21"/>
              </w:rPr>
            </w:pPr>
            <w:r>
              <w:rPr>
                <w:rFonts w:hint="eastAsia" w:ascii="宋体" w:hAnsi="宋体"/>
                <w:kern w:val="2"/>
                <w:sz w:val="21"/>
                <w:szCs w:val="21"/>
              </w:rPr>
              <w:t>1</w:t>
            </w:r>
          </w:p>
        </w:tc>
        <w:tc>
          <w:tcPr>
            <w:tcW w:w="1420" w:type="dxa"/>
            <w:vMerge w:val="restart"/>
            <w:vAlign w:val="center"/>
          </w:tcPr>
          <w:p w14:paraId="34DB83A7">
            <w:pPr>
              <w:jc w:val="center"/>
              <w:rPr>
                <w:rFonts w:ascii="宋体" w:hAnsi="宋体"/>
                <w:kern w:val="2"/>
                <w:sz w:val="21"/>
                <w:szCs w:val="21"/>
              </w:rPr>
            </w:pPr>
            <w:r>
              <w:rPr>
                <w:rFonts w:hint="eastAsia" w:ascii="宋体" w:hAnsi="宋体"/>
                <w:kern w:val="2"/>
                <w:sz w:val="21"/>
                <w:szCs w:val="21"/>
              </w:rPr>
              <w:t>顾客与市场</w:t>
            </w:r>
          </w:p>
        </w:tc>
        <w:tc>
          <w:tcPr>
            <w:tcW w:w="3119" w:type="dxa"/>
            <w:vAlign w:val="center"/>
          </w:tcPr>
          <w:p w14:paraId="645665AC">
            <w:pPr>
              <w:jc w:val="center"/>
              <w:rPr>
                <w:rFonts w:ascii="宋体" w:hAnsi="宋体"/>
                <w:kern w:val="2"/>
                <w:sz w:val="21"/>
                <w:szCs w:val="21"/>
              </w:rPr>
            </w:pPr>
            <w:r>
              <w:rPr>
                <w:rFonts w:hint="eastAsia" w:ascii="宋体" w:hAnsi="宋体"/>
                <w:kern w:val="2"/>
                <w:sz w:val="21"/>
                <w:szCs w:val="21"/>
              </w:rPr>
              <w:t>顾客满意度</w:t>
            </w:r>
          </w:p>
        </w:tc>
        <w:tc>
          <w:tcPr>
            <w:tcW w:w="1460" w:type="dxa"/>
            <w:vAlign w:val="center"/>
          </w:tcPr>
          <w:p w14:paraId="618766AD">
            <w:pPr>
              <w:jc w:val="center"/>
              <w:rPr>
                <w:rFonts w:ascii="宋体" w:hAnsi="宋体"/>
                <w:kern w:val="2"/>
                <w:sz w:val="21"/>
                <w:szCs w:val="21"/>
              </w:rPr>
            </w:pPr>
            <w:r>
              <w:rPr>
                <w:rFonts w:hint="eastAsia" w:ascii="宋体" w:hAnsi="宋体"/>
                <w:kern w:val="2"/>
                <w:sz w:val="21"/>
                <w:szCs w:val="21"/>
              </w:rPr>
              <w:t>%</w:t>
            </w:r>
          </w:p>
        </w:tc>
        <w:tc>
          <w:tcPr>
            <w:tcW w:w="1954" w:type="dxa"/>
            <w:vMerge w:val="restart"/>
            <w:vAlign w:val="center"/>
          </w:tcPr>
          <w:p w14:paraId="227AE9F8">
            <w:pPr>
              <w:jc w:val="center"/>
              <w:rPr>
                <w:rFonts w:ascii="宋体" w:hAnsi="宋体"/>
                <w:kern w:val="2"/>
                <w:sz w:val="21"/>
                <w:szCs w:val="21"/>
              </w:rPr>
            </w:pPr>
            <w:r>
              <w:rPr>
                <w:rFonts w:hint="eastAsia" w:ascii="宋体" w:hAnsi="宋体"/>
                <w:kern w:val="2"/>
                <w:sz w:val="21"/>
                <w:szCs w:val="21"/>
              </w:rPr>
              <w:t>顾客、股东、员工、合作伙伴、社会</w:t>
            </w:r>
          </w:p>
        </w:tc>
      </w:tr>
      <w:tr w14:paraId="630F85BF">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295" w:hRule="atLeast"/>
          <w:jc w:val="center"/>
        </w:trPr>
        <w:tc>
          <w:tcPr>
            <w:tcW w:w="967" w:type="dxa"/>
            <w:vAlign w:val="center"/>
          </w:tcPr>
          <w:p w14:paraId="0CB8F403">
            <w:pPr>
              <w:jc w:val="center"/>
              <w:rPr>
                <w:rFonts w:ascii="宋体" w:hAnsi="宋体"/>
                <w:kern w:val="2"/>
                <w:sz w:val="21"/>
                <w:szCs w:val="21"/>
              </w:rPr>
            </w:pPr>
            <w:r>
              <w:rPr>
                <w:rFonts w:hint="eastAsia" w:ascii="宋体" w:hAnsi="宋体"/>
                <w:kern w:val="2"/>
                <w:sz w:val="21"/>
                <w:szCs w:val="21"/>
              </w:rPr>
              <w:t>2</w:t>
            </w:r>
          </w:p>
        </w:tc>
        <w:tc>
          <w:tcPr>
            <w:tcW w:w="1420" w:type="dxa"/>
            <w:vMerge w:val="continue"/>
            <w:vAlign w:val="center"/>
          </w:tcPr>
          <w:p w14:paraId="2E75DCA0">
            <w:pPr>
              <w:jc w:val="center"/>
              <w:rPr>
                <w:rFonts w:ascii="宋体" w:hAnsi="宋体"/>
                <w:kern w:val="2"/>
                <w:sz w:val="21"/>
                <w:szCs w:val="21"/>
              </w:rPr>
            </w:pPr>
          </w:p>
        </w:tc>
        <w:tc>
          <w:tcPr>
            <w:tcW w:w="3119" w:type="dxa"/>
            <w:vAlign w:val="center"/>
          </w:tcPr>
          <w:p w14:paraId="7A9DAF2D">
            <w:pPr>
              <w:jc w:val="center"/>
              <w:rPr>
                <w:rFonts w:ascii="宋体" w:hAnsi="宋体"/>
                <w:kern w:val="2"/>
                <w:sz w:val="21"/>
                <w:szCs w:val="21"/>
              </w:rPr>
            </w:pPr>
            <w:r>
              <w:rPr>
                <w:rFonts w:hint="eastAsia" w:ascii="宋体" w:hAnsi="宋体"/>
                <w:kern w:val="2"/>
                <w:sz w:val="21"/>
                <w:szCs w:val="21"/>
              </w:rPr>
              <w:t>市场占有率</w:t>
            </w:r>
          </w:p>
        </w:tc>
        <w:tc>
          <w:tcPr>
            <w:tcW w:w="1460" w:type="dxa"/>
            <w:vAlign w:val="center"/>
          </w:tcPr>
          <w:p w14:paraId="0E565560">
            <w:pPr>
              <w:jc w:val="center"/>
              <w:rPr>
                <w:rFonts w:ascii="宋体" w:hAnsi="宋体"/>
                <w:kern w:val="2"/>
                <w:sz w:val="21"/>
                <w:szCs w:val="21"/>
              </w:rPr>
            </w:pPr>
            <w:r>
              <w:rPr>
                <w:rFonts w:hint="eastAsia" w:ascii="宋体" w:hAnsi="宋体"/>
                <w:kern w:val="2"/>
                <w:sz w:val="21"/>
                <w:szCs w:val="21"/>
              </w:rPr>
              <w:t>%</w:t>
            </w:r>
          </w:p>
        </w:tc>
        <w:tc>
          <w:tcPr>
            <w:tcW w:w="1954" w:type="dxa"/>
            <w:vMerge w:val="continue"/>
          </w:tcPr>
          <w:p w14:paraId="2115F973">
            <w:pPr>
              <w:jc w:val="center"/>
              <w:rPr>
                <w:rFonts w:ascii="宋体" w:hAnsi="宋体"/>
                <w:kern w:val="2"/>
                <w:sz w:val="21"/>
                <w:szCs w:val="21"/>
              </w:rPr>
            </w:pPr>
          </w:p>
        </w:tc>
      </w:tr>
      <w:tr w14:paraId="24C927A3">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295" w:hRule="atLeast"/>
          <w:jc w:val="center"/>
        </w:trPr>
        <w:tc>
          <w:tcPr>
            <w:tcW w:w="967" w:type="dxa"/>
            <w:vAlign w:val="center"/>
          </w:tcPr>
          <w:p w14:paraId="658AC979">
            <w:pPr>
              <w:jc w:val="center"/>
              <w:rPr>
                <w:rFonts w:ascii="宋体" w:hAnsi="宋体"/>
                <w:kern w:val="2"/>
                <w:sz w:val="21"/>
                <w:szCs w:val="21"/>
              </w:rPr>
            </w:pPr>
            <w:r>
              <w:rPr>
                <w:rFonts w:hint="eastAsia" w:ascii="宋体" w:hAnsi="宋体"/>
                <w:kern w:val="2"/>
                <w:sz w:val="21"/>
                <w:szCs w:val="21"/>
              </w:rPr>
              <w:t>3</w:t>
            </w:r>
          </w:p>
        </w:tc>
        <w:tc>
          <w:tcPr>
            <w:tcW w:w="1420" w:type="dxa"/>
            <w:vMerge w:val="restart"/>
            <w:vAlign w:val="center"/>
          </w:tcPr>
          <w:p w14:paraId="1860260A">
            <w:pPr>
              <w:jc w:val="center"/>
              <w:rPr>
                <w:rFonts w:ascii="宋体" w:hAnsi="宋体"/>
                <w:kern w:val="2"/>
                <w:sz w:val="21"/>
                <w:szCs w:val="21"/>
              </w:rPr>
            </w:pPr>
            <w:r>
              <w:rPr>
                <w:rFonts w:hint="eastAsia" w:ascii="宋体" w:hAnsi="宋体"/>
                <w:kern w:val="2"/>
                <w:sz w:val="21"/>
                <w:szCs w:val="21"/>
              </w:rPr>
              <w:t>财务</w:t>
            </w:r>
          </w:p>
        </w:tc>
        <w:tc>
          <w:tcPr>
            <w:tcW w:w="3119" w:type="dxa"/>
            <w:vAlign w:val="center"/>
          </w:tcPr>
          <w:p w14:paraId="3BA00382">
            <w:pPr>
              <w:jc w:val="center"/>
              <w:rPr>
                <w:rFonts w:ascii="宋体" w:hAnsi="宋体"/>
                <w:kern w:val="2"/>
                <w:sz w:val="21"/>
                <w:szCs w:val="21"/>
              </w:rPr>
            </w:pPr>
            <w:r>
              <w:rPr>
                <w:rFonts w:hint="eastAsia" w:ascii="宋体" w:hAnsi="宋体"/>
                <w:kern w:val="2"/>
                <w:sz w:val="21"/>
                <w:szCs w:val="21"/>
              </w:rPr>
              <w:t>销售收入</w:t>
            </w:r>
          </w:p>
        </w:tc>
        <w:tc>
          <w:tcPr>
            <w:tcW w:w="1460" w:type="dxa"/>
            <w:vAlign w:val="center"/>
          </w:tcPr>
          <w:p w14:paraId="04B35CB6">
            <w:pPr>
              <w:jc w:val="center"/>
              <w:rPr>
                <w:rFonts w:ascii="宋体" w:hAnsi="宋体"/>
                <w:kern w:val="2"/>
                <w:sz w:val="21"/>
                <w:szCs w:val="21"/>
              </w:rPr>
            </w:pPr>
            <w:r>
              <w:rPr>
                <w:rFonts w:hint="eastAsia" w:ascii="宋体" w:hAnsi="宋体"/>
                <w:kern w:val="2"/>
                <w:sz w:val="21"/>
                <w:szCs w:val="21"/>
              </w:rPr>
              <w:t>万元</w:t>
            </w:r>
          </w:p>
        </w:tc>
        <w:tc>
          <w:tcPr>
            <w:tcW w:w="1954" w:type="dxa"/>
            <w:vMerge w:val="continue"/>
          </w:tcPr>
          <w:p w14:paraId="6FF8545B">
            <w:pPr>
              <w:jc w:val="center"/>
              <w:rPr>
                <w:rFonts w:ascii="宋体" w:hAnsi="宋体"/>
                <w:kern w:val="2"/>
                <w:sz w:val="21"/>
                <w:szCs w:val="21"/>
              </w:rPr>
            </w:pPr>
          </w:p>
        </w:tc>
      </w:tr>
      <w:tr w14:paraId="52DB7873">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295" w:hRule="atLeast"/>
          <w:jc w:val="center"/>
        </w:trPr>
        <w:tc>
          <w:tcPr>
            <w:tcW w:w="967" w:type="dxa"/>
            <w:vAlign w:val="center"/>
          </w:tcPr>
          <w:p w14:paraId="5402665D">
            <w:pPr>
              <w:jc w:val="center"/>
              <w:rPr>
                <w:rFonts w:ascii="宋体" w:hAnsi="宋体"/>
                <w:kern w:val="2"/>
                <w:sz w:val="21"/>
                <w:szCs w:val="21"/>
              </w:rPr>
            </w:pPr>
            <w:r>
              <w:rPr>
                <w:rFonts w:hint="eastAsia" w:ascii="宋体" w:hAnsi="宋体"/>
                <w:kern w:val="2"/>
                <w:sz w:val="21"/>
                <w:szCs w:val="21"/>
              </w:rPr>
              <w:t>4</w:t>
            </w:r>
          </w:p>
        </w:tc>
        <w:tc>
          <w:tcPr>
            <w:tcW w:w="1420" w:type="dxa"/>
            <w:vMerge w:val="continue"/>
            <w:vAlign w:val="center"/>
          </w:tcPr>
          <w:p w14:paraId="7B1DE8EE">
            <w:pPr>
              <w:jc w:val="center"/>
              <w:rPr>
                <w:rFonts w:ascii="宋体" w:hAnsi="宋体"/>
                <w:kern w:val="2"/>
                <w:sz w:val="21"/>
                <w:szCs w:val="21"/>
              </w:rPr>
            </w:pPr>
          </w:p>
        </w:tc>
        <w:tc>
          <w:tcPr>
            <w:tcW w:w="3119" w:type="dxa"/>
            <w:vAlign w:val="center"/>
          </w:tcPr>
          <w:p w14:paraId="457DE8EC">
            <w:pPr>
              <w:jc w:val="center"/>
              <w:rPr>
                <w:rFonts w:ascii="宋体" w:hAnsi="宋体"/>
                <w:kern w:val="2"/>
                <w:sz w:val="21"/>
                <w:szCs w:val="21"/>
              </w:rPr>
            </w:pPr>
            <w:r>
              <w:rPr>
                <w:rFonts w:hint="eastAsia" w:ascii="宋体" w:hAnsi="宋体"/>
                <w:kern w:val="2"/>
                <w:sz w:val="21"/>
                <w:szCs w:val="21"/>
              </w:rPr>
              <w:t>利润总额</w:t>
            </w:r>
          </w:p>
        </w:tc>
        <w:tc>
          <w:tcPr>
            <w:tcW w:w="1460" w:type="dxa"/>
            <w:vAlign w:val="center"/>
          </w:tcPr>
          <w:p w14:paraId="0A5D8652">
            <w:pPr>
              <w:jc w:val="center"/>
              <w:rPr>
                <w:rFonts w:ascii="宋体" w:hAnsi="宋体"/>
                <w:kern w:val="2"/>
                <w:sz w:val="21"/>
                <w:szCs w:val="21"/>
              </w:rPr>
            </w:pPr>
            <w:r>
              <w:rPr>
                <w:rFonts w:hint="eastAsia" w:ascii="宋体" w:hAnsi="宋体"/>
                <w:kern w:val="2"/>
                <w:sz w:val="21"/>
                <w:szCs w:val="21"/>
              </w:rPr>
              <w:t>万元</w:t>
            </w:r>
          </w:p>
        </w:tc>
        <w:tc>
          <w:tcPr>
            <w:tcW w:w="1954" w:type="dxa"/>
            <w:vMerge w:val="continue"/>
          </w:tcPr>
          <w:p w14:paraId="40F6B06F">
            <w:pPr>
              <w:jc w:val="center"/>
              <w:rPr>
                <w:rFonts w:ascii="宋体" w:hAnsi="宋体"/>
                <w:kern w:val="2"/>
                <w:sz w:val="21"/>
                <w:szCs w:val="21"/>
              </w:rPr>
            </w:pPr>
          </w:p>
        </w:tc>
      </w:tr>
      <w:tr w14:paraId="0E3FD1AE">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295" w:hRule="atLeast"/>
          <w:jc w:val="center"/>
        </w:trPr>
        <w:tc>
          <w:tcPr>
            <w:tcW w:w="967" w:type="dxa"/>
            <w:vAlign w:val="center"/>
          </w:tcPr>
          <w:p w14:paraId="48A8C3B8">
            <w:pPr>
              <w:jc w:val="center"/>
              <w:rPr>
                <w:rFonts w:ascii="宋体" w:hAnsi="宋体"/>
                <w:kern w:val="2"/>
                <w:sz w:val="21"/>
                <w:szCs w:val="21"/>
              </w:rPr>
            </w:pPr>
            <w:r>
              <w:rPr>
                <w:rFonts w:hint="eastAsia" w:ascii="宋体" w:hAnsi="宋体"/>
                <w:kern w:val="2"/>
                <w:sz w:val="21"/>
                <w:szCs w:val="21"/>
              </w:rPr>
              <w:t>5</w:t>
            </w:r>
          </w:p>
        </w:tc>
        <w:tc>
          <w:tcPr>
            <w:tcW w:w="1420" w:type="dxa"/>
            <w:vMerge w:val="restart"/>
            <w:vAlign w:val="center"/>
          </w:tcPr>
          <w:p w14:paraId="0D6951EC">
            <w:pPr>
              <w:jc w:val="center"/>
              <w:rPr>
                <w:rFonts w:ascii="宋体" w:hAnsi="宋体"/>
                <w:kern w:val="2"/>
                <w:sz w:val="21"/>
                <w:szCs w:val="21"/>
              </w:rPr>
            </w:pPr>
            <w:r>
              <w:rPr>
                <w:rFonts w:hint="eastAsia" w:ascii="宋体" w:hAnsi="宋体"/>
                <w:kern w:val="2"/>
                <w:sz w:val="21"/>
                <w:szCs w:val="21"/>
              </w:rPr>
              <w:t>资源</w:t>
            </w:r>
          </w:p>
        </w:tc>
        <w:tc>
          <w:tcPr>
            <w:tcW w:w="3119" w:type="dxa"/>
            <w:vAlign w:val="center"/>
          </w:tcPr>
          <w:p w14:paraId="1C7889AD">
            <w:pPr>
              <w:jc w:val="center"/>
              <w:rPr>
                <w:rFonts w:ascii="宋体" w:hAnsi="宋体"/>
                <w:kern w:val="2"/>
                <w:sz w:val="21"/>
                <w:szCs w:val="21"/>
              </w:rPr>
            </w:pPr>
            <w:r>
              <w:rPr>
                <w:rFonts w:hint="eastAsia" w:ascii="宋体" w:hAnsi="宋体"/>
                <w:kern w:val="2"/>
                <w:sz w:val="21"/>
                <w:szCs w:val="21"/>
              </w:rPr>
              <w:t>员工满意度</w:t>
            </w:r>
          </w:p>
        </w:tc>
        <w:tc>
          <w:tcPr>
            <w:tcW w:w="1460" w:type="dxa"/>
            <w:vAlign w:val="center"/>
          </w:tcPr>
          <w:p w14:paraId="57467B80">
            <w:pPr>
              <w:jc w:val="center"/>
              <w:rPr>
                <w:rFonts w:ascii="宋体" w:hAnsi="宋体"/>
                <w:kern w:val="2"/>
                <w:sz w:val="21"/>
                <w:szCs w:val="21"/>
              </w:rPr>
            </w:pPr>
            <w:r>
              <w:rPr>
                <w:rFonts w:hint="eastAsia" w:ascii="宋体" w:hAnsi="宋体"/>
                <w:kern w:val="2"/>
                <w:sz w:val="21"/>
                <w:szCs w:val="21"/>
              </w:rPr>
              <w:t>分</w:t>
            </w:r>
          </w:p>
        </w:tc>
        <w:tc>
          <w:tcPr>
            <w:tcW w:w="1954" w:type="dxa"/>
            <w:vMerge w:val="continue"/>
          </w:tcPr>
          <w:p w14:paraId="45FCCC8B">
            <w:pPr>
              <w:jc w:val="center"/>
              <w:rPr>
                <w:rFonts w:ascii="宋体" w:hAnsi="宋体"/>
                <w:kern w:val="2"/>
                <w:sz w:val="21"/>
                <w:szCs w:val="21"/>
              </w:rPr>
            </w:pPr>
          </w:p>
        </w:tc>
      </w:tr>
      <w:tr w14:paraId="05A00DB7">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295" w:hRule="atLeast"/>
          <w:jc w:val="center"/>
        </w:trPr>
        <w:tc>
          <w:tcPr>
            <w:tcW w:w="967" w:type="dxa"/>
            <w:vAlign w:val="center"/>
          </w:tcPr>
          <w:p w14:paraId="415BCA3E">
            <w:pPr>
              <w:jc w:val="center"/>
              <w:rPr>
                <w:rFonts w:ascii="宋体" w:hAnsi="宋体"/>
                <w:kern w:val="2"/>
                <w:sz w:val="21"/>
                <w:szCs w:val="21"/>
              </w:rPr>
            </w:pPr>
            <w:r>
              <w:rPr>
                <w:rFonts w:hint="eastAsia" w:ascii="宋体" w:hAnsi="宋体"/>
                <w:kern w:val="2"/>
                <w:sz w:val="21"/>
                <w:szCs w:val="21"/>
              </w:rPr>
              <w:t>6</w:t>
            </w:r>
          </w:p>
        </w:tc>
        <w:tc>
          <w:tcPr>
            <w:tcW w:w="1420" w:type="dxa"/>
            <w:vMerge w:val="continue"/>
            <w:vAlign w:val="center"/>
          </w:tcPr>
          <w:p w14:paraId="796A71AE">
            <w:pPr>
              <w:jc w:val="center"/>
              <w:rPr>
                <w:rFonts w:ascii="宋体" w:hAnsi="宋体"/>
                <w:kern w:val="2"/>
                <w:sz w:val="21"/>
                <w:szCs w:val="21"/>
              </w:rPr>
            </w:pPr>
          </w:p>
        </w:tc>
        <w:tc>
          <w:tcPr>
            <w:tcW w:w="3119" w:type="dxa"/>
            <w:vAlign w:val="center"/>
          </w:tcPr>
          <w:p w14:paraId="03981328">
            <w:pPr>
              <w:jc w:val="center"/>
              <w:rPr>
                <w:rFonts w:ascii="宋体" w:hAnsi="宋体"/>
                <w:kern w:val="2"/>
                <w:sz w:val="21"/>
                <w:szCs w:val="21"/>
              </w:rPr>
            </w:pPr>
            <w:r>
              <w:rPr>
                <w:rFonts w:hint="eastAsia" w:ascii="宋体" w:hAnsi="宋体"/>
                <w:kern w:val="2"/>
                <w:sz w:val="21"/>
                <w:szCs w:val="21"/>
              </w:rPr>
              <w:t>长期合作伙伴数量</w:t>
            </w:r>
          </w:p>
        </w:tc>
        <w:tc>
          <w:tcPr>
            <w:tcW w:w="1460" w:type="dxa"/>
            <w:vAlign w:val="center"/>
          </w:tcPr>
          <w:p w14:paraId="7C238B38">
            <w:pPr>
              <w:jc w:val="center"/>
              <w:rPr>
                <w:rFonts w:ascii="宋体" w:hAnsi="宋体"/>
                <w:kern w:val="2"/>
                <w:sz w:val="21"/>
                <w:szCs w:val="21"/>
              </w:rPr>
            </w:pPr>
            <w:r>
              <w:rPr>
                <w:rFonts w:hint="eastAsia" w:ascii="宋体" w:hAnsi="宋体"/>
                <w:kern w:val="2"/>
                <w:sz w:val="21"/>
                <w:szCs w:val="21"/>
              </w:rPr>
              <w:t>个</w:t>
            </w:r>
          </w:p>
        </w:tc>
        <w:tc>
          <w:tcPr>
            <w:tcW w:w="1954" w:type="dxa"/>
            <w:vMerge w:val="continue"/>
          </w:tcPr>
          <w:p w14:paraId="7AA0CB31">
            <w:pPr>
              <w:jc w:val="center"/>
              <w:rPr>
                <w:rFonts w:ascii="宋体" w:hAnsi="宋体"/>
                <w:kern w:val="2"/>
                <w:sz w:val="21"/>
                <w:szCs w:val="21"/>
              </w:rPr>
            </w:pPr>
          </w:p>
        </w:tc>
      </w:tr>
      <w:tr w14:paraId="35044719">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342" w:hRule="atLeast"/>
          <w:jc w:val="center"/>
        </w:trPr>
        <w:tc>
          <w:tcPr>
            <w:tcW w:w="967" w:type="dxa"/>
            <w:vAlign w:val="center"/>
          </w:tcPr>
          <w:p w14:paraId="683AE325">
            <w:pPr>
              <w:jc w:val="center"/>
              <w:rPr>
                <w:rFonts w:ascii="宋体" w:hAnsi="宋体"/>
                <w:kern w:val="2"/>
                <w:sz w:val="21"/>
                <w:szCs w:val="21"/>
              </w:rPr>
            </w:pPr>
            <w:r>
              <w:rPr>
                <w:rFonts w:hint="eastAsia" w:ascii="宋体" w:hAnsi="宋体"/>
                <w:kern w:val="2"/>
                <w:sz w:val="21"/>
                <w:szCs w:val="21"/>
              </w:rPr>
              <w:t>7</w:t>
            </w:r>
          </w:p>
        </w:tc>
        <w:tc>
          <w:tcPr>
            <w:tcW w:w="1420" w:type="dxa"/>
            <w:vMerge w:val="continue"/>
            <w:vAlign w:val="center"/>
          </w:tcPr>
          <w:p w14:paraId="3628EF17">
            <w:pPr>
              <w:jc w:val="center"/>
              <w:rPr>
                <w:rFonts w:ascii="宋体" w:hAnsi="宋体"/>
                <w:kern w:val="2"/>
                <w:sz w:val="21"/>
                <w:szCs w:val="21"/>
              </w:rPr>
            </w:pPr>
          </w:p>
        </w:tc>
        <w:tc>
          <w:tcPr>
            <w:tcW w:w="3119" w:type="dxa"/>
            <w:vAlign w:val="center"/>
          </w:tcPr>
          <w:p w14:paraId="5B69075E">
            <w:pPr>
              <w:jc w:val="center"/>
              <w:rPr>
                <w:rFonts w:ascii="宋体" w:hAnsi="宋体"/>
                <w:kern w:val="2"/>
                <w:sz w:val="21"/>
                <w:szCs w:val="21"/>
              </w:rPr>
            </w:pPr>
            <w:r>
              <w:rPr>
                <w:rFonts w:hint="eastAsia" w:ascii="宋体" w:hAnsi="宋体"/>
                <w:kern w:val="2"/>
                <w:sz w:val="21"/>
                <w:szCs w:val="21"/>
              </w:rPr>
              <w:t>员工流失率</w:t>
            </w:r>
          </w:p>
        </w:tc>
        <w:tc>
          <w:tcPr>
            <w:tcW w:w="1460" w:type="dxa"/>
            <w:vAlign w:val="center"/>
          </w:tcPr>
          <w:p w14:paraId="674C7BF6">
            <w:pPr>
              <w:jc w:val="center"/>
              <w:rPr>
                <w:rFonts w:ascii="宋体" w:hAnsi="宋体"/>
                <w:kern w:val="2"/>
                <w:sz w:val="21"/>
                <w:szCs w:val="21"/>
              </w:rPr>
            </w:pPr>
            <w:r>
              <w:rPr>
                <w:rFonts w:hint="eastAsia" w:ascii="宋体" w:hAnsi="宋体"/>
                <w:kern w:val="2"/>
                <w:sz w:val="21"/>
                <w:szCs w:val="21"/>
              </w:rPr>
              <w:t>%</w:t>
            </w:r>
          </w:p>
        </w:tc>
        <w:tc>
          <w:tcPr>
            <w:tcW w:w="1954" w:type="dxa"/>
            <w:vMerge w:val="continue"/>
          </w:tcPr>
          <w:p w14:paraId="7C3C6BE6">
            <w:pPr>
              <w:jc w:val="center"/>
              <w:rPr>
                <w:rFonts w:ascii="宋体" w:hAnsi="宋体"/>
                <w:kern w:val="2"/>
                <w:sz w:val="21"/>
                <w:szCs w:val="21"/>
              </w:rPr>
            </w:pPr>
          </w:p>
        </w:tc>
      </w:tr>
      <w:tr w14:paraId="543231BB">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295" w:hRule="atLeast"/>
          <w:jc w:val="center"/>
        </w:trPr>
        <w:tc>
          <w:tcPr>
            <w:tcW w:w="967" w:type="dxa"/>
            <w:vAlign w:val="center"/>
          </w:tcPr>
          <w:p w14:paraId="00285D55">
            <w:pPr>
              <w:jc w:val="center"/>
              <w:rPr>
                <w:rFonts w:ascii="宋体" w:hAnsi="宋体"/>
                <w:kern w:val="2"/>
                <w:sz w:val="21"/>
                <w:szCs w:val="21"/>
              </w:rPr>
            </w:pPr>
            <w:r>
              <w:rPr>
                <w:rFonts w:hint="eastAsia" w:ascii="宋体" w:hAnsi="宋体"/>
                <w:kern w:val="2"/>
                <w:sz w:val="21"/>
                <w:szCs w:val="21"/>
              </w:rPr>
              <w:t>8</w:t>
            </w:r>
          </w:p>
        </w:tc>
        <w:tc>
          <w:tcPr>
            <w:tcW w:w="1420" w:type="dxa"/>
            <w:vMerge w:val="restart"/>
            <w:vAlign w:val="center"/>
          </w:tcPr>
          <w:p w14:paraId="279131CA">
            <w:pPr>
              <w:jc w:val="center"/>
              <w:rPr>
                <w:rFonts w:ascii="宋体" w:hAnsi="宋体"/>
                <w:kern w:val="2"/>
                <w:sz w:val="21"/>
                <w:szCs w:val="21"/>
              </w:rPr>
            </w:pPr>
            <w:r>
              <w:rPr>
                <w:rFonts w:hint="eastAsia" w:ascii="宋体" w:hAnsi="宋体"/>
                <w:kern w:val="2"/>
                <w:sz w:val="21"/>
                <w:szCs w:val="21"/>
              </w:rPr>
              <w:t>过程有效性</w:t>
            </w:r>
          </w:p>
        </w:tc>
        <w:tc>
          <w:tcPr>
            <w:tcW w:w="3119" w:type="dxa"/>
            <w:vAlign w:val="center"/>
          </w:tcPr>
          <w:p w14:paraId="082FD6CC">
            <w:pPr>
              <w:jc w:val="center"/>
              <w:rPr>
                <w:rFonts w:ascii="宋体" w:hAnsi="宋体"/>
                <w:kern w:val="2"/>
                <w:sz w:val="21"/>
                <w:szCs w:val="21"/>
              </w:rPr>
            </w:pPr>
            <w:r>
              <w:rPr>
                <w:rFonts w:hint="eastAsia" w:ascii="宋体" w:hAnsi="宋体"/>
                <w:kern w:val="2"/>
                <w:sz w:val="21"/>
                <w:szCs w:val="21"/>
              </w:rPr>
              <w:t>产品准时交付率</w:t>
            </w:r>
          </w:p>
        </w:tc>
        <w:tc>
          <w:tcPr>
            <w:tcW w:w="1460" w:type="dxa"/>
            <w:vAlign w:val="center"/>
          </w:tcPr>
          <w:p w14:paraId="2E500BC1">
            <w:pPr>
              <w:jc w:val="center"/>
              <w:rPr>
                <w:rFonts w:ascii="宋体" w:hAnsi="宋体"/>
                <w:kern w:val="2"/>
                <w:sz w:val="21"/>
                <w:szCs w:val="21"/>
              </w:rPr>
            </w:pPr>
            <w:r>
              <w:rPr>
                <w:rFonts w:hint="eastAsia" w:ascii="宋体" w:hAnsi="宋体"/>
                <w:kern w:val="2"/>
                <w:sz w:val="21"/>
                <w:szCs w:val="21"/>
              </w:rPr>
              <w:t>%</w:t>
            </w:r>
          </w:p>
        </w:tc>
        <w:tc>
          <w:tcPr>
            <w:tcW w:w="1954" w:type="dxa"/>
            <w:vMerge w:val="continue"/>
          </w:tcPr>
          <w:p w14:paraId="4FDFB511">
            <w:pPr>
              <w:jc w:val="center"/>
              <w:rPr>
                <w:rFonts w:ascii="宋体" w:hAnsi="宋体"/>
                <w:kern w:val="2"/>
                <w:sz w:val="21"/>
                <w:szCs w:val="21"/>
              </w:rPr>
            </w:pPr>
          </w:p>
        </w:tc>
      </w:tr>
      <w:tr w14:paraId="5A176DB9">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295" w:hRule="atLeast"/>
          <w:jc w:val="center"/>
        </w:trPr>
        <w:tc>
          <w:tcPr>
            <w:tcW w:w="967" w:type="dxa"/>
            <w:vAlign w:val="center"/>
          </w:tcPr>
          <w:p w14:paraId="24AAA3A2">
            <w:pPr>
              <w:jc w:val="center"/>
              <w:rPr>
                <w:rFonts w:ascii="宋体" w:hAnsi="宋体"/>
                <w:kern w:val="2"/>
                <w:sz w:val="21"/>
                <w:szCs w:val="21"/>
              </w:rPr>
            </w:pPr>
            <w:r>
              <w:rPr>
                <w:rFonts w:hint="eastAsia" w:ascii="宋体" w:hAnsi="宋体"/>
                <w:kern w:val="2"/>
                <w:sz w:val="21"/>
                <w:szCs w:val="21"/>
              </w:rPr>
              <w:t>9</w:t>
            </w:r>
          </w:p>
        </w:tc>
        <w:tc>
          <w:tcPr>
            <w:tcW w:w="1420" w:type="dxa"/>
            <w:vMerge w:val="continue"/>
            <w:vAlign w:val="center"/>
          </w:tcPr>
          <w:p w14:paraId="41544961">
            <w:pPr>
              <w:jc w:val="center"/>
              <w:rPr>
                <w:rFonts w:ascii="宋体" w:hAnsi="宋体"/>
                <w:kern w:val="2"/>
                <w:sz w:val="21"/>
                <w:szCs w:val="21"/>
              </w:rPr>
            </w:pPr>
          </w:p>
        </w:tc>
        <w:tc>
          <w:tcPr>
            <w:tcW w:w="3119" w:type="dxa"/>
            <w:vAlign w:val="center"/>
          </w:tcPr>
          <w:p w14:paraId="598FEBAC">
            <w:pPr>
              <w:jc w:val="center"/>
              <w:rPr>
                <w:rFonts w:ascii="宋体" w:hAnsi="宋体"/>
                <w:kern w:val="2"/>
                <w:sz w:val="21"/>
                <w:szCs w:val="21"/>
              </w:rPr>
            </w:pPr>
            <w:r>
              <w:rPr>
                <w:rFonts w:hint="eastAsia" w:ascii="宋体" w:hAnsi="宋体"/>
                <w:kern w:val="2"/>
                <w:sz w:val="21"/>
                <w:szCs w:val="21"/>
              </w:rPr>
              <w:t>进货批合格率</w:t>
            </w:r>
          </w:p>
        </w:tc>
        <w:tc>
          <w:tcPr>
            <w:tcW w:w="1460" w:type="dxa"/>
            <w:vAlign w:val="center"/>
          </w:tcPr>
          <w:p w14:paraId="015112BC">
            <w:pPr>
              <w:jc w:val="center"/>
              <w:rPr>
                <w:rFonts w:ascii="宋体" w:hAnsi="宋体"/>
                <w:kern w:val="2"/>
                <w:sz w:val="21"/>
                <w:szCs w:val="21"/>
              </w:rPr>
            </w:pPr>
            <w:r>
              <w:rPr>
                <w:rFonts w:hint="eastAsia" w:ascii="宋体" w:hAnsi="宋体"/>
                <w:kern w:val="2"/>
                <w:sz w:val="21"/>
                <w:szCs w:val="21"/>
              </w:rPr>
              <w:t>%</w:t>
            </w:r>
          </w:p>
        </w:tc>
        <w:tc>
          <w:tcPr>
            <w:tcW w:w="1954" w:type="dxa"/>
            <w:vMerge w:val="continue"/>
          </w:tcPr>
          <w:p w14:paraId="1E486355">
            <w:pPr>
              <w:jc w:val="center"/>
              <w:rPr>
                <w:rFonts w:ascii="宋体" w:hAnsi="宋体"/>
                <w:kern w:val="2"/>
                <w:sz w:val="21"/>
                <w:szCs w:val="21"/>
              </w:rPr>
            </w:pPr>
          </w:p>
        </w:tc>
      </w:tr>
      <w:tr w14:paraId="7CE26715">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356" w:hRule="atLeast"/>
          <w:jc w:val="center"/>
        </w:trPr>
        <w:tc>
          <w:tcPr>
            <w:tcW w:w="967" w:type="dxa"/>
            <w:vAlign w:val="center"/>
          </w:tcPr>
          <w:p w14:paraId="4FD9403D">
            <w:pPr>
              <w:jc w:val="center"/>
              <w:rPr>
                <w:rFonts w:ascii="宋体" w:hAnsi="宋体"/>
                <w:kern w:val="2"/>
                <w:sz w:val="21"/>
                <w:szCs w:val="21"/>
              </w:rPr>
            </w:pPr>
            <w:r>
              <w:rPr>
                <w:rFonts w:hint="eastAsia" w:ascii="宋体" w:hAnsi="宋体"/>
                <w:kern w:val="2"/>
                <w:sz w:val="21"/>
                <w:szCs w:val="21"/>
              </w:rPr>
              <w:t>10</w:t>
            </w:r>
          </w:p>
        </w:tc>
        <w:tc>
          <w:tcPr>
            <w:tcW w:w="1420" w:type="dxa"/>
            <w:vMerge w:val="continue"/>
            <w:vAlign w:val="center"/>
          </w:tcPr>
          <w:p w14:paraId="5C824737">
            <w:pPr>
              <w:jc w:val="center"/>
              <w:rPr>
                <w:rFonts w:ascii="宋体" w:hAnsi="宋体"/>
                <w:kern w:val="2"/>
                <w:sz w:val="21"/>
                <w:szCs w:val="21"/>
              </w:rPr>
            </w:pPr>
          </w:p>
        </w:tc>
        <w:tc>
          <w:tcPr>
            <w:tcW w:w="3119" w:type="dxa"/>
            <w:vAlign w:val="center"/>
          </w:tcPr>
          <w:p w14:paraId="0CF2E7C5">
            <w:pPr>
              <w:jc w:val="center"/>
              <w:rPr>
                <w:rFonts w:ascii="宋体" w:hAnsi="宋体"/>
                <w:kern w:val="2"/>
                <w:sz w:val="21"/>
                <w:szCs w:val="21"/>
              </w:rPr>
            </w:pPr>
            <w:r>
              <w:rPr>
                <w:rFonts w:hint="eastAsia" w:ascii="宋体" w:hAnsi="宋体"/>
                <w:kern w:val="2"/>
                <w:sz w:val="21"/>
                <w:szCs w:val="21"/>
              </w:rPr>
              <w:t>成品一次检验合格率</w:t>
            </w:r>
          </w:p>
        </w:tc>
        <w:tc>
          <w:tcPr>
            <w:tcW w:w="1460" w:type="dxa"/>
            <w:vAlign w:val="center"/>
          </w:tcPr>
          <w:p w14:paraId="5DB21B6D">
            <w:pPr>
              <w:jc w:val="center"/>
              <w:rPr>
                <w:rFonts w:ascii="宋体" w:hAnsi="宋体"/>
                <w:kern w:val="2"/>
                <w:sz w:val="21"/>
                <w:szCs w:val="21"/>
              </w:rPr>
            </w:pPr>
            <w:r>
              <w:rPr>
                <w:rFonts w:hint="eastAsia" w:ascii="宋体" w:hAnsi="宋体"/>
                <w:kern w:val="2"/>
                <w:sz w:val="21"/>
                <w:szCs w:val="21"/>
              </w:rPr>
              <w:t>%</w:t>
            </w:r>
          </w:p>
        </w:tc>
        <w:tc>
          <w:tcPr>
            <w:tcW w:w="1954" w:type="dxa"/>
            <w:vMerge w:val="continue"/>
          </w:tcPr>
          <w:p w14:paraId="14D2FA8B">
            <w:pPr>
              <w:jc w:val="center"/>
              <w:rPr>
                <w:rFonts w:ascii="宋体" w:hAnsi="宋体"/>
                <w:kern w:val="2"/>
                <w:sz w:val="21"/>
                <w:szCs w:val="21"/>
              </w:rPr>
            </w:pPr>
          </w:p>
        </w:tc>
      </w:tr>
      <w:tr w14:paraId="1B3553F7">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295" w:hRule="atLeast"/>
          <w:jc w:val="center"/>
        </w:trPr>
        <w:tc>
          <w:tcPr>
            <w:tcW w:w="967" w:type="dxa"/>
            <w:vAlign w:val="center"/>
          </w:tcPr>
          <w:p w14:paraId="14998080">
            <w:pPr>
              <w:jc w:val="center"/>
              <w:rPr>
                <w:rFonts w:ascii="宋体" w:hAnsi="宋体"/>
                <w:kern w:val="2"/>
                <w:sz w:val="21"/>
                <w:szCs w:val="21"/>
              </w:rPr>
            </w:pPr>
            <w:r>
              <w:rPr>
                <w:rFonts w:hint="eastAsia" w:ascii="宋体" w:hAnsi="宋体"/>
                <w:kern w:val="2"/>
                <w:sz w:val="21"/>
                <w:szCs w:val="21"/>
              </w:rPr>
              <w:t>11</w:t>
            </w:r>
          </w:p>
        </w:tc>
        <w:tc>
          <w:tcPr>
            <w:tcW w:w="1420" w:type="dxa"/>
            <w:vMerge w:val="restart"/>
            <w:vAlign w:val="center"/>
          </w:tcPr>
          <w:p w14:paraId="5FE36951">
            <w:pPr>
              <w:jc w:val="center"/>
              <w:rPr>
                <w:rFonts w:ascii="宋体" w:hAnsi="宋体"/>
                <w:kern w:val="2"/>
                <w:sz w:val="21"/>
                <w:szCs w:val="21"/>
              </w:rPr>
            </w:pPr>
            <w:r>
              <w:rPr>
                <w:rFonts w:hint="eastAsia" w:ascii="宋体" w:hAnsi="宋体"/>
                <w:kern w:val="2"/>
                <w:sz w:val="21"/>
                <w:szCs w:val="21"/>
              </w:rPr>
              <w:t>社会责任</w:t>
            </w:r>
          </w:p>
        </w:tc>
        <w:tc>
          <w:tcPr>
            <w:tcW w:w="3119" w:type="dxa"/>
            <w:vAlign w:val="center"/>
          </w:tcPr>
          <w:p w14:paraId="324C38D2">
            <w:pPr>
              <w:jc w:val="center"/>
              <w:rPr>
                <w:rFonts w:ascii="宋体" w:hAnsi="宋体"/>
                <w:kern w:val="2"/>
                <w:sz w:val="21"/>
                <w:szCs w:val="21"/>
              </w:rPr>
            </w:pPr>
            <w:r>
              <w:rPr>
                <w:rFonts w:hint="eastAsia" w:ascii="宋体" w:hAnsi="宋体"/>
                <w:kern w:val="2"/>
                <w:sz w:val="21"/>
                <w:szCs w:val="21"/>
              </w:rPr>
              <w:t>重大伤亡/轻伤事故频率</w:t>
            </w:r>
          </w:p>
        </w:tc>
        <w:tc>
          <w:tcPr>
            <w:tcW w:w="1460" w:type="dxa"/>
            <w:vAlign w:val="center"/>
          </w:tcPr>
          <w:p w14:paraId="312C9573">
            <w:pPr>
              <w:jc w:val="center"/>
              <w:rPr>
                <w:rFonts w:ascii="宋体" w:hAnsi="宋体"/>
                <w:kern w:val="2"/>
                <w:sz w:val="21"/>
                <w:szCs w:val="21"/>
              </w:rPr>
            </w:pPr>
            <w:r>
              <w:rPr>
                <w:rFonts w:ascii="宋体" w:hAnsi="宋体"/>
                <w:kern w:val="2"/>
                <w:sz w:val="21"/>
                <w:szCs w:val="21"/>
              </w:rPr>
              <w:t>‰</w:t>
            </w:r>
          </w:p>
        </w:tc>
        <w:tc>
          <w:tcPr>
            <w:tcW w:w="1954" w:type="dxa"/>
            <w:vMerge w:val="continue"/>
          </w:tcPr>
          <w:p w14:paraId="166E295B">
            <w:pPr>
              <w:jc w:val="center"/>
              <w:rPr>
                <w:rFonts w:ascii="宋体" w:hAnsi="宋体"/>
                <w:kern w:val="2"/>
                <w:sz w:val="21"/>
                <w:szCs w:val="21"/>
              </w:rPr>
            </w:pPr>
          </w:p>
        </w:tc>
      </w:tr>
      <w:tr w14:paraId="6AFEDAFA">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295" w:hRule="atLeast"/>
          <w:jc w:val="center"/>
        </w:trPr>
        <w:tc>
          <w:tcPr>
            <w:tcW w:w="967" w:type="dxa"/>
            <w:vAlign w:val="center"/>
          </w:tcPr>
          <w:p w14:paraId="67E2DE47">
            <w:pPr>
              <w:jc w:val="center"/>
              <w:rPr>
                <w:rFonts w:ascii="宋体" w:hAnsi="宋体"/>
                <w:kern w:val="2"/>
                <w:sz w:val="21"/>
                <w:szCs w:val="21"/>
              </w:rPr>
            </w:pPr>
            <w:r>
              <w:rPr>
                <w:rFonts w:hint="eastAsia" w:ascii="宋体" w:hAnsi="宋体"/>
                <w:kern w:val="2"/>
                <w:sz w:val="21"/>
                <w:szCs w:val="21"/>
              </w:rPr>
              <w:t>12</w:t>
            </w:r>
          </w:p>
        </w:tc>
        <w:tc>
          <w:tcPr>
            <w:tcW w:w="1420" w:type="dxa"/>
            <w:vMerge w:val="continue"/>
            <w:vAlign w:val="center"/>
          </w:tcPr>
          <w:p w14:paraId="057648CD">
            <w:pPr>
              <w:jc w:val="center"/>
              <w:rPr>
                <w:rFonts w:ascii="宋体" w:hAnsi="宋体"/>
                <w:kern w:val="2"/>
                <w:sz w:val="21"/>
                <w:szCs w:val="21"/>
              </w:rPr>
            </w:pPr>
          </w:p>
        </w:tc>
        <w:tc>
          <w:tcPr>
            <w:tcW w:w="3119" w:type="dxa"/>
            <w:vAlign w:val="center"/>
          </w:tcPr>
          <w:p w14:paraId="25D38F61">
            <w:pPr>
              <w:jc w:val="center"/>
              <w:rPr>
                <w:rFonts w:ascii="宋体" w:hAnsi="宋体"/>
                <w:kern w:val="2"/>
                <w:sz w:val="21"/>
                <w:szCs w:val="21"/>
              </w:rPr>
            </w:pPr>
            <w:r>
              <w:rPr>
                <w:rFonts w:hint="eastAsia" w:ascii="宋体" w:hAnsi="宋体"/>
                <w:kern w:val="2"/>
                <w:sz w:val="21"/>
                <w:szCs w:val="21"/>
              </w:rPr>
              <w:t>环境指标综合达标率</w:t>
            </w:r>
          </w:p>
        </w:tc>
        <w:tc>
          <w:tcPr>
            <w:tcW w:w="1460" w:type="dxa"/>
            <w:vAlign w:val="center"/>
          </w:tcPr>
          <w:p w14:paraId="40304AD7">
            <w:pPr>
              <w:jc w:val="center"/>
              <w:rPr>
                <w:rFonts w:ascii="宋体" w:hAnsi="宋体"/>
                <w:kern w:val="2"/>
                <w:sz w:val="21"/>
                <w:szCs w:val="21"/>
              </w:rPr>
            </w:pPr>
            <w:r>
              <w:rPr>
                <w:rFonts w:hint="eastAsia" w:ascii="宋体" w:hAnsi="宋体"/>
                <w:kern w:val="2"/>
                <w:sz w:val="21"/>
                <w:szCs w:val="21"/>
              </w:rPr>
              <w:t>%</w:t>
            </w:r>
          </w:p>
        </w:tc>
        <w:tc>
          <w:tcPr>
            <w:tcW w:w="1954" w:type="dxa"/>
            <w:vMerge w:val="continue"/>
          </w:tcPr>
          <w:p w14:paraId="17B3E257">
            <w:pPr>
              <w:jc w:val="center"/>
              <w:rPr>
                <w:rFonts w:ascii="宋体" w:hAnsi="宋体"/>
                <w:kern w:val="2"/>
                <w:sz w:val="21"/>
                <w:szCs w:val="21"/>
              </w:rPr>
            </w:pPr>
          </w:p>
        </w:tc>
      </w:tr>
      <w:tr w14:paraId="34DBAFF0">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295" w:hRule="atLeast"/>
          <w:jc w:val="center"/>
        </w:trPr>
        <w:tc>
          <w:tcPr>
            <w:tcW w:w="967" w:type="dxa"/>
            <w:vAlign w:val="center"/>
          </w:tcPr>
          <w:p w14:paraId="4E238B93">
            <w:pPr>
              <w:jc w:val="center"/>
              <w:rPr>
                <w:rFonts w:ascii="宋体" w:hAnsi="宋体"/>
                <w:kern w:val="2"/>
                <w:sz w:val="21"/>
                <w:szCs w:val="21"/>
              </w:rPr>
            </w:pPr>
            <w:r>
              <w:rPr>
                <w:rFonts w:hint="eastAsia" w:ascii="宋体" w:hAnsi="宋体"/>
                <w:kern w:val="2"/>
                <w:sz w:val="21"/>
                <w:szCs w:val="21"/>
              </w:rPr>
              <w:t>13</w:t>
            </w:r>
          </w:p>
        </w:tc>
        <w:tc>
          <w:tcPr>
            <w:tcW w:w="1420" w:type="dxa"/>
            <w:vMerge w:val="continue"/>
            <w:vAlign w:val="center"/>
          </w:tcPr>
          <w:p w14:paraId="44AE6FD4">
            <w:pPr>
              <w:jc w:val="center"/>
              <w:rPr>
                <w:rFonts w:ascii="宋体" w:hAnsi="宋体"/>
                <w:kern w:val="2"/>
                <w:sz w:val="21"/>
                <w:szCs w:val="21"/>
              </w:rPr>
            </w:pPr>
          </w:p>
        </w:tc>
        <w:tc>
          <w:tcPr>
            <w:tcW w:w="3119" w:type="dxa"/>
            <w:vAlign w:val="center"/>
          </w:tcPr>
          <w:p w14:paraId="7304E14B">
            <w:pPr>
              <w:jc w:val="center"/>
              <w:rPr>
                <w:rFonts w:ascii="宋体" w:hAnsi="宋体"/>
                <w:kern w:val="2"/>
                <w:sz w:val="21"/>
                <w:szCs w:val="21"/>
              </w:rPr>
            </w:pPr>
            <w:r>
              <w:rPr>
                <w:rFonts w:hint="eastAsia" w:ascii="宋体" w:hAnsi="宋体"/>
                <w:kern w:val="2"/>
                <w:sz w:val="21"/>
                <w:szCs w:val="21"/>
              </w:rPr>
              <w:t>公益支持</w:t>
            </w:r>
          </w:p>
        </w:tc>
        <w:tc>
          <w:tcPr>
            <w:tcW w:w="1460" w:type="dxa"/>
            <w:vAlign w:val="center"/>
          </w:tcPr>
          <w:p w14:paraId="1D43ECD0">
            <w:pPr>
              <w:jc w:val="center"/>
              <w:rPr>
                <w:rFonts w:ascii="宋体" w:hAnsi="宋体"/>
                <w:kern w:val="2"/>
                <w:sz w:val="21"/>
                <w:szCs w:val="21"/>
              </w:rPr>
            </w:pPr>
            <w:r>
              <w:rPr>
                <w:rFonts w:hint="eastAsia" w:ascii="宋体" w:hAnsi="宋体"/>
                <w:kern w:val="2"/>
                <w:sz w:val="21"/>
                <w:szCs w:val="21"/>
              </w:rPr>
              <w:t>万元</w:t>
            </w:r>
          </w:p>
        </w:tc>
        <w:tc>
          <w:tcPr>
            <w:tcW w:w="1954" w:type="dxa"/>
            <w:vMerge w:val="continue"/>
          </w:tcPr>
          <w:p w14:paraId="51E0B710">
            <w:pPr>
              <w:jc w:val="center"/>
              <w:rPr>
                <w:rFonts w:ascii="宋体" w:hAnsi="宋体"/>
                <w:kern w:val="2"/>
                <w:sz w:val="21"/>
                <w:szCs w:val="21"/>
              </w:rPr>
            </w:pPr>
          </w:p>
        </w:tc>
      </w:tr>
    </w:tbl>
    <w:p w14:paraId="6AF95CD5">
      <w:pPr>
        <w:pStyle w:val="5"/>
        <w:spacing w:before="400" w:after="170" w:line="377" w:lineRule="auto"/>
      </w:pPr>
      <w:r>
        <w:rPr>
          <w:rFonts w:hint="eastAsia"/>
        </w:rPr>
        <w:t>4.2.3.3 绩效预测</w:t>
      </w:r>
    </w:p>
    <w:p w14:paraId="7B6B3EA0">
      <w:pPr>
        <w:spacing w:line="360" w:lineRule="auto"/>
        <w:rPr>
          <w:rFonts w:ascii="宋体" w:hAnsi="宋体" w:cs="宋体"/>
          <w:b/>
          <w:bCs/>
        </w:rPr>
      </w:pPr>
      <w:r>
        <w:rPr>
          <w:rFonts w:hint="eastAsia" w:ascii="宋体" w:hAnsi="宋体" w:cs="宋体"/>
          <w:b/>
          <w:bCs/>
        </w:rPr>
        <w:t>1）绩效预测结果及预测方法</w:t>
      </w:r>
    </w:p>
    <w:p w14:paraId="5C4E8C04">
      <w:pPr>
        <w:pStyle w:val="20"/>
        <w:spacing w:line="360" w:lineRule="auto"/>
        <w:ind w:left="17" w:leftChars="7" w:firstLine="480" w:firstLineChars="200"/>
      </w:pPr>
      <w:r>
        <w:rPr>
          <w:rFonts w:hint="eastAsia"/>
        </w:rPr>
        <w:t>组织根据所确定的关键绩效测量指标对绩效进行预测，组织的长、短期计划期内的绩效预测情况。公司运用趋势分析、市场调查、SWOT分析等方法，对本公司、竞争对手以及标杆的绩效进行定量、定性预测。公司本部的各种关键绩效指标值的历史值对比以及未来长期预测参见表4.2.3-3。</w:t>
      </w:r>
    </w:p>
    <w:p w14:paraId="4C5E5416">
      <w:pPr>
        <w:snapToGrid w:val="0"/>
        <w:spacing w:line="360" w:lineRule="auto"/>
        <w:jc w:val="center"/>
        <w:rPr>
          <w:rFonts w:ascii="黑体" w:hAnsi="黑体" w:eastAsia="黑体"/>
          <w:b/>
          <w:sz w:val="21"/>
          <w:szCs w:val="21"/>
        </w:rPr>
      </w:pPr>
      <w:r>
        <w:rPr>
          <w:rFonts w:ascii="黑体" w:hAnsi="黑体" w:eastAsia="黑体"/>
          <w:b/>
          <w:sz w:val="21"/>
          <w:szCs w:val="21"/>
        </w:rPr>
        <w:t>表4.2.3-</w:t>
      </w:r>
      <w:r>
        <w:rPr>
          <w:rFonts w:hint="eastAsia" w:ascii="黑体" w:hAnsi="黑体" w:eastAsia="黑体"/>
          <w:b/>
          <w:sz w:val="21"/>
          <w:szCs w:val="21"/>
        </w:rPr>
        <w:t>3绩效预测表</w:t>
      </w:r>
    </w:p>
    <w:tbl>
      <w:tblPr>
        <w:tblStyle w:val="22"/>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79"/>
        <w:gridCol w:w="489"/>
        <w:gridCol w:w="1350"/>
        <w:gridCol w:w="1056"/>
        <w:gridCol w:w="1056"/>
        <w:gridCol w:w="1056"/>
        <w:gridCol w:w="1056"/>
        <w:gridCol w:w="1056"/>
        <w:gridCol w:w="1058"/>
      </w:tblGrid>
      <w:tr w14:paraId="5C712B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9" w:hRule="atLeast"/>
          <w:tblHeader/>
          <w:jc w:val="center"/>
        </w:trPr>
        <w:tc>
          <w:tcPr>
            <w:tcW w:w="383" w:type="pct"/>
            <w:vMerge w:val="restart"/>
            <w:shd w:val="clear" w:color="auto" w:fill="938953"/>
            <w:vAlign w:val="center"/>
          </w:tcPr>
          <w:p w14:paraId="59CCB9A4">
            <w:pPr>
              <w:jc w:val="center"/>
              <w:rPr>
                <w:rFonts w:ascii="宋体" w:hAnsi="宋体" w:cs="宋体"/>
                <w:b/>
                <w:color w:val="FFFFFF"/>
                <w:sz w:val="21"/>
                <w:szCs w:val="21"/>
              </w:rPr>
            </w:pPr>
            <w:r>
              <w:rPr>
                <w:rFonts w:hint="eastAsia" w:ascii="宋体" w:hAnsi="宋体" w:cs="宋体"/>
                <w:b/>
                <w:color w:val="FFFFFF"/>
                <w:sz w:val="21"/>
                <w:szCs w:val="21"/>
              </w:rPr>
              <w:t>维度</w:t>
            </w:r>
          </w:p>
        </w:tc>
        <w:tc>
          <w:tcPr>
            <w:tcW w:w="276" w:type="pct"/>
            <w:vMerge w:val="restart"/>
            <w:shd w:val="clear" w:color="auto" w:fill="938953"/>
            <w:vAlign w:val="center"/>
          </w:tcPr>
          <w:p w14:paraId="1DFAA6C4">
            <w:pPr>
              <w:jc w:val="center"/>
              <w:rPr>
                <w:rFonts w:ascii="宋体" w:hAnsi="宋体" w:cs="宋体"/>
                <w:b/>
                <w:color w:val="FFFFFF"/>
                <w:sz w:val="21"/>
                <w:szCs w:val="21"/>
              </w:rPr>
            </w:pPr>
            <w:r>
              <w:rPr>
                <w:rFonts w:hint="eastAsia" w:ascii="宋体" w:hAnsi="宋体" w:cs="宋体"/>
                <w:b/>
                <w:color w:val="FFFFFF"/>
                <w:sz w:val="21"/>
                <w:szCs w:val="21"/>
              </w:rPr>
              <w:t>序号</w:t>
            </w:r>
          </w:p>
        </w:tc>
        <w:tc>
          <w:tcPr>
            <w:tcW w:w="762" w:type="pct"/>
            <w:vMerge w:val="restart"/>
            <w:shd w:val="clear" w:color="auto" w:fill="938953"/>
            <w:vAlign w:val="center"/>
          </w:tcPr>
          <w:p w14:paraId="33DC6D0B">
            <w:pPr>
              <w:jc w:val="center"/>
              <w:rPr>
                <w:rFonts w:ascii="宋体" w:hAnsi="宋体" w:cs="宋体"/>
                <w:b/>
                <w:color w:val="FFFFFF"/>
                <w:sz w:val="21"/>
                <w:szCs w:val="21"/>
              </w:rPr>
            </w:pPr>
            <w:r>
              <w:rPr>
                <w:rFonts w:hint="eastAsia" w:ascii="宋体" w:hAnsi="宋体" w:cs="宋体"/>
                <w:b/>
                <w:color w:val="FFFFFF"/>
                <w:sz w:val="21"/>
                <w:szCs w:val="21"/>
              </w:rPr>
              <w:t>KPI</w:t>
            </w:r>
          </w:p>
        </w:tc>
        <w:tc>
          <w:tcPr>
            <w:tcW w:w="3577" w:type="pct"/>
            <w:gridSpan w:val="6"/>
            <w:tcBorders>
              <w:right w:val="single" w:color="auto" w:sz="12" w:space="0"/>
            </w:tcBorders>
            <w:shd w:val="clear" w:color="auto" w:fill="938953"/>
          </w:tcPr>
          <w:p w14:paraId="2A500F8C">
            <w:pPr>
              <w:jc w:val="center"/>
              <w:rPr>
                <w:rFonts w:ascii="宋体" w:hAnsi="宋体" w:cs="宋体"/>
                <w:b/>
                <w:color w:val="FFFFFF"/>
                <w:sz w:val="21"/>
                <w:szCs w:val="21"/>
              </w:rPr>
            </w:pPr>
            <w:r>
              <w:rPr>
                <w:rFonts w:hint="eastAsia" w:ascii="宋体" w:hAnsi="宋体" w:cs="宋体"/>
                <w:b/>
                <w:color w:val="FFFFFF"/>
                <w:sz w:val="21"/>
                <w:szCs w:val="21"/>
              </w:rPr>
              <w:t>时间段</w:t>
            </w:r>
          </w:p>
        </w:tc>
      </w:tr>
      <w:tr w14:paraId="0F56B7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9" w:hRule="atLeast"/>
          <w:tblHeader/>
          <w:jc w:val="center"/>
        </w:trPr>
        <w:tc>
          <w:tcPr>
            <w:tcW w:w="383" w:type="pct"/>
            <w:vMerge w:val="continue"/>
            <w:shd w:val="clear" w:color="auto" w:fill="938953"/>
            <w:vAlign w:val="center"/>
          </w:tcPr>
          <w:p w14:paraId="7C9CC074">
            <w:pPr>
              <w:jc w:val="center"/>
              <w:rPr>
                <w:rFonts w:ascii="宋体" w:hAnsi="宋体" w:cs="宋体"/>
                <w:b/>
                <w:color w:val="FFFFFF"/>
                <w:sz w:val="21"/>
                <w:szCs w:val="21"/>
              </w:rPr>
            </w:pPr>
          </w:p>
        </w:tc>
        <w:tc>
          <w:tcPr>
            <w:tcW w:w="276" w:type="pct"/>
            <w:vMerge w:val="continue"/>
            <w:shd w:val="clear" w:color="auto" w:fill="938953"/>
            <w:vAlign w:val="center"/>
          </w:tcPr>
          <w:p w14:paraId="24900EA4">
            <w:pPr>
              <w:jc w:val="center"/>
              <w:rPr>
                <w:rFonts w:ascii="宋体" w:hAnsi="宋体" w:cs="宋体"/>
                <w:b/>
                <w:color w:val="FFFFFF"/>
                <w:sz w:val="21"/>
                <w:szCs w:val="21"/>
              </w:rPr>
            </w:pPr>
          </w:p>
        </w:tc>
        <w:tc>
          <w:tcPr>
            <w:tcW w:w="762" w:type="pct"/>
            <w:vMerge w:val="continue"/>
            <w:shd w:val="clear" w:color="auto" w:fill="938953"/>
            <w:vAlign w:val="center"/>
          </w:tcPr>
          <w:p w14:paraId="458E5DA7">
            <w:pPr>
              <w:jc w:val="center"/>
              <w:rPr>
                <w:rFonts w:ascii="宋体" w:hAnsi="宋体" w:cs="宋体"/>
                <w:b/>
                <w:color w:val="FFFFFF"/>
                <w:sz w:val="21"/>
                <w:szCs w:val="21"/>
              </w:rPr>
            </w:pPr>
          </w:p>
        </w:tc>
        <w:tc>
          <w:tcPr>
            <w:tcW w:w="596" w:type="pct"/>
            <w:shd w:val="clear" w:color="auto" w:fill="938953"/>
            <w:vAlign w:val="center"/>
          </w:tcPr>
          <w:p w14:paraId="01ABB2BA">
            <w:pPr>
              <w:jc w:val="center"/>
              <w:rPr>
                <w:rFonts w:hint="eastAsia" w:ascii="宋体" w:hAnsi="宋体" w:eastAsia="宋体" w:cs="宋体"/>
                <w:b/>
                <w:color w:val="FFFFFF"/>
                <w:sz w:val="21"/>
                <w:szCs w:val="21"/>
                <w:lang w:val="en-US" w:eastAsia="zh-CN" w:bidi="ar-SA"/>
              </w:rPr>
            </w:pPr>
            <w:r>
              <w:rPr>
                <w:rFonts w:hint="eastAsia" w:ascii="宋体" w:hAnsi="宋体" w:cs="宋体"/>
                <w:b/>
                <w:color w:val="FFFFFF"/>
                <w:sz w:val="21"/>
                <w:szCs w:val="21"/>
              </w:rPr>
              <w:t>202</w:t>
            </w:r>
            <w:r>
              <w:rPr>
                <w:rFonts w:hint="eastAsia" w:ascii="宋体" w:hAnsi="宋体" w:cs="宋体"/>
                <w:b/>
                <w:color w:val="FFFFFF"/>
                <w:sz w:val="21"/>
                <w:szCs w:val="21"/>
                <w:lang w:val="en-US" w:eastAsia="zh-CN"/>
              </w:rPr>
              <w:t>5</w:t>
            </w:r>
          </w:p>
        </w:tc>
        <w:tc>
          <w:tcPr>
            <w:tcW w:w="596" w:type="pct"/>
            <w:shd w:val="clear" w:color="auto" w:fill="938953"/>
            <w:vAlign w:val="top"/>
          </w:tcPr>
          <w:p w14:paraId="32F441FE">
            <w:pPr>
              <w:jc w:val="center"/>
              <w:rPr>
                <w:rFonts w:hint="eastAsia" w:ascii="宋体" w:hAnsi="宋体" w:eastAsia="宋体" w:cs="宋体"/>
                <w:b/>
                <w:color w:val="FFFFFF"/>
                <w:sz w:val="21"/>
                <w:szCs w:val="21"/>
                <w:lang w:val="en-US" w:eastAsia="zh-CN" w:bidi="ar-SA"/>
              </w:rPr>
            </w:pPr>
            <w:r>
              <w:rPr>
                <w:rFonts w:hint="eastAsia" w:ascii="宋体" w:hAnsi="宋体" w:cs="宋体"/>
                <w:b/>
                <w:color w:val="FFFFFF"/>
                <w:sz w:val="21"/>
                <w:szCs w:val="21"/>
              </w:rPr>
              <w:t>202</w:t>
            </w:r>
            <w:r>
              <w:rPr>
                <w:rFonts w:hint="eastAsia" w:ascii="宋体" w:hAnsi="宋体" w:cs="宋体"/>
                <w:b/>
                <w:color w:val="FFFFFF"/>
                <w:sz w:val="21"/>
                <w:szCs w:val="21"/>
                <w:lang w:val="en-US" w:eastAsia="zh-CN"/>
              </w:rPr>
              <w:t>6</w:t>
            </w:r>
          </w:p>
        </w:tc>
        <w:tc>
          <w:tcPr>
            <w:tcW w:w="596" w:type="pct"/>
            <w:shd w:val="clear" w:color="auto" w:fill="938953"/>
            <w:vAlign w:val="center"/>
          </w:tcPr>
          <w:p w14:paraId="5F947E7F">
            <w:pPr>
              <w:jc w:val="center"/>
              <w:rPr>
                <w:rFonts w:hint="eastAsia" w:ascii="宋体" w:hAnsi="宋体" w:eastAsia="宋体" w:cs="宋体"/>
                <w:b/>
                <w:color w:val="FFFFFF"/>
                <w:sz w:val="21"/>
                <w:szCs w:val="21"/>
                <w:lang w:val="en-US" w:eastAsia="zh-CN" w:bidi="ar-SA"/>
              </w:rPr>
            </w:pPr>
            <w:r>
              <w:rPr>
                <w:rFonts w:hint="eastAsia" w:ascii="宋体" w:hAnsi="宋体" w:cs="宋体"/>
                <w:b/>
                <w:color w:val="FFFFFF"/>
                <w:sz w:val="21"/>
                <w:szCs w:val="21"/>
              </w:rPr>
              <w:t>202</w:t>
            </w:r>
            <w:r>
              <w:rPr>
                <w:rFonts w:hint="eastAsia" w:ascii="宋体" w:hAnsi="宋体" w:cs="宋体"/>
                <w:b/>
                <w:color w:val="FFFFFF"/>
                <w:sz w:val="21"/>
                <w:szCs w:val="21"/>
                <w:lang w:val="en-US" w:eastAsia="zh-CN"/>
              </w:rPr>
              <w:t>7</w:t>
            </w:r>
          </w:p>
        </w:tc>
        <w:tc>
          <w:tcPr>
            <w:tcW w:w="596" w:type="pct"/>
            <w:tcBorders>
              <w:right w:val="single" w:color="auto" w:sz="12" w:space="0"/>
            </w:tcBorders>
            <w:shd w:val="clear" w:color="auto" w:fill="938953"/>
            <w:vAlign w:val="top"/>
          </w:tcPr>
          <w:p w14:paraId="5EC5BB15">
            <w:pPr>
              <w:jc w:val="center"/>
              <w:rPr>
                <w:rFonts w:hint="eastAsia" w:ascii="宋体" w:hAnsi="宋体" w:eastAsia="宋体" w:cs="宋体"/>
                <w:b/>
                <w:color w:val="FFFFFF"/>
                <w:sz w:val="21"/>
                <w:szCs w:val="21"/>
                <w:lang w:val="en-US" w:eastAsia="zh-CN" w:bidi="ar-SA"/>
              </w:rPr>
            </w:pPr>
            <w:r>
              <w:rPr>
                <w:rFonts w:hint="eastAsia" w:ascii="宋体" w:hAnsi="宋体" w:cs="宋体"/>
                <w:b/>
                <w:color w:val="FFFFFF"/>
                <w:sz w:val="21"/>
                <w:szCs w:val="21"/>
              </w:rPr>
              <w:t>202</w:t>
            </w:r>
            <w:r>
              <w:rPr>
                <w:rFonts w:hint="eastAsia" w:ascii="宋体" w:hAnsi="宋体" w:cs="宋体"/>
                <w:b/>
                <w:color w:val="FFFFFF"/>
                <w:sz w:val="21"/>
                <w:szCs w:val="21"/>
                <w:lang w:val="en-US" w:eastAsia="zh-CN"/>
              </w:rPr>
              <w:t>8</w:t>
            </w:r>
          </w:p>
        </w:tc>
        <w:tc>
          <w:tcPr>
            <w:tcW w:w="596" w:type="pct"/>
            <w:tcBorders>
              <w:right w:val="single" w:color="auto" w:sz="12" w:space="0"/>
            </w:tcBorders>
            <w:shd w:val="clear" w:color="auto" w:fill="938953"/>
            <w:vAlign w:val="top"/>
          </w:tcPr>
          <w:p w14:paraId="62A6F283">
            <w:pPr>
              <w:jc w:val="center"/>
              <w:rPr>
                <w:rFonts w:hint="eastAsia" w:ascii="宋体" w:hAnsi="宋体" w:eastAsia="宋体" w:cs="宋体"/>
                <w:b/>
                <w:color w:val="FFFFFF"/>
                <w:sz w:val="21"/>
                <w:szCs w:val="21"/>
                <w:lang w:val="en-US" w:eastAsia="zh-CN" w:bidi="ar-SA"/>
              </w:rPr>
            </w:pPr>
            <w:r>
              <w:rPr>
                <w:rFonts w:hint="eastAsia" w:ascii="宋体" w:hAnsi="宋体" w:cs="宋体"/>
                <w:b/>
                <w:color w:val="FFFFFF"/>
                <w:sz w:val="21"/>
                <w:szCs w:val="21"/>
              </w:rPr>
              <w:t>202</w:t>
            </w:r>
            <w:r>
              <w:rPr>
                <w:rFonts w:hint="eastAsia" w:ascii="宋体" w:hAnsi="宋体" w:cs="宋体"/>
                <w:b/>
                <w:color w:val="FFFFFF"/>
                <w:sz w:val="21"/>
                <w:szCs w:val="21"/>
                <w:lang w:val="en-US" w:eastAsia="zh-CN"/>
              </w:rPr>
              <w:t>9</w:t>
            </w:r>
          </w:p>
        </w:tc>
        <w:tc>
          <w:tcPr>
            <w:tcW w:w="596" w:type="pct"/>
            <w:tcBorders>
              <w:right w:val="single" w:color="auto" w:sz="12" w:space="0"/>
            </w:tcBorders>
            <w:shd w:val="clear" w:color="auto" w:fill="938953"/>
            <w:vAlign w:val="top"/>
          </w:tcPr>
          <w:p w14:paraId="39B27C48">
            <w:pPr>
              <w:jc w:val="center"/>
              <w:rPr>
                <w:rFonts w:hint="default" w:ascii="宋体" w:hAnsi="宋体" w:eastAsia="宋体" w:cs="宋体"/>
                <w:b/>
                <w:color w:val="FFFFFF"/>
                <w:sz w:val="21"/>
                <w:szCs w:val="21"/>
                <w:lang w:val="en-US" w:eastAsia="zh-CN" w:bidi="ar-SA"/>
              </w:rPr>
            </w:pPr>
            <w:r>
              <w:rPr>
                <w:rFonts w:hint="eastAsia" w:ascii="宋体" w:hAnsi="宋体" w:cs="宋体"/>
                <w:b/>
                <w:color w:val="FFFFFF"/>
                <w:sz w:val="21"/>
                <w:szCs w:val="21"/>
              </w:rPr>
              <w:t>20</w:t>
            </w:r>
            <w:r>
              <w:rPr>
                <w:rFonts w:hint="eastAsia" w:ascii="宋体" w:hAnsi="宋体" w:cs="宋体"/>
                <w:b/>
                <w:color w:val="FFFFFF"/>
                <w:sz w:val="21"/>
                <w:szCs w:val="21"/>
                <w:lang w:val="en-US" w:eastAsia="zh-CN"/>
              </w:rPr>
              <w:t>30</w:t>
            </w:r>
          </w:p>
        </w:tc>
      </w:tr>
      <w:tr w14:paraId="6BE9E8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383" w:type="pct"/>
            <w:vMerge w:val="restart"/>
            <w:vAlign w:val="center"/>
          </w:tcPr>
          <w:p w14:paraId="0CBE8EE6">
            <w:pPr>
              <w:jc w:val="center"/>
              <w:rPr>
                <w:rFonts w:ascii="宋体" w:hAnsi="宋体" w:cs="宋体"/>
                <w:sz w:val="21"/>
                <w:szCs w:val="21"/>
              </w:rPr>
            </w:pPr>
            <w:r>
              <w:rPr>
                <w:rFonts w:hint="eastAsia" w:ascii="宋体" w:hAnsi="宋体" w:cs="宋体"/>
                <w:sz w:val="21"/>
                <w:szCs w:val="21"/>
              </w:rPr>
              <w:t>财务与预算</w:t>
            </w:r>
          </w:p>
        </w:tc>
        <w:tc>
          <w:tcPr>
            <w:tcW w:w="276" w:type="pct"/>
            <w:vAlign w:val="center"/>
          </w:tcPr>
          <w:p w14:paraId="057CB499">
            <w:pPr>
              <w:jc w:val="center"/>
              <w:rPr>
                <w:rFonts w:ascii="宋体" w:hAnsi="宋体" w:cs="宋体"/>
                <w:sz w:val="21"/>
                <w:szCs w:val="21"/>
              </w:rPr>
            </w:pPr>
            <w:r>
              <w:rPr>
                <w:rFonts w:hint="eastAsia" w:ascii="宋体" w:hAnsi="宋体" w:cs="宋体"/>
                <w:sz w:val="21"/>
                <w:szCs w:val="21"/>
              </w:rPr>
              <w:t>1</w:t>
            </w:r>
          </w:p>
        </w:tc>
        <w:tc>
          <w:tcPr>
            <w:tcW w:w="762" w:type="pct"/>
            <w:vAlign w:val="center"/>
          </w:tcPr>
          <w:p w14:paraId="1C28F70C">
            <w:pPr>
              <w:jc w:val="center"/>
              <w:rPr>
                <w:rFonts w:ascii="宋体" w:hAnsi="宋体" w:cs="宋体"/>
                <w:sz w:val="21"/>
                <w:szCs w:val="21"/>
              </w:rPr>
            </w:pPr>
            <w:r>
              <w:rPr>
                <w:rFonts w:hint="eastAsia" w:ascii="宋体" w:hAnsi="宋体" w:cs="宋体"/>
                <w:sz w:val="21"/>
                <w:szCs w:val="21"/>
              </w:rPr>
              <w:t>公司销售额（万元）</w:t>
            </w:r>
          </w:p>
        </w:tc>
        <w:tc>
          <w:tcPr>
            <w:tcW w:w="596" w:type="pct"/>
            <w:shd w:val="clear" w:color="auto" w:fill="auto"/>
            <w:vAlign w:val="center"/>
          </w:tcPr>
          <w:p w14:paraId="6A9A5A4D">
            <w:pPr>
              <w:jc w:val="center"/>
              <w:rPr>
                <w:rFonts w:ascii="宋体" w:hAnsi="宋体" w:eastAsia="宋体" w:cs="宋体"/>
                <w:sz w:val="21"/>
                <w:szCs w:val="21"/>
                <w:lang w:val="en-US" w:eastAsia="zh-CN" w:bidi="ar-SA"/>
              </w:rPr>
            </w:pPr>
            <w:r>
              <w:rPr>
                <w:rFonts w:hint="eastAsia" w:ascii="宋体" w:hAnsi="宋体" w:cs="宋体"/>
                <w:sz w:val="21"/>
                <w:szCs w:val="21"/>
                <w:lang w:val="en-US" w:eastAsia="zh-CN"/>
              </w:rPr>
              <w:t>2236</w:t>
            </w:r>
            <w:r>
              <w:rPr>
                <w:rFonts w:hint="eastAsia" w:ascii="宋体" w:hAnsi="宋体" w:cs="宋体"/>
                <w:sz w:val="21"/>
                <w:szCs w:val="21"/>
              </w:rPr>
              <w:t>.00</w:t>
            </w:r>
          </w:p>
        </w:tc>
        <w:tc>
          <w:tcPr>
            <w:tcW w:w="596" w:type="pct"/>
            <w:shd w:val="clear" w:color="auto" w:fill="auto"/>
            <w:vAlign w:val="center"/>
          </w:tcPr>
          <w:p w14:paraId="3E873F19">
            <w:pPr>
              <w:jc w:val="center"/>
              <w:rPr>
                <w:rFonts w:hint="default" w:ascii="宋体" w:hAnsi="宋体" w:eastAsia="宋体" w:cs="宋体"/>
                <w:sz w:val="21"/>
                <w:szCs w:val="21"/>
                <w:lang w:val="en-US" w:eastAsia="zh-CN" w:bidi="ar-SA"/>
              </w:rPr>
            </w:pPr>
            <w:r>
              <w:rPr>
                <w:rFonts w:hint="eastAsia" w:ascii="宋体" w:hAnsi="宋体" w:cs="宋体"/>
                <w:sz w:val="21"/>
                <w:szCs w:val="21"/>
                <w:lang w:val="en-US" w:eastAsia="zh-CN"/>
              </w:rPr>
              <w:t>2550</w:t>
            </w:r>
          </w:p>
        </w:tc>
        <w:tc>
          <w:tcPr>
            <w:tcW w:w="596" w:type="pct"/>
            <w:shd w:val="clear" w:color="auto" w:fill="auto"/>
            <w:vAlign w:val="center"/>
          </w:tcPr>
          <w:p w14:paraId="658C76F9">
            <w:pPr>
              <w:jc w:val="center"/>
              <w:rPr>
                <w:rFonts w:hint="default" w:ascii="宋体" w:hAnsi="宋体" w:eastAsia="宋体" w:cs="宋体"/>
                <w:sz w:val="21"/>
                <w:szCs w:val="21"/>
                <w:lang w:val="en-US" w:eastAsia="zh-CN" w:bidi="ar-SA"/>
              </w:rPr>
            </w:pPr>
            <w:r>
              <w:rPr>
                <w:rFonts w:hint="eastAsia" w:ascii="宋体" w:hAnsi="宋体" w:cs="宋体"/>
                <w:sz w:val="21"/>
                <w:szCs w:val="21"/>
                <w:lang w:val="en-US" w:eastAsia="zh-CN"/>
              </w:rPr>
              <w:t>3150</w:t>
            </w:r>
          </w:p>
        </w:tc>
        <w:tc>
          <w:tcPr>
            <w:tcW w:w="596" w:type="pct"/>
            <w:shd w:val="clear" w:color="auto" w:fill="auto"/>
            <w:vAlign w:val="center"/>
          </w:tcPr>
          <w:p w14:paraId="58BD26F1">
            <w:pPr>
              <w:jc w:val="center"/>
              <w:rPr>
                <w:rFonts w:hint="default" w:ascii="宋体" w:hAnsi="宋体" w:eastAsia="宋体" w:cs="宋体"/>
                <w:sz w:val="21"/>
                <w:szCs w:val="21"/>
                <w:lang w:val="en-US" w:eastAsia="zh-CN" w:bidi="ar-SA"/>
              </w:rPr>
            </w:pPr>
            <w:r>
              <w:rPr>
                <w:rFonts w:hint="eastAsia" w:ascii="宋体" w:hAnsi="宋体" w:cs="宋体"/>
                <w:sz w:val="21"/>
                <w:szCs w:val="21"/>
                <w:lang w:val="en-US" w:eastAsia="zh-CN"/>
              </w:rPr>
              <w:t>3500</w:t>
            </w:r>
          </w:p>
        </w:tc>
        <w:tc>
          <w:tcPr>
            <w:tcW w:w="596" w:type="pct"/>
            <w:shd w:val="clear" w:color="auto" w:fill="auto"/>
            <w:vAlign w:val="center"/>
          </w:tcPr>
          <w:p w14:paraId="6B8BC862">
            <w:pPr>
              <w:jc w:val="center"/>
              <w:rPr>
                <w:rFonts w:hint="default" w:ascii="宋体" w:hAnsi="宋体" w:eastAsia="宋体" w:cs="宋体"/>
                <w:sz w:val="21"/>
                <w:szCs w:val="21"/>
                <w:lang w:val="en-US" w:eastAsia="zh-CN" w:bidi="ar-SA"/>
              </w:rPr>
            </w:pPr>
            <w:r>
              <w:rPr>
                <w:rFonts w:hint="eastAsia" w:ascii="宋体" w:hAnsi="宋体" w:cs="宋体"/>
                <w:sz w:val="21"/>
                <w:szCs w:val="21"/>
                <w:lang w:val="en-US" w:eastAsia="zh-CN"/>
              </w:rPr>
              <w:t>3900</w:t>
            </w:r>
          </w:p>
        </w:tc>
        <w:tc>
          <w:tcPr>
            <w:tcW w:w="596" w:type="pct"/>
            <w:shd w:val="clear" w:color="auto" w:fill="auto"/>
            <w:vAlign w:val="center"/>
          </w:tcPr>
          <w:p w14:paraId="6C9359D3">
            <w:pPr>
              <w:jc w:val="center"/>
              <w:rPr>
                <w:rFonts w:hint="default" w:ascii="宋体" w:hAnsi="宋体" w:eastAsia="宋体" w:cs="宋体"/>
                <w:sz w:val="21"/>
                <w:szCs w:val="21"/>
                <w:lang w:val="en-US" w:eastAsia="zh-CN" w:bidi="ar-SA"/>
              </w:rPr>
            </w:pPr>
            <w:r>
              <w:rPr>
                <w:rFonts w:hint="eastAsia" w:ascii="宋体" w:hAnsi="宋体" w:cs="宋体"/>
                <w:sz w:val="21"/>
                <w:szCs w:val="21"/>
                <w:lang w:val="en-US" w:eastAsia="zh-CN"/>
              </w:rPr>
              <w:t>4500</w:t>
            </w:r>
          </w:p>
        </w:tc>
      </w:tr>
      <w:tr w14:paraId="620A85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383" w:type="pct"/>
            <w:vMerge w:val="continue"/>
            <w:vAlign w:val="center"/>
          </w:tcPr>
          <w:p w14:paraId="077C7E7C">
            <w:pPr>
              <w:jc w:val="center"/>
              <w:rPr>
                <w:rFonts w:ascii="宋体" w:hAnsi="宋体" w:cs="宋体"/>
                <w:sz w:val="21"/>
                <w:szCs w:val="21"/>
              </w:rPr>
            </w:pPr>
          </w:p>
        </w:tc>
        <w:tc>
          <w:tcPr>
            <w:tcW w:w="276" w:type="pct"/>
            <w:vAlign w:val="center"/>
          </w:tcPr>
          <w:p w14:paraId="4E0D0BD3">
            <w:pPr>
              <w:jc w:val="center"/>
              <w:rPr>
                <w:rFonts w:ascii="宋体" w:hAnsi="宋体" w:cs="宋体"/>
                <w:sz w:val="21"/>
                <w:szCs w:val="21"/>
              </w:rPr>
            </w:pPr>
            <w:r>
              <w:rPr>
                <w:rFonts w:hint="eastAsia" w:ascii="宋体" w:hAnsi="宋体" w:cs="宋体"/>
                <w:sz w:val="21"/>
                <w:szCs w:val="21"/>
              </w:rPr>
              <w:t>2</w:t>
            </w:r>
          </w:p>
        </w:tc>
        <w:tc>
          <w:tcPr>
            <w:tcW w:w="762" w:type="pct"/>
            <w:vAlign w:val="center"/>
          </w:tcPr>
          <w:p w14:paraId="658B8101">
            <w:pPr>
              <w:jc w:val="center"/>
              <w:rPr>
                <w:rFonts w:ascii="宋体" w:hAnsi="宋体" w:cs="宋体"/>
                <w:sz w:val="21"/>
                <w:szCs w:val="21"/>
              </w:rPr>
            </w:pPr>
            <w:r>
              <w:rPr>
                <w:rFonts w:hint="eastAsia" w:ascii="宋体" w:hAnsi="宋体" w:cs="宋体"/>
                <w:sz w:val="21"/>
                <w:szCs w:val="21"/>
              </w:rPr>
              <w:t>公司利润额（万元）</w:t>
            </w:r>
          </w:p>
        </w:tc>
        <w:tc>
          <w:tcPr>
            <w:tcW w:w="596" w:type="pct"/>
            <w:shd w:val="clear" w:color="auto" w:fill="auto"/>
            <w:vAlign w:val="center"/>
          </w:tcPr>
          <w:p w14:paraId="33E0FE06">
            <w:pPr>
              <w:jc w:val="center"/>
              <w:rPr>
                <w:rFonts w:ascii="宋体" w:hAnsi="宋体" w:eastAsia="宋体" w:cs="宋体"/>
                <w:sz w:val="21"/>
                <w:szCs w:val="21"/>
                <w:lang w:val="en-US" w:eastAsia="zh-CN" w:bidi="ar-SA"/>
              </w:rPr>
            </w:pPr>
            <w:r>
              <w:rPr>
                <w:rFonts w:hint="eastAsia" w:ascii="宋体" w:hAnsi="宋体" w:cs="宋体"/>
                <w:sz w:val="21"/>
                <w:szCs w:val="21"/>
                <w:lang w:val="en-US" w:eastAsia="zh-CN"/>
              </w:rPr>
              <w:t>90</w:t>
            </w:r>
            <w:r>
              <w:rPr>
                <w:rFonts w:hint="eastAsia" w:ascii="宋体" w:hAnsi="宋体" w:cs="宋体"/>
                <w:sz w:val="21"/>
                <w:szCs w:val="21"/>
              </w:rPr>
              <w:t xml:space="preserve"> </w:t>
            </w:r>
          </w:p>
        </w:tc>
        <w:tc>
          <w:tcPr>
            <w:tcW w:w="596" w:type="pct"/>
            <w:shd w:val="clear" w:color="auto" w:fill="auto"/>
            <w:vAlign w:val="center"/>
          </w:tcPr>
          <w:p w14:paraId="597DECEB">
            <w:pPr>
              <w:jc w:val="center"/>
              <w:rPr>
                <w:rFonts w:ascii="宋体" w:hAnsi="宋体" w:eastAsia="宋体" w:cs="宋体"/>
                <w:sz w:val="21"/>
                <w:szCs w:val="21"/>
                <w:lang w:val="en-US" w:eastAsia="zh-CN" w:bidi="ar-SA"/>
              </w:rPr>
            </w:pPr>
            <w:r>
              <w:rPr>
                <w:rFonts w:hint="eastAsia" w:ascii="宋体" w:hAnsi="宋体" w:cs="宋体"/>
                <w:sz w:val="21"/>
                <w:szCs w:val="21"/>
                <w:lang w:val="en-US" w:eastAsia="zh-CN"/>
              </w:rPr>
              <w:t>125</w:t>
            </w:r>
            <w:r>
              <w:rPr>
                <w:rFonts w:hint="eastAsia" w:ascii="宋体" w:hAnsi="宋体" w:cs="宋体"/>
                <w:sz w:val="21"/>
                <w:szCs w:val="21"/>
              </w:rPr>
              <w:t xml:space="preserve"> </w:t>
            </w:r>
          </w:p>
        </w:tc>
        <w:tc>
          <w:tcPr>
            <w:tcW w:w="596" w:type="pct"/>
            <w:shd w:val="clear" w:color="auto" w:fill="auto"/>
            <w:vAlign w:val="center"/>
          </w:tcPr>
          <w:p w14:paraId="4EF6CAD0">
            <w:pPr>
              <w:jc w:val="center"/>
              <w:rPr>
                <w:rFonts w:hint="default" w:ascii="宋体" w:hAnsi="宋体" w:eastAsia="宋体" w:cs="宋体"/>
                <w:sz w:val="21"/>
                <w:szCs w:val="21"/>
                <w:lang w:val="en-US" w:eastAsia="zh-CN" w:bidi="ar-SA"/>
              </w:rPr>
            </w:pPr>
            <w:r>
              <w:rPr>
                <w:rFonts w:hint="eastAsia" w:ascii="宋体" w:hAnsi="宋体" w:cs="宋体"/>
                <w:sz w:val="21"/>
                <w:szCs w:val="21"/>
                <w:lang w:val="en-US" w:eastAsia="zh-CN"/>
              </w:rPr>
              <w:t>150</w:t>
            </w:r>
          </w:p>
        </w:tc>
        <w:tc>
          <w:tcPr>
            <w:tcW w:w="596" w:type="pct"/>
            <w:shd w:val="clear" w:color="auto" w:fill="auto"/>
            <w:vAlign w:val="center"/>
          </w:tcPr>
          <w:p w14:paraId="6CCF666D">
            <w:pPr>
              <w:jc w:val="center"/>
              <w:rPr>
                <w:rFonts w:hint="default" w:ascii="宋体" w:hAnsi="宋体" w:eastAsia="宋体" w:cs="宋体"/>
                <w:sz w:val="21"/>
                <w:szCs w:val="21"/>
                <w:lang w:val="en-US" w:eastAsia="zh-CN" w:bidi="ar-SA"/>
              </w:rPr>
            </w:pPr>
            <w:r>
              <w:rPr>
                <w:rFonts w:hint="eastAsia" w:ascii="宋体" w:hAnsi="宋体" w:cs="宋体"/>
                <w:sz w:val="21"/>
                <w:szCs w:val="21"/>
                <w:lang w:val="en-US" w:eastAsia="zh-CN"/>
              </w:rPr>
              <w:t>170</w:t>
            </w:r>
          </w:p>
        </w:tc>
        <w:tc>
          <w:tcPr>
            <w:tcW w:w="596" w:type="pct"/>
            <w:shd w:val="clear" w:color="auto" w:fill="auto"/>
            <w:vAlign w:val="center"/>
          </w:tcPr>
          <w:p w14:paraId="6B994DC5">
            <w:pPr>
              <w:jc w:val="center"/>
              <w:rPr>
                <w:rFonts w:ascii="宋体" w:hAnsi="宋体" w:eastAsia="宋体" w:cs="宋体"/>
                <w:sz w:val="21"/>
                <w:szCs w:val="21"/>
                <w:lang w:val="en-US" w:eastAsia="zh-CN" w:bidi="ar-SA"/>
              </w:rPr>
            </w:pPr>
            <w:r>
              <w:rPr>
                <w:rFonts w:hint="eastAsia" w:ascii="宋体" w:hAnsi="宋体" w:cs="宋体"/>
                <w:sz w:val="21"/>
                <w:szCs w:val="21"/>
              </w:rPr>
              <w:t xml:space="preserve"> </w:t>
            </w:r>
            <w:r>
              <w:rPr>
                <w:rFonts w:hint="eastAsia" w:ascii="宋体" w:hAnsi="宋体" w:cs="宋体"/>
                <w:sz w:val="21"/>
                <w:szCs w:val="21"/>
                <w:lang w:val="en-US" w:eastAsia="zh-CN"/>
              </w:rPr>
              <w:t>190</w:t>
            </w:r>
            <w:r>
              <w:rPr>
                <w:rFonts w:hint="eastAsia" w:ascii="宋体" w:hAnsi="宋体" w:cs="宋体"/>
                <w:sz w:val="21"/>
                <w:szCs w:val="21"/>
              </w:rPr>
              <w:t xml:space="preserve"> </w:t>
            </w:r>
          </w:p>
        </w:tc>
        <w:tc>
          <w:tcPr>
            <w:tcW w:w="596" w:type="pct"/>
            <w:shd w:val="clear" w:color="auto" w:fill="auto"/>
            <w:vAlign w:val="center"/>
          </w:tcPr>
          <w:p w14:paraId="7349673D">
            <w:pPr>
              <w:jc w:val="center"/>
              <w:rPr>
                <w:rFonts w:hint="default" w:ascii="宋体" w:hAnsi="宋体" w:eastAsia="宋体" w:cs="宋体"/>
                <w:sz w:val="21"/>
                <w:szCs w:val="21"/>
                <w:lang w:val="en-US" w:eastAsia="zh-CN" w:bidi="ar-SA"/>
              </w:rPr>
            </w:pPr>
            <w:r>
              <w:rPr>
                <w:rFonts w:hint="eastAsia" w:ascii="宋体" w:hAnsi="宋体" w:cs="宋体"/>
                <w:sz w:val="21"/>
                <w:szCs w:val="21"/>
                <w:lang w:val="en-US" w:eastAsia="zh-CN"/>
              </w:rPr>
              <w:t>210</w:t>
            </w:r>
          </w:p>
        </w:tc>
      </w:tr>
      <w:tr w14:paraId="127C34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383" w:type="pct"/>
            <w:vMerge w:val="restart"/>
            <w:vAlign w:val="center"/>
          </w:tcPr>
          <w:p w14:paraId="48C084D4">
            <w:pPr>
              <w:jc w:val="center"/>
              <w:rPr>
                <w:rFonts w:ascii="宋体" w:hAnsi="宋体" w:cs="宋体"/>
                <w:sz w:val="21"/>
                <w:szCs w:val="21"/>
              </w:rPr>
            </w:pPr>
            <w:r>
              <w:rPr>
                <w:rFonts w:hint="eastAsia" w:ascii="宋体" w:hAnsi="宋体" w:cs="宋体"/>
                <w:sz w:val="21"/>
                <w:szCs w:val="21"/>
              </w:rPr>
              <w:t>顾客与市场</w:t>
            </w:r>
          </w:p>
        </w:tc>
        <w:tc>
          <w:tcPr>
            <w:tcW w:w="276" w:type="pct"/>
            <w:vAlign w:val="center"/>
          </w:tcPr>
          <w:p w14:paraId="1CB4878B">
            <w:pPr>
              <w:jc w:val="center"/>
              <w:rPr>
                <w:rFonts w:ascii="宋体" w:hAnsi="宋体" w:cs="宋体"/>
                <w:sz w:val="21"/>
                <w:szCs w:val="21"/>
              </w:rPr>
            </w:pPr>
            <w:r>
              <w:rPr>
                <w:rFonts w:hint="eastAsia" w:ascii="宋体" w:hAnsi="宋体" w:cs="宋体"/>
                <w:sz w:val="21"/>
                <w:szCs w:val="21"/>
              </w:rPr>
              <w:t>3</w:t>
            </w:r>
          </w:p>
        </w:tc>
        <w:tc>
          <w:tcPr>
            <w:tcW w:w="762" w:type="pct"/>
            <w:vAlign w:val="center"/>
          </w:tcPr>
          <w:p w14:paraId="54C0A0C2">
            <w:pPr>
              <w:jc w:val="center"/>
              <w:rPr>
                <w:rFonts w:ascii="宋体" w:hAnsi="宋体" w:cs="宋体"/>
                <w:sz w:val="21"/>
                <w:szCs w:val="21"/>
              </w:rPr>
            </w:pPr>
            <w:r>
              <w:rPr>
                <w:rFonts w:hint="eastAsia" w:ascii="宋体" w:hAnsi="宋体" w:cs="宋体"/>
                <w:sz w:val="21"/>
                <w:szCs w:val="21"/>
              </w:rPr>
              <w:t>顾客满意度（%）</w:t>
            </w:r>
          </w:p>
        </w:tc>
        <w:tc>
          <w:tcPr>
            <w:tcW w:w="596" w:type="pct"/>
            <w:shd w:val="clear" w:color="auto" w:fill="auto"/>
            <w:vAlign w:val="center"/>
          </w:tcPr>
          <w:p w14:paraId="7CE41454">
            <w:pPr>
              <w:jc w:val="center"/>
              <w:rPr>
                <w:rFonts w:ascii="宋体" w:hAnsi="宋体" w:eastAsia="宋体" w:cs="宋体"/>
                <w:sz w:val="21"/>
                <w:szCs w:val="21"/>
                <w:lang w:val="en-US" w:eastAsia="zh-CN" w:bidi="ar-SA"/>
              </w:rPr>
            </w:pPr>
            <w:r>
              <w:rPr>
                <w:rFonts w:hint="eastAsia" w:ascii="宋体" w:hAnsi="宋体" w:cs="宋体"/>
                <w:sz w:val="21"/>
                <w:szCs w:val="21"/>
              </w:rPr>
              <w:t>98</w:t>
            </w:r>
          </w:p>
        </w:tc>
        <w:tc>
          <w:tcPr>
            <w:tcW w:w="596" w:type="pct"/>
            <w:shd w:val="clear" w:color="auto" w:fill="auto"/>
            <w:vAlign w:val="center"/>
          </w:tcPr>
          <w:p w14:paraId="54ECE342">
            <w:pPr>
              <w:jc w:val="center"/>
              <w:rPr>
                <w:rFonts w:hint="default" w:ascii="宋体" w:hAnsi="宋体" w:eastAsia="宋体" w:cs="宋体"/>
                <w:sz w:val="21"/>
                <w:szCs w:val="21"/>
                <w:lang w:val="en-US" w:eastAsia="zh-CN" w:bidi="ar-SA"/>
              </w:rPr>
            </w:pPr>
            <w:r>
              <w:rPr>
                <w:rFonts w:hint="eastAsia" w:ascii="宋体" w:hAnsi="宋体" w:cs="宋体"/>
                <w:sz w:val="21"/>
                <w:szCs w:val="21"/>
              </w:rPr>
              <w:t>98</w:t>
            </w:r>
            <w:r>
              <w:rPr>
                <w:rFonts w:hint="eastAsia" w:ascii="宋体" w:hAnsi="宋体" w:cs="宋体"/>
                <w:sz w:val="21"/>
                <w:szCs w:val="21"/>
                <w:lang w:val="en-US" w:eastAsia="zh-CN"/>
              </w:rPr>
              <w:t>.5</w:t>
            </w:r>
          </w:p>
        </w:tc>
        <w:tc>
          <w:tcPr>
            <w:tcW w:w="596" w:type="pct"/>
            <w:shd w:val="clear" w:color="auto" w:fill="auto"/>
            <w:vAlign w:val="center"/>
          </w:tcPr>
          <w:p w14:paraId="1ED747DA">
            <w:pPr>
              <w:jc w:val="center"/>
              <w:rPr>
                <w:rFonts w:ascii="宋体" w:hAnsi="宋体" w:eastAsia="宋体" w:cs="宋体"/>
                <w:sz w:val="21"/>
                <w:szCs w:val="21"/>
                <w:lang w:val="en-US" w:eastAsia="zh-CN" w:bidi="ar-SA"/>
              </w:rPr>
            </w:pPr>
            <w:r>
              <w:rPr>
                <w:rFonts w:hint="eastAsia" w:ascii="宋体" w:hAnsi="宋体" w:cs="宋体"/>
                <w:sz w:val="21"/>
                <w:szCs w:val="21"/>
              </w:rPr>
              <w:t>99</w:t>
            </w:r>
          </w:p>
        </w:tc>
        <w:tc>
          <w:tcPr>
            <w:tcW w:w="596" w:type="pct"/>
            <w:tcBorders>
              <w:right w:val="single" w:color="auto" w:sz="12" w:space="0"/>
            </w:tcBorders>
            <w:shd w:val="clear" w:color="auto" w:fill="auto"/>
            <w:vAlign w:val="center"/>
          </w:tcPr>
          <w:p w14:paraId="43EC26C0">
            <w:pPr>
              <w:jc w:val="center"/>
              <w:rPr>
                <w:rFonts w:ascii="宋体" w:hAnsi="宋体" w:eastAsia="宋体" w:cs="宋体"/>
                <w:sz w:val="21"/>
                <w:szCs w:val="21"/>
                <w:lang w:val="en-US" w:eastAsia="zh-CN" w:bidi="ar-SA"/>
              </w:rPr>
            </w:pPr>
            <w:r>
              <w:rPr>
                <w:rFonts w:hint="eastAsia" w:ascii="宋体" w:hAnsi="宋体" w:cs="宋体"/>
                <w:sz w:val="21"/>
                <w:szCs w:val="21"/>
              </w:rPr>
              <w:t>99</w:t>
            </w:r>
          </w:p>
        </w:tc>
        <w:tc>
          <w:tcPr>
            <w:tcW w:w="596" w:type="pct"/>
            <w:tcBorders>
              <w:right w:val="single" w:color="auto" w:sz="12" w:space="0"/>
            </w:tcBorders>
            <w:shd w:val="clear" w:color="auto" w:fill="auto"/>
            <w:vAlign w:val="center"/>
          </w:tcPr>
          <w:p w14:paraId="55976233">
            <w:pPr>
              <w:jc w:val="center"/>
              <w:rPr>
                <w:rFonts w:ascii="宋体" w:hAnsi="宋体" w:eastAsia="宋体" w:cs="宋体"/>
                <w:sz w:val="21"/>
                <w:szCs w:val="21"/>
                <w:lang w:val="en-US" w:eastAsia="zh-CN" w:bidi="ar-SA"/>
              </w:rPr>
            </w:pPr>
            <w:r>
              <w:rPr>
                <w:rFonts w:hint="eastAsia" w:ascii="宋体" w:hAnsi="宋体" w:cs="宋体"/>
                <w:sz w:val="21"/>
                <w:szCs w:val="21"/>
              </w:rPr>
              <w:t>99</w:t>
            </w:r>
          </w:p>
        </w:tc>
        <w:tc>
          <w:tcPr>
            <w:tcW w:w="596" w:type="pct"/>
            <w:tcBorders>
              <w:right w:val="single" w:color="auto" w:sz="12" w:space="0"/>
            </w:tcBorders>
            <w:shd w:val="clear" w:color="auto" w:fill="auto"/>
            <w:vAlign w:val="center"/>
          </w:tcPr>
          <w:p w14:paraId="2B9F1F30">
            <w:pPr>
              <w:jc w:val="center"/>
              <w:rPr>
                <w:rFonts w:hint="default" w:ascii="宋体" w:hAnsi="宋体" w:eastAsia="宋体" w:cs="宋体"/>
                <w:sz w:val="21"/>
                <w:szCs w:val="21"/>
                <w:lang w:val="en-US" w:eastAsia="zh-CN" w:bidi="ar-SA"/>
              </w:rPr>
            </w:pPr>
            <w:r>
              <w:rPr>
                <w:rFonts w:hint="eastAsia" w:ascii="宋体" w:hAnsi="宋体" w:cs="宋体"/>
                <w:sz w:val="21"/>
                <w:szCs w:val="21"/>
                <w:lang w:val="en-US" w:eastAsia="zh-CN"/>
              </w:rPr>
              <w:t>99</w:t>
            </w:r>
          </w:p>
        </w:tc>
      </w:tr>
      <w:tr w14:paraId="6F6DEE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383" w:type="pct"/>
            <w:vMerge w:val="continue"/>
            <w:vAlign w:val="center"/>
          </w:tcPr>
          <w:p w14:paraId="41E5B8BB">
            <w:pPr>
              <w:jc w:val="center"/>
              <w:rPr>
                <w:rFonts w:ascii="宋体" w:hAnsi="宋体" w:cs="宋体"/>
                <w:sz w:val="21"/>
                <w:szCs w:val="21"/>
              </w:rPr>
            </w:pPr>
          </w:p>
        </w:tc>
        <w:tc>
          <w:tcPr>
            <w:tcW w:w="276" w:type="pct"/>
            <w:vAlign w:val="center"/>
          </w:tcPr>
          <w:p w14:paraId="24ECA7E4">
            <w:pPr>
              <w:jc w:val="center"/>
              <w:rPr>
                <w:rFonts w:ascii="宋体" w:hAnsi="宋体" w:cs="宋体"/>
                <w:sz w:val="21"/>
                <w:szCs w:val="21"/>
              </w:rPr>
            </w:pPr>
            <w:r>
              <w:rPr>
                <w:rFonts w:hint="eastAsia" w:ascii="宋体" w:hAnsi="宋体" w:cs="宋体"/>
                <w:sz w:val="21"/>
                <w:szCs w:val="21"/>
              </w:rPr>
              <w:t>4</w:t>
            </w:r>
          </w:p>
        </w:tc>
        <w:tc>
          <w:tcPr>
            <w:tcW w:w="762" w:type="pct"/>
            <w:vAlign w:val="center"/>
          </w:tcPr>
          <w:p w14:paraId="25F19405">
            <w:pPr>
              <w:jc w:val="center"/>
              <w:rPr>
                <w:rFonts w:ascii="宋体" w:hAnsi="宋体" w:cs="宋体"/>
                <w:sz w:val="21"/>
                <w:szCs w:val="21"/>
              </w:rPr>
            </w:pPr>
            <w:r>
              <w:rPr>
                <w:rFonts w:hint="eastAsia" w:ascii="宋体" w:hAnsi="宋体" w:cs="宋体"/>
                <w:sz w:val="21"/>
                <w:szCs w:val="21"/>
              </w:rPr>
              <w:t>目标市场占有率（%）</w:t>
            </w:r>
          </w:p>
        </w:tc>
        <w:tc>
          <w:tcPr>
            <w:tcW w:w="596" w:type="pct"/>
            <w:shd w:val="clear" w:color="auto" w:fill="auto"/>
            <w:vAlign w:val="center"/>
          </w:tcPr>
          <w:p w14:paraId="3FC85484">
            <w:pPr>
              <w:jc w:val="center"/>
              <w:rPr>
                <w:rFonts w:hint="default" w:ascii="宋体" w:hAnsi="宋体" w:eastAsia="宋体" w:cs="宋体"/>
                <w:sz w:val="21"/>
                <w:szCs w:val="21"/>
                <w:lang w:val="en-US" w:eastAsia="zh-CN" w:bidi="ar-SA"/>
              </w:rPr>
            </w:pPr>
            <w:r>
              <w:rPr>
                <w:rFonts w:hint="eastAsia" w:ascii="宋体" w:hAnsi="宋体" w:cs="宋体"/>
                <w:sz w:val="21"/>
                <w:szCs w:val="21"/>
                <w:lang w:val="en-US" w:eastAsia="zh-CN" w:bidi="ar-SA"/>
              </w:rPr>
              <w:t>5</w:t>
            </w:r>
          </w:p>
        </w:tc>
        <w:tc>
          <w:tcPr>
            <w:tcW w:w="596" w:type="pct"/>
            <w:shd w:val="clear" w:color="auto" w:fill="auto"/>
            <w:vAlign w:val="center"/>
          </w:tcPr>
          <w:p w14:paraId="035F177C">
            <w:pPr>
              <w:jc w:val="center"/>
              <w:rPr>
                <w:rFonts w:hint="default" w:ascii="宋体" w:hAnsi="宋体" w:eastAsia="宋体" w:cs="宋体"/>
                <w:sz w:val="21"/>
                <w:szCs w:val="21"/>
                <w:lang w:val="en-US" w:eastAsia="zh-CN" w:bidi="ar-SA"/>
              </w:rPr>
            </w:pPr>
            <w:r>
              <w:rPr>
                <w:rFonts w:hint="eastAsia" w:ascii="宋体" w:hAnsi="宋体" w:cs="宋体"/>
                <w:sz w:val="21"/>
                <w:szCs w:val="21"/>
                <w:lang w:val="en-US" w:eastAsia="zh-CN" w:bidi="ar-SA"/>
              </w:rPr>
              <w:t>8</w:t>
            </w:r>
          </w:p>
        </w:tc>
        <w:tc>
          <w:tcPr>
            <w:tcW w:w="596" w:type="pct"/>
            <w:shd w:val="clear" w:color="auto" w:fill="auto"/>
            <w:vAlign w:val="center"/>
          </w:tcPr>
          <w:p w14:paraId="7214A71E">
            <w:pPr>
              <w:jc w:val="center"/>
              <w:rPr>
                <w:rFonts w:hint="eastAsia" w:ascii="宋体" w:hAnsi="宋体" w:eastAsia="宋体" w:cs="宋体"/>
                <w:sz w:val="21"/>
                <w:szCs w:val="21"/>
                <w:lang w:val="en-US" w:eastAsia="zh-CN" w:bidi="ar-SA"/>
              </w:rPr>
            </w:pPr>
            <w:r>
              <w:rPr>
                <w:rFonts w:hint="eastAsia" w:ascii="宋体" w:hAnsi="宋体" w:cs="宋体"/>
                <w:sz w:val="21"/>
                <w:szCs w:val="21"/>
              </w:rPr>
              <w:t>1</w:t>
            </w:r>
            <w:r>
              <w:rPr>
                <w:rFonts w:hint="eastAsia" w:ascii="宋体" w:hAnsi="宋体" w:cs="宋体"/>
                <w:sz w:val="21"/>
                <w:szCs w:val="21"/>
                <w:lang w:val="en-US" w:eastAsia="zh-CN"/>
              </w:rPr>
              <w:t>1</w:t>
            </w:r>
          </w:p>
        </w:tc>
        <w:tc>
          <w:tcPr>
            <w:tcW w:w="596" w:type="pct"/>
            <w:tcBorders>
              <w:right w:val="single" w:color="auto" w:sz="12" w:space="0"/>
            </w:tcBorders>
            <w:shd w:val="clear" w:color="auto" w:fill="auto"/>
            <w:vAlign w:val="center"/>
          </w:tcPr>
          <w:p w14:paraId="1D5C1725">
            <w:pPr>
              <w:jc w:val="center"/>
              <w:rPr>
                <w:rFonts w:hint="eastAsia" w:ascii="宋体" w:hAnsi="宋体" w:eastAsia="宋体" w:cs="宋体"/>
                <w:sz w:val="21"/>
                <w:szCs w:val="21"/>
                <w:lang w:val="en-US" w:eastAsia="zh-CN" w:bidi="ar-SA"/>
              </w:rPr>
            </w:pPr>
            <w:r>
              <w:rPr>
                <w:rFonts w:hint="eastAsia" w:ascii="宋体" w:hAnsi="宋体" w:cs="宋体"/>
                <w:sz w:val="21"/>
                <w:szCs w:val="21"/>
              </w:rPr>
              <w:t>1</w:t>
            </w:r>
            <w:r>
              <w:rPr>
                <w:rFonts w:hint="eastAsia" w:ascii="宋体" w:hAnsi="宋体" w:cs="宋体"/>
                <w:sz w:val="21"/>
                <w:szCs w:val="21"/>
                <w:lang w:val="en-US" w:eastAsia="zh-CN"/>
              </w:rPr>
              <w:t>1</w:t>
            </w:r>
          </w:p>
        </w:tc>
        <w:tc>
          <w:tcPr>
            <w:tcW w:w="596" w:type="pct"/>
            <w:tcBorders>
              <w:right w:val="single" w:color="auto" w:sz="12" w:space="0"/>
            </w:tcBorders>
            <w:shd w:val="clear" w:color="auto" w:fill="auto"/>
            <w:vAlign w:val="center"/>
          </w:tcPr>
          <w:p w14:paraId="70F0B9FC">
            <w:pPr>
              <w:jc w:val="center"/>
              <w:rPr>
                <w:rFonts w:hint="eastAsia" w:ascii="宋体" w:hAnsi="宋体" w:eastAsia="宋体" w:cs="宋体"/>
                <w:sz w:val="21"/>
                <w:szCs w:val="21"/>
                <w:lang w:val="en-US" w:eastAsia="zh-CN" w:bidi="ar-SA"/>
              </w:rPr>
            </w:pPr>
            <w:r>
              <w:rPr>
                <w:rFonts w:hint="eastAsia" w:ascii="宋体" w:hAnsi="宋体" w:cs="宋体"/>
                <w:sz w:val="21"/>
                <w:szCs w:val="21"/>
              </w:rPr>
              <w:t>1</w:t>
            </w:r>
            <w:r>
              <w:rPr>
                <w:rFonts w:hint="eastAsia" w:ascii="宋体" w:hAnsi="宋体" w:cs="宋体"/>
                <w:sz w:val="21"/>
                <w:szCs w:val="21"/>
                <w:lang w:val="en-US" w:eastAsia="zh-CN"/>
              </w:rPr>
              <w:t>2</w:t>
            </w:r>
          </w:p>
        </w:tc>
        <w:tc>
          <w:tcPr>
            <w:tcW w:w="596" w:type="pct"/>
            <w:tcBorders>
              <w:right w:val="single" w:color="auto" w:sz="12" w:space="0"/>
            </w:tcBorders>
            <w:shd w:val="clear" w:color="auto" w:fill="auto"/>
            <w:vAlign w:val="center"/>
          </w:tcPr>
          <w:p w14:paraId="5E1BE6B1">
            <w:pPr>
              <w:jc w:val="center"/>
              <w:rPr>
                <w:rFonts w:hint="default" w:ascii="宋体" w:hAnsi="宋体" w:eastAsia="宋体" w:cs="宋体"/>
                <w:sz w:val="21"/>
                <w:szCs w:val="21"/>
                <w:lang w:val="en-US" w:eastAsia="zh-CN" w:bidi="ar-SA"/>
              </w:rPr>
            </w:pPr>
            <w:r>
              <w:rPr>
                <w:rFonts w:hint="eastAsia" w:ascii="宋体" w:hAnsi="宋体" w:cs="宋体"/>
                <w:sz w:val="21"/>
                <w:szCs w:val="21"/>
                <w:lang w:val="en-US" w:eastAsia="zh-CN"/>
              </w:rPr>
              <w:t>13</w:t>
            </w:r>
          </w:p>
        </w:tc>
      </w:tr>
      <w:tr w14:paraId="7AE98E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383" w:type="pct"/>
            <w:vMerge w:val="restart"/>
            <w:vAlign w:val="center"/>
          </w:tcPr>
          <w:p w14:paraId="676CABB7">
            <w:pPr>
              <w:jc w:val="center"/>
              <w:rPr>
                <w:rFonts w:ascii="宋体" w:hAnsi="宋体" w:cs="宋体"/>
                <w:sz w:val="21"/>
                <w:szCs w:val="21"/>
              </w:rPr>
            </w:pPr>
            <w:r>
              <w:rPr>
                <w:rFonts w:hint="eastAsia" w:ascii="宋体" w:hAnsi="宋体" w:cs="宋体"/>
                <w:sz w:val="21"/>
                <w:szCs w:val="21"/>
              </w:rPr>
              <w:t>生产</w:t>
            </w:r>
          </w:p>
          <w:p w14:paraId="4F046A6A">
            <w:pPr>
              <w:jc w:val="center"/>
              <w:rPr>
                <w:rFonts w:ascii="宋体" w:hAnsi="宋体" w:cs="宋体"/>
                <w:sz w:val="21"/>
                <w:szCs w:val="21"/>
              </w:rPr>
            </w:pPr>
            <w:r>
              <w:rPr>
                <w:rFonts w:hint="eastAsia" w:ascii="宋体" w:hAnsi="宋体" w:cs="宋体"/>
                <w:sz w:val="21"/>
                <w:szCs w:val="21"/>
              </w:rPr>
              <w:t>运营</w:t>
            </w:r>
          </w:p>
        </w:tc>
        <w:tc>
          <w:tcPr>
            <w:tcW w:w="276" w:type="pct"/>
            <w:vAlign w:val="center"/>
          </w:tcPr>
          <w:p w14:paraId="777343AA">
            <w:pPr>
              <w:jc w:val="center"/>
              <w:rPr>
                <w:rFonts w:ascii="宋体" w:hAnsi="宋体" w:cs="宋体"/>
                <w:sz w:val="21"/>
                <w:szCs w:val="21"/>
              </w:rPr>
            </w:pPr>
            <w:r>
              <w:rPr>
                <w:rFonts w:hint="eastAsia" w:ascii="宋体" w:hAnsi="宋体" w:cs="宋体"/>
                <w:sz w:val="21"/>
                <w:szCs w:val="21"/>
              </w:rPr>
              <w:t>5</w:t>
            </w:r>
          </w:p>
        </w:tc>
        <w:tc>
          <w:tcPr>
            <w:tcW w:w="762" w:type="pct"/>
            <w:vAlign w:val="center"/>
          </w:tcPr>
          <w:p w14:paraId="1BF7C4D3">
            <w:pPr>
              <w:jc w:val="center"/>
              <w:rPr>
                <w:rFonts w:ascii="宋体" w:hAnsi="宋体" w:cs="宋体"/>
                <w:sz w:val="21"/>
                <w:szCs w:val="21"/>
              </w:rPr>
            </w:pPr>
            <w:r>
              <w:rPr>
                <w:rFonts w:hint="eastAsia" w:ascii="宋体" w:hAnsi="宋体" w:cs="宋体"/>
                <w:sz w:val="21"/>
                <w:szCs w:val="21"/>
              </w:rPr>
              <w:t>进货批合格率（%）</w:t>
            </w:r>
          </w:p>
        </w:tc>
        <w:tc>
          <w:tcPr>
            <w:tcW w:w="596" w:type="pct"/>
            <w:shd w:val="clear" w:color="auto" w:fill="auto"/>
            <w:vAlign w:val="center"/>
          </w:tcPr>
          <w:p w14:paraId="0B469411">
            <w:pPr>
              <w:jc w:val="center"/>
              <w:rPr>
                <w:rFonts w:hint="eastAsia" w:ascii="宋体" w:hAnsi="宋体" w:eastAsia="宋体" w:cs="宋体"/>
                <w:sz w:val="21"/>
                <w:szCs w:val="21"/>
                <w:lang w:val="en-US" w:eastAsia="zh-CN" w:bidi="ar-SA"/>
              </w:rPr>
            </w:pPr>
            <w:r>
              <w:rPr>
                <w:rFonts w:hint="eastAsia" w:ascii="宋体" w:hAnsi="宋体" w:cs="宋体"/>
                <w:sz w:val="21"/>
                <w:szCs w:val="21"/>
              </w:rPr>
              <w:t>9</w:t>
            </w:r>
            <w:r>
              <w:rPr>
                <w:rFonts w:hint="eastAsia" w:ascii="宋体" w:hAnsi="宋体" w:cs="宋体"/>
                <w:sz w:val="21"/>
                <w:szCs w:val="21"/>
                <w:lang w:val="en-US" w:eastAsia="zh-CN"/>
              </w:rPr>
              <w:t>8</w:t>
            </w:r>
          </w:p>
        </w:tc>
        <w:tc>
          <w:tcPr>
            <w:tcW w:w="596" w:type="pct"/>
            <w:shd w:val="clear" w:color="auto" w:fill="auto"/>
            <w:vAlign w:val="center"/>
          </w:tcPr>
          <w:p w14:paraId="2DAB199B">
            <w:pPr>
              <w:jc w:val="center"/>
              <w:rPr>
                <w:rFonts w:hint="eastAsia" w:ascii="宋体" w:hAnsi="宋体" w:eastAsia="宋体" w:cs="宋体"/>
                <w:sz w:val="21"/>
                <w:szCs w:val="21"/>
                <w:lang w:val="en-US" w:eastAsia="zh-CN" w:bidi="ar-SA"/>
              </w:rPr>
            </w:pPr>
            <w:r>
              <w:rPr>
                <w:rFonts w:hint="eastAsia" w:ascii="宋体" w:hAnsi="宋体" w:cs="宋体"/>
                <w:sz w:val="21"/>
                <w:szCs w:val="21"/>
              </w:rPr>
              <w:t>9</w:t>
            </w:r>
            <w:r>
              <w:rPr>
                <w:rFonts w:hint="eastAsia" w:ascii="宋体" w:hAnsi="宋体" w:cs="宋体"/>
                <w:sz w:val="21"/>
                <w:szCs w:val="21"/>
                <w:lang w:val="en-US" w:eastAsia="zh-CN"/>
              </w:rPr>
              <w:t>9</w:t>
            </w:r>
          </w:p>
        </w:tc>
        <w:tc>
          <w:tcPr>
            <w:tcW w:w="596" w:type="pct"/>
            <w:shd w:val="clear" w:color="auto" w:fill="auto"/>
            <w:vAlign w:val="center"/>
          </w:tcPr>
          <w:p w14:paraId="18022973">
            <w:pPr>
              <w:jc w:val="center"/>
              <w:rPr>
                <w:rFonts w:hint="eastAsia" w:ascii="宋体" w:hAnsi="宋体" w:eastAsia="宋体" w:cs="宋体"/>
                <w:sz w:val="21"/>
                <w:szCs w:val="21"/>
                <w:lang w:val="en-US" w:eastAsia="zh-CN" w:bidi="ar-SA"/>
              </w:rPr>
            </w:pPr>
            <w:r>
              <w:rPr>
                <w:rFonts w:hint="eastAsia" w:ascii="宋体" w:hAnsi="宋体" w:cs="宋体"/>
                <w:sz w:val="21"/>
                <w:szCs w:val="21"/>
              </w:rPr>
              <w:t>9</w:t>
            </w:r>
            <w:r>
              <w:rPr>
                <w:rFonts w:hint="eastAsia" w:ascii="宋体" w:hAnsi="宋体" w:cs="宋体"/>
                <w:sz w:val="21"/>
                <w:szCs w:val="21"/>
                <w:lang w:val="en-US" w:eastAsia="zh-CN"/>
              </w:rPr>
              <w:t>9</w:t>
            </w:r>
          </w:p>
        </w:tc>
        <w:tc>
          <w:tcPr>
            <w:tcW w:w="596" w:type="pct"/>
            <w:tcBorders>
              <w:right w:val="single" w:color="auto" w:sz="12" w:space="0"/>
            </w:tcBorders>
            <w:shd w:val="clear" w:color="auto" w:fill="auto"/>
            <w:vAlign w:val="center"/>
          </w:tcPr>
          <w:p w14:paraId="25FCE7F6">
            <w:pPr>
              <w:jc w:val="center"/>
              <w:rPr>
                <w:rFonts w:ascii="宋体" w:hAnsi="宋体" w:eastAsia="宋体" w:cs="宋体"/>
                <w:sz w:val="21"/>
                <w:szCs w:val="21"/>
                <w:lang w:val="en-US" w:eastAsia="zh-CN" w:bidi="ar-SA"/>
              </w:rPr>
            </w:pPr>
            <w:r>
              <w:rPr>
                <w:rFonts w:hint="eastAsia" w:ascii="宋体" w:hAnsi="宋体" w:cs="宋体"/>
                <w:sz w:val="21"/>
                <w:szCs w:val="21"/>
              </w:rPr>
              <w:t>99</w:t>
            </w:r>
          </w:p>
        </w:tc>
        <w:tc>
          <w:tcPr>
            <w:tcW w:w="596" w:type="pct"/>
            <w:tcBorders>
              <w:right w:val="single" w:color="auto" w:sz="12" w:space="0"/>
            </w:tcBorders>
            <w:shd w:val="clear" w:color="auto" w:fill="auto"/>
            <w:vAlign w:val="center"/>
          </w:tcPr>
          <w:p w14:paraId="725B9145">
            <w:pPr>
              <w:jc w:val="center"/>
              <w:rPr>
                <w:rFonts w:ascii="宋体" w:hAnsi="宋体" w:eastAsia="宋体" w:cs="宋体"/>
                <w:sz w:val="21"/>
                <w:szCs w:val="21"/>
                <w:lang w:val="en-US" w:eastAsia="zh-CN" w:bidi="ar-SA"/>
              </w:rPr>
            </w:pPr>
            <w:r>
              <w:rPr>
                <w:rFonts w:hint="eastAsia" w:ascii="宋体" w:hAnsi="宋体" w:cs="宋体"/>
                <w:sz w:val="21"/>
                <w:szCs w:val="21"/>
              </w:rPr>
              <w:t>99</w:t>
            </w:r>
          </w:p>
        </w:tc>
        <w:tc>
          <w:tcPr>
            <w:tcW w:w="596" w:type="pct"/>
            <w:tcBorders>
              <w:right w:val="single" w:color="auto" w:sz="12" w:space="0"/>
            </w:tcBorders>
            <w:shd w:val="clear" w:color="auto" w:fill="auto"/>
            <w:vAlign w:val="center"/>
          </w:tcPr>
          <w:p w14:paraId="3DE0FA27">
            <w:pPr>
              <w:jc w:val="center"/>
              <w:rPr>
                <w:rFonts w:hint="default" w:ascii="宋体" w:hAnsi="宋体" w:eastAsia="宋体" w:cs="宋体"/>
                <w:sz w:val="21"/>
                <w:szCs w:val="21"/>
                <w:lang w:val="en-US" w:eastAsia="zh-CN" w:bidi="ar-SA"/>
              </w:rPr>
            </w:pPr>
            <w:r>
              <w:rPr>
                <w:rFonts w:hint="eastAsia" w:ascii="宋体" w:hAnsi="宋体" w:cs="宋体"/>
                <w:sz w:val="21"/>
                <w:szCs w:val="21"/>
                <w:lang w:val="en-US" w:eastAsia="zh-CN"/>
              </w:rPr>
              <w:t>99</w:t>
            </w:r>
          </w:p>
        </w:tc>
      </w:tr>
      <w:tr w14:paraId="06353D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383" w:type="pct"/>
            <w:vMerge w:val="continue"/>
            <w:vAlign w:val="center"/>
          </w:tcPr>
          <w:p w14:paraId="6D0100CF">
            <w:pPr>
              <w:jc w:val="center"/>
              <w:rPr>
                <w:rFonts w:ascii="宋体" w:hAnsi="宋体" w:cs="宋体"/>
                <w:sz w:val="21"/>
                <w:szCs w:val="21"/>
              </w:rPr>
            </w:pPr>
          </w:p>
        </w:tc>
        <w:tc>
          <w:tcPr>
            <w:tcW w:w="276" w:type="pct"/>
            <w:vAlign w:val="center"/>
          </w:tcPr>
          <w:p w14:paraId="5A88EDB9">
            <w:pPr>
              <w:jc w:val="center"/>
              <w:rPr>
                <w:rFonts w:ascii="宋体" w:hAnsi="宋体" w:cs="宋体"/>
                <w:sz w:val="21"/>
                <w:szCs w:val="21"/>
              </w:rPr>
            </w:pPr>
            <w:r>
              <w:rPr>
                <w:rFonts w:hint="eastAsia" w:ascii="宋体" w:hAnsi="宋体" w:cs="宋体"/>
                <w:sz w:val="21"/>
                <w:szCs w:val="21"/>
              </w:rPr>
              <w:t>6</w:t>
            </w:r>
          </w:p>
        </w:tc>
        <w:tc>
          <w:tcPr>
            <w:tcW w:w="762" w:type="pct"/>
            <w:vAlign w:val="center"/>
          </w:tcPr>
          <w:p w14:paraId="5214BB08">
            <w:pPr>
              <w:jc w:val="center"/>
              <w:rPr>
                <w:rFonts w:ascii="宋体" w:hAnsi="宋体" w:cs="宋体"/>
                <w:sz w:val="21"/>
                <w:szCs w:val="21"/>
              </w:rPr>
            </w:pPr>
            <w:r>
              <w:rPr>
                <w:rFonts w:hint="eastAsia" w:ascii="宋体" w:hAnsi="宋体" w:cs="宋体"/>
                <w:sz w:val="21"/>
                <w:szCs w:val="21"/>
              </w:rPr>
              <w:t>设备完好率（%）</w:t>
            </w:r>
          </w:p>
        </w:tc>
        <w:tc>
          <w:tcPr>
            <w:tcW w:w="596" w:type="pct"/>
            <w:shd w:val="clear" w:color="auto" w:fill="auto"/>
            <w:vAlign w:val="center"/>
          </w:tcPr>
          <w:p w14:paraId="0058002C">
            <w:pPr>
              <w:jc w:val="center"/>
              <w:rPr>
                <w:rFonts w:hint="eastAsia" w:ascii="宋体" w:hAnsi="宋体" w:eastAsia="宋体" w:cs="宋体"/>
                <w:sz w:val="21"/>
                <w:szCs w:val="21"/>
                <w:lang w:val="en-US" w:eastAsia="zh-CN" w:bidi="ar-SA"/>
              </w:rPr>
            </w:pPr>
            <w:r>
              <w:rPr>
                <w:rFonts w:hint="eastAsia" w:ascii="宋体" w:hAnsi="宋体" w:cs="宋体"/>
                <w:sz w:val="21"/>
                <w:szCs w:val="21"/>
              </w:rPr>
              <w:t>9</w:t>
            </w:r>
            <w:r>
              <w:rPr>
                <w:rFonts w:hint="eastAsia" w:ascii="宋体" w:hAnsi="宋体" w:cs="宋体"/>
                <w:sz w:val="21"/>
                <w:szCs w:val="21"/>
                <w:lang w:val="en-US" w:eastAsia="zh-CN"/>
              </w:rPr>
              <w:t>9</w:t>
            </w:r>
          </w:p>
        </w:tc>
        <w:tc>
          <w:tcPr>
            <w:tcW w:w="596" w:type="pct"/>
            <w:shd w:val="clear" w:color="auto" w:fill="auto"/>
            <w:vAlign w:val="center"/>
          </w:tcPr>
          <w:p w14:paraId="4B0B386E">
            <w:pPr>
              <w:jc w:val="center"/>
              <w:rPr>
                <w:rFonts w:hint="eastAsia" w:ascii="宋体" w:hAnsi="宋体" w:eastAsia="宋体" w:cs="宋体"/>
                <w:sz w:val="21"/>
                <w:szCs w:val="21"/>
                <w:lang w:val="en-US" w:eastAsia="zh-CN" w:bidi="ar-SA"/>
              </w:rPr>
            </w:pPr>
            <w:r>
              <w:rPr>
                <w:rFonts w:hint="eastAsia" w:ascii="宋体" w:hAnsi="宋体" w:cs="宋体"/>
                <w:sz w:val="21"/>
                <w:szCs w:val="21"/>
              </w:rPr>
              <w:t>9</w:t>
            </w:r>
            <w:r>
              <w:rPr>
                <w:rFonts w:hint="eastAsia" w:ascii="宋体" w:hAnsi="宋体" w:cs="宋体"/>
                <w:sz w:val="21"/>
                <w:szCs w:val="21"/>
                <w:lang w:val="en-US" w:eastAsia="zh-CN"/>
              </w:rPr>
              <w:t>9</w:t>
            </w:r>
          </w:p>
        </w:tc>
        <w:tc>
          <w:tcPr>
            <w:tcW w:w="596" w:type="pct"/>
            <w:shd w:val="clear" w:color="auto" w:fill="auto"/>
            <w:vAlign w:val="center"/>
          </w:tcPr>
          <w:p w14:paraId="0880A065">
            <w:pPr>
              <w:jc w:val="center"/>
              <w:rPr>
                <w:rFonts w:hint="eastAsia" w:ascii="宋体" w:hAnsi="宋体" w:eastAsia="宋体" w:cs="宋体"/>
                <w:sz w:val="21"/>
                <w:szCs w:val="21"/>
                <w:lang w:val="en-US" w:eastAsia="zh-CN" w:bidi="ar-SA"/>
              </w:rPr>
            </w:pPr>
            <w:r>
              <w:rPr>
                <w:rFonts w:hint="eastAsia" w:ascii="宋体" w:hAnsi="宋体" w:cs="宋体"/>
                <w:sz w:val="21"/>
                <w:szCs w:val="21"/>
              </w:rPr>
              <w:t>9</w:t>
            </w:r>
            <w:r>
              <w:rPr>
                <w:rFonts w:hint="eastAsia" w:ascii="宋体" w:hAnsi="宋体" w:cs="宋体"/>
                <w:sz w:val="21"/>
                <w:szCs w:val="21"/>
                <w:lang w:val="en-US" w:eastAsia="zh-CN"/>
              </w:rPr>
              <w:t>9</w:t>
            </w:r>
          </w:p>
        </w:tc>
        <w:tc>
          <w:tcPr>
            <w:tcW w:w="596" w:type="pct"/>
            <w:tcBorders>
              <w:right w:val="single" w:color="auto" w:sz="12" w:space="0"/>
            </w:tcBorders>
            <w:shd w:val="clear" w:color="auto" w:fill="auto"/>
            <w:vAlign w:val="center"/>
          </w:tcPr>
          <w:p w14:paraId="4995E8AE">
            <w:pPr>
              <w:jc w:val="center"/>
              <w:rPr>
                <w:rFonts w:ascii="宋体" w:hAnsi="宋体" w:eastAsia="宋体" w:cs="宋体"/>
                <w:sz w:val="21"/>
                <w:szCs w:val="21"/>
                <w:lang w:val="en-US" w:eastAsia="zh-CN" w:bidi="ar-SA"/>
              </w:rPr>
            </w:pPr>
            <w:r>
              <w:rPr>
                <w:rFonts w:hint="eastAsia" w:ascii="宋体" w:hAnsi="宋体" w:cs="宋体"/>
                <w:sz w:val="21"/>
                <w:szCs w:val="21"/>
              </w:rPr>
              <w:t>99</w:t>
            </w:r>
          </w:p>
        </w:tc>
        <w:tc>
          <w:tcPr>
            <w:tcW w:w="596" w:type="pct"/>
            <w:tcBorders>
              <w:right w:val="single" w:color="auto" w:sz="12" w:space="0"/>
            </w:tcBorders>
            <w:shd w:val="clear" w:color="auto" w:fill="auto"/>
            <w:vAlign w:val="center"/>
          </w:tcPr>
          <w:p w14:paraId="170C3893">
            <w:pPr>
              <w:jc w:val="center"/>
              <w:rPr>
                <w:rFonts w:ascii="宋体" w:hAnsi="宋体" w:eastAsia="宋体" w:cs="宋体"/>
                <w:sz w:val="21"/>
                <w:szCs w:val="21"/>
                <w:lang w:val="en-US" w:eastAsia="zh-CN" w:bidi="ar-SA"/>
              </w:rPr>
            </w:pPr>
            <w:r>
              <w:rPr>
                <w:rFonts w:hint="eastAsia" w:ascii="宋体" w:hAnsi="宋体" w:cs="宋体"/>
                <w:sz w:val="21"/>
                <w:szCs w:val="21"/>
              </w:rPr>
              <w:t>99</w:t>
            </w:r>
          </w:p>
        </w:tc>
        <w:tc>
          <w:tcPr>
            <w:tcW w:w="596" w:type="pct"/>
            <w:tcBorders>
              <w:right w:val="single" w:color="auto" w:sz="12" w:space="0"/>
            </w:tcBorders>
            <w:shd w:val="clear" w:color="auto" w:fill="auto"/>
            <w:vAlign w:val="center"/>
          </w:tcPr>
          <w:p w14:paraId="4AE31F51">
            <w:pPr>
              <w:jc w:val="center"/>
              <w:rPr>
                <w:rFonts w:hint="default" w:ascii="宋体" w:hAnsi="宋体" w:eastAsia="宋体" w:cs="宋体"/>
                <w:sz w:val="21"/>
                <w:szCs w:val="21"/>
                <w:lang w:val="en-US" w:eastAsia="zh-CN" w:bidi="ar-SA"/>
              </w:rPr>
            </w:pPr>
            <w:r>
              <w:rPr>
                <w:rFonts w:hint="eastAsia" w:ascii="宋体" w:hAnsi="宋体" w:cs="宋体"/>
                <w:sz w:val="21"/>
                <w:szCs w:val="21"/>
                <w:lang w:val="en-US" w:eastAsia="zh-CN"/>
              </w:rPr>
              <w:t>99</w:t>
            </w:r>
          </w:p>
        </w:tc>
      </w:tr>
      <w:tr w14:paraId="74B82B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383" w:type="pct"/>
            <w:vMerge w:val="continue"/>
            <w:vAlign w:val="center"/>
          </w:tcPr>
          <w:p w14:paraId="43962662">
            <w:pPr>
              <w:jc w:val="center"/>
              <w:rPr>
                <w:rFonts w:ascii="宋体" w:hAnsi="宋体" w:cs="宋体"/>
                <w:sz w:val="21"/>
                <w:szCs w:val="21"/>
              </w:rPr>
            </w:pPr>
          </w:p>
        </w:tc>
        <w:tc>
          <w:tcPr>
            <w:tcW w:w="276" w:type="pct"/>
            <w:vAlign w:val="center"/>
          </w:tcPr>
          <w:p w14:paraId="724B63A7">
            <w:pPr>
              <w:jc w:val="center"/>
              <w:rPr>
                <w:rFonts w:ascii="宋体" w:hAnsi="宋体" w:cs="宋体"/>
                <w:sz w:val="21"/>
                <w:szCs w:val="21"/>
              </w:rPr>
            </w:pPr>
            <w:r>
              <w:rPr>
                <w:rFonts w:hint="eastAsia" w:ascii="宋体" w:hAnsi="宋体" w:cs="宋体"/>
                <w:sz w:val="21"/>
                <w:szCs w:val="21"/>
              </w:rPr>
              <w:t>7</w:t>
            </w:r>
          </w:p>
        </w:tc>
        <w:tc>
          <w:tcPr>
            <w:tcW w:w="762" w:type="pct"/>
            <w:vAlign w:val="center"/>
          </w:tcPr>
          <w:p w14:paraId="513AE6A4">
            <w:pPr>
              <w:jc w:val="center"/>
              <w:rPr>
                <w:rFonts w:ascii="宋体" w:hAnsi="宋体" w:cs="宋体"/>
                <w:sz w:val="21"/>
                <w:szCs w:val="21"/>
              </w:rPr>
            </w:pPr>
            <w:r>
              <w:rPr>
                <w:rFonts w:hint="eastAsia" w:ascii="宋体" w:hAnsi="宋体" w:cs="宋体"/>
                <w:sz w:val="21"/>
                <w:szCs w:val="21"/>
              </w:rPr>
              <w:t>产品合格率（%）</w:t>
            </w:r>
          </w:p>
        </w:tc>
        <w:tc>
          <w:tcPr>
            <w:tcW w:w="596" w:type="pct"/>
            <w:shd w:val="clear" w:color="auto" w:fill="auto"/>
            <w:vAlign w:val="center"/>
          </w:tcPr>
          <w:p w14:paraId="5BAF0DD9">
            <w:pPr>
              <w:jc w:val="center"/>
              <w:rPr>
                <w:rFonts w:ascii="宋体" w:hAnsi="宋体" w:eastAsia="宋体" w:cs="宋体"/>
                <w:sz w:val="21"/>
                <w:szCs w:val="21"/>
                <w:lang w:val="en-US" w:eastAsia="zh-CN" w:bidi="ar-SA"/>
              </w:rPr>
            </w:pPr>
            <w:r>
              <w:rPr>
                <w:rFonts w:hint="eastAsia" w:ascii="宋体" w:hAnsi="宋体" w:cs="宋体"/>
                <w:sz w:val="21"/>
                <w:szCs w:val="21"/>
              </w:rPr>
              <w:t>98</w:t>
            </w:r>
          </w:p>
        </w:tc>
        <w:tc>
          <w:tcPr>
            <w:tcW w:w="596" w:type="pct"/>
            <w:shd w:val="clear" w:color="auto" w:fill="auto"/>
            <w:vAlign w:val="center"/>
          </w:tcPr>
          <w:p w14:paraId="65B329BA">
            <w:pPr>
              <w:jc w:val="center"/>
              <w:rPr>
                <w:rFonts w:ascii="宋体" w:hAnsi="宋体" w:eastAsia="宋体" w:cs="宋体"/>
                <w:sz w:val="21"/>
                <w:szCs w:val="21"/>
                <w:lang w:val="en-US" w:eastAsia="zh-CN" w:bidi="ar-SA"/>
              </w:rPr>
            </w:pPr>
            <w:r>
              <w:rPr>
                <w:rFonts w:hint="eastAsia" w:ascii="宋体" w:hAnsi="宋体" w:cs="宋体"/>
                <w:sz w:val="21"/>
                <w:szCs w:val="21"/>
              </w:rPr>
              <w:t>98.5</w:t>
            </w:r>
          </w:p>
        </w:tc>
        <w:tc>
          <w:tcPr>
            <w:tcW w:w="596" w:type="pct"/>
            <w:shd w:val="clear" w:color="auto" w:fill="auto"/>
            <w:vAlign w:val="center"/>
          </w:tcPr>
          <w:p w14:paraId="2554B3FE">
            <w:pPr>
              <w:jc w:val="center"/>
              <w:rPr>
                <w:rFonts w:ascii="宋体" w:hAnsi="宋体" w:eastAsia="宋体" w:cs="宋体"/>
                <w:sz w:val="21"/>
                <w:szCs w:val="21"/>
                <w:lang w:val="en-US" w:eastAsia="zh-CN" w:bidi="ar-SA"/>
              </w:rPr>
            </w:pPr>
            <w:r>
              <w:rPr>
                <w:rFonts w:hint="eastAsia" w:ascii="宋体" w:hAnsi="宋体" w:cs="宋体"/>
                <w:sz w:val="21"/>
                <w:szCs w:val="21"/>
              </w:rPr>
              <w:t>99</w:t>
            </w:r>
          </w:p>
        </w:tc>
        <w:tc>
          <w:tcPr>
            <w:tcW w:w="596" w:type="pct"/>
            <w:tcBorders>
              <w:right w:val="single" w:color="auto" w:sz="12" w:space="0"/>
            </w:tcBorders>
            <w:shd w:val="clear" w:color="auto" w:fill="auto"/>
            <w:vAlign w:val="center"/>
          </w:tcPr>
          <w:p w14:paraId="3D89CE92">
            <w:pPr>
              <w:jc w:val="center"/>
              <w:rPr>
                <w:rFonts w:ascii="宋体" w:hAnsi="宋体" w:eastAsia="宋体" w:cs="宋体"/>
                <w:sz w:val="21"/>
                <w:szCs w:val="21"/>
                <w:lang w:val="en-US" w:eastAsia="zh-CN" w:bidi="ar-SA"/>
              </w:rPr>
            </w:pPr>
            <w:r>
              <w:rPr>
                <w:rFonts w:hint="eastAsia" w:ascii="宋体" w:hAnsi="宋体" w:cs="宋体"/>
                <w:sz w:val="21"/>
                <w:szCs w:val="21"/>
              </w:rPr>
              <w:t>99</w:t>
            </w:r>
          </w:p>
        </w:tc>
        <w:tc>
          <w:tcPr>
            <w:tcW w:w="596" w:type="pct"/>
            <w:tcBorders>
              <w:right w:val="single" w:color="auto" w:sz="12" w:space="0"/>
            </w:tcBorders>
            <w:shd w:val="clear" w:color="auto" w:fill="auto"/>
            <w:vAlign w:val="center"/>
          </w:tcPr>
          <w:p w14:paraId="6AC692D3">
            <w:pPr>
              <w:jc w:val="center"/>
              <w:rPr>
                <w:rFonts w:ascii="宋体" w:hAnsi="宋体" w:eastAsia="宋体" w:cs="宋体"/>
                <w:sz w:val="21"/>
                <w:szCs w:val="21"/>
                <w:lang w:val="en-US" w:eastAsia="zh-CN" w:bidi="ar-SA"/>
              </w:rPr>
            </w:pPr>
            <w:r>
              <w:rPr>
                <w:rFonts w:hint="eastAsia" w:ascii="宋体" w:hAnsi="宋体" w:cs="宋体"/>
                <w:sz w:val="21"/>
                <w:szCs w:val="21"/>
              </w:rPr>
              <w:t>99</w:t>
            </w:r>
          </w:p>
        </w:tc>
        <w:tc>
          <w:tcPr>
            <w:tcW w:w="596" w:type="pct"/>
            <w:tcBorders>
              <w:right w:val="single" w:color="auto" w:sz="12" w:space="0"/>
            </w:tcBorders>
            <w:shd w:val="clear" w:color="auto" w:fill="auto"/>
            <w:vAlign w:val="center"/>
          </w:tcPr>
          <w:p w14:paraId="5EFB960C">
            <w:pPr>
              <w:jc w:val="center"/>
              <w:rPr>
                <w:rFonts w:hint="default" w:ascii="宋体" w:hAnsi="宋体" w:eastAsia="宋体" w:cs="宋体"/>
                <w:sz w:val="21"/>
                <w:szCs w:val="21"/>
                <w:lang w:val="en-US" w:eastAsia="zh-CN" w:bidi="ar-SA"/>
              </w:rPr>
            </w:pPr>
            <w:r>
              <w:rPr>
                <w:rFonts w:hint="eastAsia" w:ascii="宋体" w:hAnsi="宋体" w:cs="宋体"/>
                <w:sz w:val="21"/>
                <w:szCs w:val="21"/>
                <w:lang w:val="en-US" w:eastAsia="zh-CN"/>
              </w:rPr>
              <w:t>99</w:t>
            </w:r>
          </w:p>
        </w:tc>
      </w:tr>
      <w:tr w14:paraId="20A5A2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383" w:type="pct"/>
            <w:vMerge w:val="restart"/>
            <w:vAlign w:val="center"/>
          </w:tcPr>
          <w:p w14:paraId="5870FD44">
            <w:pPr>
              <w:jc w:val="center"/>
              <w:rPr>
                <w:rFonts w:ascii="宋体" w:hAnsi="宋体" w:cs="宋体"/>
                <w:sz w:val="21"/>
                <w:szCs w:val="21"/>
              </w:rPr>
            </w:pPr>
            <w:r>
              <w:rPr>
                <w:rFonts w:hint="eastAsia" w:ascii="宋体" w:hAnsi="宋体" w:cs="宋体"/>
                <w:sz w:val="21"/>
                <w:szCs w:val="21"/>
              </w:rPr>
              <w:t>以人</w:t>
            </w:r>
          </w:p>
          <w:p w14:paraId="01B0FD23">
            <w:pPr>
              <w:jc w:val="center"/>
              <w:rPr>
                <w:rFonts w:ascii="宋体" w:hAnsi="宋体" w:cs="宋体"/>
                <w:sz w:val="21"/>
                <w:szCs w:val="21"/>
              </w:rPr>
            </w:pPr>
            <w:r>
              <w:rPr>
                <w:rFonts w:hint="eastAsia" w:ascii="宋体" w:hAnsi="宋体" w:cs="宋体"/>
                <w:sz w:val="21"/>
                <w:szCs w:val="21"/>
              </w:rPr>
              <w:t>为本</w:t>
            </w:r>
          </w:p>
        </w:tc>
        <w:tc>
          <w:tcPr>
            <w:tcW w:w="276" w:type="pct"/>
            <w:vAlign w:val="center"/>
          </w:tcPr>
          <w:p w14:paraId="7DEBDC9C">
            <w:pPr>
              <w:jc w:val="center"/>
              <w:rPr>
                <w:rFonts w:ascii="宋体" w:hAnsi="宋体" w:cs="宋体"/>
                <w:sz w:val="21"/>
                <w:szCs w:val="21"/>
              </w:rPr>
            </w:pPr>
            <w:r>
              <w:rPr>
                <w:rFonts w:hint="eastAsia" w:ascii="宋体" w:hAnsi="宋体" w:cs="宋体"/>
                <w:sz w:val="21"/>
                <w:szCs w:val="21"/>
              </w:rPr>
              <w:t>8</w:t>
            </w:r>
          </w:p>
        </w:tc>
        <w:tc>
          <w:tcPr>
            <w:tcW w:w="762" w:type="pct"/>
            <w:vAlign w:val="center"/>
          </w:tcPr>
          <w:p w14:paraId="5C7B5604">
            <w:pPr>
              <w:jc w:val="center"/>
              <w:rPr>
                <w:rFonts w:ascii="宋体" w:hAnsi="宋体" w:cs="宋体"/>
                <w:sz w:val="21"/>
                <w:szCs w:val="21"/>
              </w:rPr>
            </w:pPr>
            <w:r>
              <w:rPr>
                <w:rFonts w:hint="eastAsia" w:ascii="宋体" w:hAnsi="宋体" w:cs="宋体"/>
                <w:sz w:val="21"/>
                <w:szCs w:val="21"/>
              </w:rPr>
              <w:t>员工满意度（%）</w:t>
            </w:r>
          </w:p>
        </w:tc>
        <w:tc>
          <w:tcPr>
            <w:tcW w:w="596" w:type="pct"/>
            <w:shd w:val="clear" w:color="auto" w:fill="auto"/>
            <w:vAlign w:val="center"/>
          </w:tcPr>
          <w:p w14:paraId="029FC647">
            <w:pPr>
              <w:jc w:val="center"/>
              <w:rPr>
                <w:rFonts w:hint="default" w:ascii="宋体" w:hAnsi="宋体" w:eastAsia="宋体" w:cs="宋体"/>
                <w:sz w:val="21"/>
                <w:szCs w:val="21"/>
                <w:lang w:val="en-US" w:eastAsia="zh-CN" w:bidi="ar-SA"/>
              </w:rPr>
            </w:pPr>
            <w:r>
              <w:rPr>
                <w:rFonts w:hint="eastAsia" w:ascii="宋体" w:hAnsi="宋体" w:cs="宋体"/>
                <w:sz w:val="21"/>
                <w:szCs w:val="21"/>
                <w:lang w:val="en-US" w:eastAsia="zh-CN"/>
              </w:rPr>
              <w:t>100</w:t>
            </w:r>
          </w:p>
        </w:tc>
        <w:tc>
          <w:tcPr>
            <w:tcW w:w="596" w:type="pct"/>
            <w:shd w:val="clear" w:color="auto" w:fill="auto"/>
            <w:vAlign w:val="center"/>
          </w:tcPr>
          <w:p w14:paraId="468637B5">
            <w:pPr>
              <w:jc w:val="center"/>
              <w:rPr>
                <w:rFonts w:ascii="宋体" w:hAnsi="宋体" w:eastAsia="宋体" w:cs="宋体"/>
                <w:sz w:val="21"/>
                <w:szCs w:val="21"/>
                <w:lang w:val="en-US" w:eastAsia="zh-CN" w:bidi="ar-SA"/>
              </w:rPr>
            </w:pPr>
            <w:r>
              <w:rPr>
                <w:rFonts w:hint="eastAsia" w:ascii="宋体" w:hAnsi="宋体" w:cs="宋体"/>
                <w:sz w:val="21"/>
                <w:szCs w:val="21"/>
              </w:rPr>
              <w:t>99</w:t>
            </w:r>
          </w:p>
        </w:tc>
        <w:tc>
          <w:tcPr>
            <w:tcW w:w="596" w:type="pct"/>
            <w:shd w:val="clear" w:color="auto" w:fill="auto"/>
            <w:vAlign w:val="center"/>
          </w:tcPr>
          <w:p w14:paraId="2613F127">
            <w:pPr>
              <w:jc w:val="center"/>
              <w:rPr>
                <w:rFonts w:ascii="宋体" w:hAnsi="宋体" w:eastAsia="宋体" w:cs="宋体"/>
                <w:sz w:val="21"/>
                <w:szCs w:val="21"/>
                <w:lang w:val="en-US" w:eastAsia="zh-CN" w:bidi="ar-SA"/>
              </w:rPr>
            </w:pPr>
            <w:r>
              <w:rPr>
                <w:rFonts w:hint="eastAsia" w:ascii="宋体" w:hAnsi="宋体" w:cs="宋体"/>
                <w:sz w:val="21"/>
                <w:szCs w:val="21"/>
              </w:rPr>
              <w:t>99</w:t>
            </w:r>
          </w:p>
        </w:tc>
        <w:tc>
          <w:tcPr>
            <w:tcW w:w="596" w:type="pct"/>
            <w:tcBorders>
              <w:right w:val="single" w:color="auto" w:sz="12" w:space="0"/>
            </w:tcBorders>
            <w:shd w:val="clear" w:color="auto" w:fill="auto"/>
            <w:vAlign w:val="center"/>
          </w:tcPr>
          <w:p w14:paraId="661719D7">
            <w:pPr>
              <w:jc w:val="center"/>
              <w:rPr>
                <w:rFonts w:ascii="宋体" w:hAnsi="宋体" w:eastAsia="宋体" w:cs="宋体"/>
                <w:sz w:val="21"/>
                <w:szCs w:val="21"/>
                <w:lang w:val="en-US" w:eastAsia="zh-CN" w:bidi="ar-SA"/>
              </w:rPr>
            </w:pPr>
            <w:r>
              <w:rPr>
                <w:rFonts w:hint="eastAsia" w:ascii="宋体" w:hAnsi="宋体" w:cs="宋体"/>
                <w:sz w:val="21"/>
                <w:szCs w:val="21"/>
              </w:rPr>
              <w:t>99</w:t>
            </w:r>
          </w:p>
        </w:tc>
        <w:tc>
          <w:tcPr>
            <w:tcW w:w="596" w:type="pct"/>
            <w:tcBorders>
              <w:right w:val="single" w:color="auto" w:sz="12" w:space="0"/>
            </w:tcBorders>
            <w:shd w:val="clear" w:color="auto" w:fill="auto"/>
            <w:vAlign w:val="center"/>
          </w:tcPr>
          <w:p w14:paraId="1F47418C">
            <w:pPr>
              <w:jc w:val="center"/>
              <w:rPr>
                <w:rFonts w:ascii="宋体" w:hAnsi="宋体" w:eastAsia="宋体" w:cs="宋体"/>
                <w:sz w:val="21"/>
                <w:szCs w:val="21"/>
                <w:lang w:val="en-US" w:eastAsia="zh-CN" w:bidi="ar-SA"/>
              </w:rPr>
            </w:pPr>
            <w:r>
              <w:rPr>
                <w:rFonts w:hint="eastAsia" w:ascii="宋体" w:hAnsi="宋体" w:cs="宋体"/>
                <w:sz w:val="21"/>
                <w:szCs w:val="21"/>
              </w:rPr>
              <w:t>99</w:t>
            </w:r>
          </w:p>
        </w:tc>
        <w:tc>
          <w:tcPr>
            <w:tcW w:w="596" w:type="pct"/>
            <w:tcBorders>
              <w:right w:val="single" w:color="auto" w:sz="12" w:space="0"/>
            </w:tcBorders>
            <w:shd w:val="clear" w:color="auto" w:fill="auto"/>
            <w:vAlign w:val="center"/>
          </w:tcPr>
          <w:p w14:paraId="0BAA55AE">
            <w:pPr>
              <w:jc w:val="center"/>
              <w:rPr>
                <w:rFonts w:hint="default" w:ascii="宋体" w:hAnsi="宋体" w:eastAsia="宋体" w:cs="宋体"/>
                <w:sz w:val="21"/>
                <w:szCs w:val="21"/>
                <w:lang w:val="en-US" w:eastAsia="zh-CN" w:bidi="ar-SA"/>
              </w:rPr>
            </w:pPr>
            <w:r>
              <w:rPr>
                <w:rFonts w:hint="eastAsia" w:ascii="宋体" w:hAnsi="宋体" w:cs="宋体"/>
                <w:sz w:val="21"/>
                <w:szCs w:val="21"/>
                <w:lang w:val="en-US" w:eastAsia="zh-CN"/>
              </w:rPr>
              <w:t>99</w:t>
            </w:r>
          </w:p>
        </w:tc>
      </w:tr>
      <w:tr w14:paraId="35DB2A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383" w:type="pct"/>
            <w:vMerge w:val="continue"/>
            <w:vAlign w:val="center"/>
          </w:tcPr>
          <w:p w14:paraId="0D474650">
            <w:pPr>
              <w:jc w:val="center"/>
              <w:rPr>
                <w:rFonts w:ascii="宋体" w:hAnsi="宋体" w:cs="宋体"/>
                <w:sz w:val="21"/>
                <w:szCs w:val="21"/>
              </w:rPr>
            </w:pPr>
          </w:p>
        </w:tc>
        <w:tc>
          <w:tcPr>
            <w:tcW w:w="276" w:type="pct"/>
            <w:vAlign w:val="center"/>
          </w:tcPr>
          <w:p w14:paraId="02612044">
            <w:pPr>
              <w:jc w:val="center"/>
              <w:rPr>
                <w:rFonts w:ascii="宋体" w:hAnsi="宋体" w:cs="宋体"/>
                <w:sz w:val="21"/>
                <w:szCs w:val="21"/>
              </w:rPr>
            </w:pPr>
            <w:r>
              <w:rPr>
                <w:rFonts w:hint="eastAsia" w:ascii="宋体" w:hAnsi="宋体" w:cs="宋体"/>
                <w:sz w:val="21"/>
                <w:szCs w:val="21"/>
              </w:rPr>
              <w:t>9</w:t>
            </w:r>
          </w:p>
        </w:tc>
        <w:tc>
          <w:tcPr>
            <w:tcW w:w="762" w:type="pct"/>
            <w:vAlign w:val="center"/>
          </w:tcPr>
          <w:p w14:paraId="631F82D4">
            <w:pPr>
              <w:jc w:val="center"/>
              <w:rPr>
                <w:rFonts w:ascii="宋体" w:hAnsi="宋体" w:cs="宋体"/>
                <w:sz w:val="21"/>
                <w:szCs w:val="21"/>
              </w:rPr>
            </w:pPr>
            <w:r>
              <w:rPr>
                <w:rFonts w:hint="eastAsia" w:ascii="宋体" w:hAnsi="宋体" w:cs="宋体"/>
                <w:sz w:val="21"/>
                <w:szCs w:val="21"/>
              </w:rPr>
              <w:t>关键员工流失个数（个）</w:t>
            </w:r>
          </w:p>
        </w:tc>
        <w:tc>
          <w:tcPr>
            <w:tcW w:w="596" w:type="pct"/>
            <w:shd w:val="clear" w:color="auto" w:fill="auto"/>
            <w:vAlign w:val="center"/>
          </w:tcPr>
          <w:p w14:paraId="4AEAECB6">
            <w:pPr>
              <w:jc w:val="center"/>
              <w:rPr>
                <w:rFonts w:ascii="宋体" w:hAnsi="宋体" w:eastAsia="宋体" w:cs="宋体"/>
                <w:sz w:val="21"/>
                <w:szCs w:val="21"/>
                <w:lang w:val="en-US" w:eastAsia="zh-CN" w:bidi="ar-SA"/>
              </w:rPr>
            </w:pPr>
            <w:r>
              <w:rPr>
                <w:rFonts w:hint="eastAsia" w:ascii="宋体" w:hAnsi="宋体" w:cs="宋体"/>
                <w:sz w:val="21"/>
                <w:szCs w:val="21"/>
              </w:rPr>
              <w:t>≤1</w:t>
            </w:r>
          </w:p>
        </w:tc>
        <w:tc>
          <w:tcPr>
            <w:tcW w:w="596" w:type="pct"/>
            <w:shd w:val="clear" w:color="auto" w:fill="auto"/>
            <w:vAlign w:val="center"/>
          </w:tcPr>
          <w:p w14:paraId="3187EFF7">
            <w:pPr>
              <w:jc w:val="center"/>
              <w:rPr>
                <w:rFonts w:ascii="宋体" w:hAnsi="宋体" w:eastAsia="宋体" w:cs="宋体"/>
                <w:sz w:val="21"/>
                <w:szCs w:val="21"/>
                <w:lang w:val="en-US" w:eastAsia="zh-CN" w:bidi="ar-SA"/>
              </w:rPr>
            </w:pPr>
            <w:r>
              <w:rPr>
                <w:rFonts w:hint="eastAsia" w:ascii="宋体" w:hAnsi="宋体" w:cs="宋体"/>
                <w:sz w:val="21"/>
                <w:szCs w:val="21"/>
              </w:rPr>
              <w:t>≤1</w:t>
            </w:r>
          </w:p>
        </w:tc>
        <w:tc>
          <w:tcPr>
            <w:tcW w:w="596" w:type="pct"/>
            <w:shd w:val="clear" w:color="auto" w:fill="auto"/>
            <w:vAlign w:val="center"/>
          </w:tcPr>
          <w:p w14:paraId="470D9525">
            <w:pPr>
              <w:jc w:val="center"/>
              <w:rPr>
                <w:rFonts w:ascii="宋体" w:hAnsi="宋体" w:eastAsia="宋体" w:cs="宋体"/>
                <w:sz w:val="21"/>
                <w:szCs w:val="21"/>
                <w:lang w:val="en-US" w:eastAsia="zh-CN" w:bidi="ar-SA"/>
              </w:rPr>
            </w:pPr>
            <w:r>
              <w:rPr>
                <w:rFonts w:hint="eastAsia" w:ascii="宋体" w:hAnsi="宋体" w:cs="宋体"/>
                <w:sz w:val="21"/>
                <w:szCs w:val="21"/>
              </w:rPr>
              <w:t>≤1</w:t>
            </w:r>
          </w:p>
        </w:tc>
        <w:tc>
          <w:tcPr>
            <w:tcW w:w="596" w:type="pct"/>
            <w:tcBorders>
              <w:right w:val="single" w:color="auto" w:sz="12" w:space="0"/>
            </w:tcBorders>
            <w:shd w:val="clear" w:color="auto" w:fill="auto"/>
            <w:vAlign w:val="center"/>
          </w:tcPr>
          <w:p w14:paraId="6F1F920B">
            <w:pPr>
              <w:jc w:val="center"/>
              <w:rPr>
                <w:rFonts w:ascii="宋体" w:hAnsi="宋体" w:eastAsia="宋体" w:cs="宋体"/>
                <w:sz w:val="21"/>
                <w:szCs w:val="21"/>
                <w:lang w:val="en-US" w:eastAsia="zh-CN" w:bidi="ar-SA"/>
              </w:rPr>
            </w:pPr>
            <w:r>
              <w:rPr>
                <w:rFonts w:hint="eastAsia" w:ascii="宋体" w:hAnsi="宋体" w:cs="宋体"/>
                <w:sz w:val="21"/>
                <w:szCs w:val="21"/>
              </w:rPr>
              <w:t>≤1</w:t>
            </w:r>
          </w:p>
        </w:tc>
        <w:tc>
          <w:tcPr>
            <w:tcW w:w="596" w:type="pct"/>
            <w:tcBorders>
              <w:right w:val="single" w:color="auto" w:sz="12" w:space="0"/>
            </w:tcBorders>
            <w:shd w:val="clear" w:color="auto" w:fill="auto"/>
            <w:vAlign w:val="center"/>
          </w:tcPr>
          <w:p w14:paraId="29329587">
            <w:pPr>
              <w:jc w:val="center"/>
              <w:rPr>
                <w:rFonts w:ascii="宋体" w:hAnsi="宋体" w:eastAsia="宋体" w:cs="宋体"/>
                <w:sz w:val="21"/>
                <w:szCs w:val="21"/>
                <w:lang w:val="en-US" w:eastAsia="zh-CN" w:bidi="ar-SA"/>
              </w:rPr>
            </w:pPr>
            <w:r>
              <w:rPr>
                <w:rFonts w:hint="eastAsia" w:ascii="宋体" w:hAnsi="宋体" w:cs="宋体"/>
                <w:sz w:val="21"/>
                <w:szCs w:val="21"/>
              </w:rPr>
              <w:t>≤1</w:t>
            </w:r>
          </w:p>
        </w:tc>
        <w:tc>
          <w:tcPr>
            <w:tcW w:w="596" w:type="pct"/>
            <w:tcBorders>
              <w:right w:val="single" w:color="auto" w:sz="12" w:space="0"/>
            </w:tcBorders>
            <w:shd w:val="clear" w:color="auto" w:fill="auto"/>
            <w:vAlign w:val="center"/>
          </w:tcPr>
          <w:p w14:paraId="149F1451">
            <w:pPr>
              <w:jc w:val="center"/>
              <w:rPr>
                <w:rFonts w:ascii="宋体" w:hAnsi="宋体" w:eastAsia="宋体" w:cs="宋体"/>
                <w:sz w:val="21"/>
                <w:szCs w:val="21"/>
                <w:lang w:val="en-US" w:eastAsia="zh-CN" w:bidi="ar-SA"/>
              </w:rPr>
            </w:pPr>
            <w:r>
              <w:rPr>
                <w:rFonts w:hint="eastAsia" w:ascii="宋体" w:hAnsi="宋体" w:cs="宋体"/>
                <w:sz w:val="21"/>
                <w:szCs w:val="21"/>
              </w:rPr>
              <w:t>≤1</w:t>
            </w:r>
          </w:p>
        </w:tc>
      </w:tr>
      <w:tr w14:paraId="25FF81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383" w:type="pct"/>
            <w:vMerge w:val="restart"/>
            <w:vAlign w:val="center"/>
          </w:tcPr>
          <w:p w14:paraId="3402664E">
            <w:pPr>
              <w:jc w:val="center"/>
              <w:rPr>
                <w:rFonts w:ascii="宋体" w:hAnsi="宋体" w:cs="宋体"/>
                <w:sz w:val="21"/>
                <w:szCs w:val="21"/>
              </w:rPr>
            </w:pPr>
            <w:r>
              <w:rPr>
                <w:rFonts w:hint="eastAsia" w:ascii="宋体" w:hAnsi="宋体" w:cs="宋体"/>
                <w:sz w:val="21"/>
                <w:szCs w:val="21"/>
              </w:rPr>
              <w:t>社会</w:t>
            </w:r>
          </w:p>
          <w:p w14:paraId="5B1B7E2C">
            <w:pPr>
              <w:jc w:val="center"/>
              <w:rPr>
                <w:rFonts w:ascii="宋体" w:hAnsi="宋体" w:cs="宋体"/>
                <w:sz w:val="21"/>
                <w:szCs w:val="21"/>
              </w:rPr>
            </w:pPr>
            <w:r>
              <w:rPr>
                <w:rFonts w:hint="eastAsia" w:ascii="宋体" w:hAnsi="宋体" w:cs="宋体"/>
                <w:sz w:val="21"/>
                <w:szCs w:val="21"/>
              </w:rPr>
              <w:t>责任</w:t>
            </w:r>
          </w:p>
        </w:tc>
        <w:tc>
          <w:tcPr>
            <w:tcW w:w="276" w:type="pct"/>
            <w:vAlign w:val="center"/>
          </w:tcPr>
          <w:p w14:paraId="48C454E5">
            <w:pPr>
              <w:jc w:val="center"/>
              <w:rPr>
                <w:rFonts w:ascii="宋体" w:hAnsi="宋体" w:cs="宋体"/>
                <w:sz w:val="21"/>
                <w:szCs w:val="21"/>
              </w:rPr>
            </w:pPr>
            <w:r>
              <w:rPr>
                <w:rFonts w:hint="eastAsia" w:ascii="宋体" w:hAnsi="宋体" w:cs="宋体"/>
                <w:sz w:val="21"/>
                <w:szCs w:val="21"/>
              </w:rPr>
              <w:t>10</w:t>
            </w:r>
          </w:p>
        </w:tc>
        <w:tc>
          <w:tcPr>
            <w:tcW w:w="762" w:type="pct"/>
            <w:vAlign w:val="center"/>
          </w:tcPr>
          <w:p w14:paraId="2EF9B926">
            <w:pPr>
              <w:jc w:val="center"/>
              <w:rPr>
                <w:rFonts w:ascii="宋体" w:hAnsi="宋体" w:cs="宋体"/>
                <w:sz w:val="21"/>
                <w:szCs w:val="21"/>
              </w:rPr>
            </w:pPr>
            <w:r>
              <w:rPr>
                <w:rFonts w:hint="eastAsia" w:ascii="宋体" w:hAnsi="宋体" w:cs="宋体"/>
                <w:sz w:val="21"/>
                <w:szCs w:val="21"/>
              </w:rPr>
              <w:t>工伤率（%）</w:t>
            </w:r>
          </w:p>
        </w:tc>
        <w:tc>
          <w:tcPr>
            <w:tcW w:w="596" w:type="pct"/>
            <w:shd w:val="clear" w:color="auto" w:fill="auto"/>
            <w:vAlign w:val="center"/>
          </w:tcPr>
          <w:p w14:paraId="3D40A61F">
            <w:pPr>
              <w:jc w:val="center"/>
              <w:rPr>
                <w:rFonts w:ascii="宋体" w:hAnsi="宋体" w:eastAsia="宋体" w:cs="宋体"/>
                <w:sz w:val="21"/>
                <w:szCs w:val="21"/>
                <w:lang w:val="en-US" w:eastAsia="zh-CN" w:bidi="ar-SA"/>
              </w:rPr>
            </w:pPr>
            <w:r>
              <w:rPr>
                <w:rFonts w:hint="eastAsia" w:ascii="宋体" w:hAnsi="宋体" w:cs="宋体"/>
                <w:sz w:val="21"/>
                <w:szCs w:val="21"/>
              </w:rPr>
              <w:t>≤2</w:t>
            </w:r>
          </w:p>
        </w:tc>
        <w:tc>
          <w:tcPr>
            <w:tcW w:w="596" w:type="pct"/>
            <w:shd w:val="clear" w:color="auto" w:fill="auto"/>
            <w:vAlign w:val="center"/>
          </w:tcPr>
          <w:p w14:paraId="7431B964">
            <w:pPr>
              <w:jc w:val="center"/>
              <w:rPr>
                <w:rFonts w:ascii="宋体" w:hAnsi="宋体" w:eastAsia="宋体" w:cs="宋体"/>
                <w:sz w:val="21"/>
                <w:szCs w:val="21"/>
                <w:lang w:val="en-US" w:eastAsia="zh-CN" w:bidi="ar-SA"/>
              </w:rPr>
            </w:pPr>
            <w:r>
              <w:rPr>
                <w:rFonts w:hint="eastAsia" w:ascii="宋体" w:hAnsi="宋体" w:cs="宋体"/>
                <w:sz w:val="21"/>
                <w:szCs w:val="21"/>
              </w:rPr>
              <w:t>≤1</w:t>
            </w:r>
          </w:p>
        </w:tc>
        <w:tc>
          <w:tcPr>
            <w:tcW w:w="596" w:type="pct"/>
            <w:shd w:val="clear" w:color="auto" w:fill="auto"/>
            <w:vAlign w:val="center"/>
          </w:tcPr>
          <w:p w14:paraId="32A23222">
            <w:pPr>
              <w:jc w:val="center"/>
              <w:rPr>
                <w:rFonts w:ascii="宋体" w:hAnsi="宋体" w:eastAsia="宋体" w:cs="宋体"/>
                <w:sz w:val="21"/>
                <w:szCs w:val="21"/>
                <w:lang w:val="en-US" w:eastAsia="zh-CN" w:bidi="ar-SA"/>
              </w:rPr>
            </w:pPr>
            <w:r>
              <w:rPr>
                <w:rFonts w:hint="eastAsia" w:ascii="宋体" w:hAnsi="宋体" w:cs="宋体"/>
                <w:sz w:val="21"/>
                <w:szCs w:val="21"/>
              </w:rPr>
              <w:t>≤1</w:t>
            </w:r>
          </w:p>
        </w:tc>
        <w:tc>
          <w:tcPr>
            <w:tcW w:w="596" w:type="pct"/>
            <w:tcBorders>
              <w:right w:val="single" w:color="auto" w:sz="12" w:space="0"/>
            </w:tcBorders>
            <w:shd w:val="clear" w:color="auto" w:fill="auto"/>
            <w:vAlign w:val="center"/>
          </w:tcPr>
          <w:p w14:paraId="1369FF1F">
            <w:pPr>
              <w:jc w:val="center"/>
              <w:rPr>
                <w:rFonts w:ascii="宋体" w:hAnsi="宋体" w:eastAsia="宋体" w:cs="宋体"/>
                <w:sz w:val="21"/>
                <w:szCs w:val="21"/>
                <w:lang w:val="en-US" w:eastAsia="zh-CN" w:bidi="ar-SA"/>
              </w:rPr>
            </w:pPr>
            <w:r>
              <w:rPr>
                <w:rFonts w:hint="eastAsia" w:ascii="宋体" w:hAnsi="宋体" w:cs="宋体"/>
                <w:sz w:val="21"/>
                <w:szCs w:val="21"/>
              </w:rPr>
              <w:t>≤1</w:t>
            </w:r>
          </w:p>
        </w:tc>
        <w:tc>
          <w:tcPr>
            <w:tcW w:w="596" w:type="pct"/>
            <w:tcBorders>
              <w:right w:val="single" w:color="auto" w:sz="12" w:space="0"/>
            </w:tcBorders>
            <w:shd w:val="clear" w:color="auto" w:fill="auto"/>
            <w:vAlign w:val="center"/>
          </w:tcPr>
          <w:p w14:paraId="646D07A6">
            <w:pPr>
              <w:jc w:val="center"/>
              <w:rPr>
                <w:rFonts w:ascii="宋体" w:hAnsi="宋体" w:eastAsia="宋体" w:cs="宋体"/>
                <w:sz w:val="21"/>
                <w:szCs w:val="21"/>
                <w:lang w:val="en-US" w:eastAsia="zh-CN" w:bidi="ar-SA"/>
              </w:rPr>
            </w:pPr>
            <w:r>
              <w:rPr>
                <w:rFonts w:hint="eastAsia" w:ascii="宋体" w:hAnsi="宋体" w:cs="宋体"/>
                <w:sz w:val="21"/>
                <w:szCs w:val="21"/>
              </w:rPr>
              <w:t>≤1</w:t>
            </w:r>
          </w:p>
        </w:tc>
        <w:tc>
          <w:tcPr>
            <w:tcW w:w="596" w:type="pct"/>
            <w:tcBorders>
              <w:right w:val="single" w:color="auto" w:sz="12" w:space="0"/>
            </w:tcBorders>
            <w:shd w:val="clear" w:color="auto" w:fill="auto"/>
            <w:vAlign w:val="center"/>
          </w:tcPr>
          <w:p w14:paraId="45CB5EC5">
            <w:pPr>
              <w:jc w:val="center"/>
              <w:rPr>
                <w:rFonts w:ascii="宋体" w:hAnsi="宋体" w:eastAsia="宋体" w:cs="宋体"/>
                <w:sz w:val="21"/>
                <w:szCs w:val="21"/>
                <w:lang w:val="en-US" w:eastAsia="zh-CN" w:bidi="ar-SA"/>
              </w:rPr>
            </w:pPr>
            <w:r>
              <w:rPr>
                <w:rFonts w:hint="eastAsia" w:ascii="宋体" w:hAnsi="宋体" w:cs="宋体"/>
                <w:sz w:val="21"/>
                <w:szCs w:val="21"/>
              </w:rPr>
              <w:t>≤1</w:t>
            </w:r>
          </w:p>
        </w:tc>
      </w:tr>
      <w:tr w14:paraId="5FFE03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383" w:type="pct"/>
            <w:vMerge w:val="continue"/>
            <w:vAlign w:val="center"/>
          </w:tcPr>
          <w:p w14:paraId="56269E88">
            <w:pPr>
              <w:jc w:val="center"/>
              <w:rPr>
                <w:rFonts w:ascii="宋体" w:hAnsi="宋体" w:cs="宋体"/>
                <w:sz w:val="21"/>
                <w:szCs w:val="21"/>
              </w:rPr>
            </w:pPr>
          </w:p>
        </w:tc>
        <w:tc>
          <w:tcPr>
            <w:tcW w:w="276" w:type="pct"/>
            <w:vAlign w:val="center"/>
          </w:tcPr>
          <w:p w14:paraId="229CA2AC">
            <w:pPr>
              <w:jc w:val="center"/>
              <w:rPr>
                <w:rFonts w:ascii="宋体" w:hAnsi="宋体" w:cs="宋体"/>
                <w:sz w:val="21"/>
                <w:szCs w:val="21"/>
              </w:rPr>
            </w:pPr>
            <w:r>
              <w:rPr>
                <w:rFonts w:hint="eastAsia" w:ascii="宋体" w:hAnsi="宋体" w:cs="宋体"/>
                <w:sz w:val="21"/>
                <w:szCs w:val="21"/>
              </w:rPr>
              <w:t>11</w:t>
            </w:r>
          </w:p>
        </w:tc>
        <w:tc>
          <w:tcPr>
            <w:tcW w:w="762" w:type="pct"/>
            <w:vAlign w:val="center"/>
          </w:tcPr>
          <w:p w14:paraId="6E195D19">
            <w:pPr>
              <w:jc w:val="center"/>
              <w:rPr>
                <w:rFonts w:ascii="宋体" w:hAnsi="宋体" w:cs="宋体"/>
                <w:sz w:val="21"/>
                <w:szCs w:val="21"/>
              </w:rPr>
            </w:pPr>
            <w:r>
              <w:rPr>
                <w:rFonts w:hint="eastAsia" w:ascii="宋体" w:hAnsi="宋体" w:cs="宋体"/>
                <w:sz w:val="21"/>
                <w:szCs w:val="21"/>
              </w:rPr>
              <w:t>纳税总额（万元）</w:t>
            </w:r>
          </w:p>
        </w:tc>
        <w:tc>
          <w:tcPr>
            <w:tcW w:w="596" w:type="pct"/>
            <w:shd w:val="clear" w:color="auto" w:fill="auto"/>
            <w:vAlign w:val="center"/>
          </w:tcPr>
          <w:p w14:paraId="5E158642">
            <w:pPr>
              <w:jc w:val="center"/>
              <w:rPr>
                <w:rFonts w:hint="default" w:ascii="宋体" w:hAnsi="宋体" w:eastAsia="宋体" w:cs="宋体"/>
                <w:sz w:val="21"/>
                <w:szCs w:val="21"/>
                <w:lang w:val="en-US" w:eastAsia="zh-CN" w:bidi="ar-SA"/>
              </w:rPr>
            </w:pPr>
            <w:r>
              <w:rPr>
                <w:rFonts w:hint="eastAsia" w:ascii="宋体" w:hAnsi="宋体" w:cs="宋体"/>
                <w:sz w:val="21"/>
                <w:szCs w:val="21"/>
                <w:lang w:val="en-US" w:eastAsia="zh-CN"/>
              </w:rPr>
              <w:t>120</w:t>
            </w:r>
          </w:p>
        </w:tc>
        <w:tc>
          <w:tcPr>
            <w:tcW w:w="596" w:type="pct"/>
            <w:shd w:val="clear" w:color="auto" w:fill="auto"/>
            <w:vAlign w:val="center"/>
          </w:tcPr>
          <w:p w14:paraId="7ACC8DAE">
            <w:pPr>
              <w:jc w:val="center"/>
              <w:rPr>
                <w:rFonts w:hint="default" w:ascii="宋体" w:hAnsi="宋体" w:eastAsia="宋体" w:cs="宋体"/>
                <w:sz w:val="21"/>
                <w:szCs w:val="21"/>
                <w:lang w:val="en-US" w:eastAsia="zh-CN" w:bidi="ar-SA"/>
              </w:rPr>
            </w:pPr>
            <w:r>
              <w:rPr>
                <w:rFonts w:hint="eastAsia" w:ascii="宋体" w:hAnsi="宋体" w:cs="宋体"/>
                <w:sz w:val="21"/>
                <w:szCs w:val="21"/>
                <w:lang w:val="en-US" w:eastAsia="zh-CN"/>
              </w:rPr>
              <w:t>120</w:t>
            </w:r>
          </w:p>
        </w:tc>
        <w:tc>
          <w:tcPr>
            <w:tcW w:w="596" w:type="pct"/>
            <w:shd w:val="clear" w:color="auto" w:fill="auto"/>
            <w:vAlign w:val="center"/>
          </w:tcPr>
          <w:p w14:paraId="14644825">
            <w:pPr>
              <w:jc w:val="center"/>
              <w:rPr>
                <w:rFonts w:ascii="宋体" w:hAnsi="宋体" w:eastAsia="宋体" w:cs="宋体"/>
                <w:sz w:val="21"/>
                <w:szCs w:val="21"/>
                <w:lang w:val="en-US" w:eastAsia="zh-CN" w:bidi="ar-SA"/>
              </w:rPr>
            </w:pPr>
            <w:r>
              <w:rPr>
                <w:rFonts w:hint="eastAsia" w:ascii="宋体" w:hAnsi="宋体" w:cs="宋体"/>
                <w:sz w:val="21"/>
                <w:szCs w:val="21"/>
              </w:rPr>
              <w:t>150</w:t>
            </w:r>
          </w:p>
        </w:tc>
        <w:tc>
          <w:tcPr>
            <w:tcW w:w="596" w:type="pct"/>
            <w:tcBorders>
              <w:right w:val="single" w:color="auto" w:sz="12" w:space="0"/>
            </w:tcBorders>
            <w:shd w:val="clear" w:color="auto" w:fill="auto"/>
            <w:vAlign w:val="center"/>
          </w:tcPr>
          <w:p w14:paraId="663077B3">
            <w:pPr>
              <w:jc w:val="center"/>
              <w:rPr>
                <w:rFonts w:hint="default" w:ascii="宋体" w:hAnsi="宋体" w:eastAsia="宋体" w:cs="宋体"/>
                <w:sz w:val="21"/>
                <w:szCs w:val="21"/>
                <w:lang w:val="en-US" w:eastAsia="zh-CN" w:bidi="ar-SA"/>
              </w:rPr>
            </w:pPr>
            <w:r>
              <w:rPr>
                <w:rFonts w:hint="eastAsia" w:ascii="宋体" w:hAnsi="宋体" w:cs="宋体"/>
                <w:sz w:val="21"/>
                <w:szCs w:val="21"/>
              </w:rPr>
              <w:t>1</w:t>
            </w:r>
            <w:r>
              <w:rPr>
                <w:rFonts w:hint="eastAsia" w:ascii="宋体" w:hAnsi="宋体" w:cs="宋体"/>
                <w:sz w:val="21"/>
                <w:szCs w:val="21"/>
                <w:lang w:val="en-US" w:eastAsia="zh-CN"/>
              </w:rPr>
              <w:t>70</w:t>
            </w:r>
          </w:p>
        </w:tc>
        <w:tc>
          <w:tcPr>
            <w:tcW w:w="596" w:type="pct"/>
            <w:tcBorders>
              <w:right w:val="single" w:color="auto" w:sz="12" w:space="0"/>
            </w:tcBorders>
            <w:shd w:val="clear" w:color="auto" w:fill="auto"/>
            <w:vAlign w:val="center"/>
          </w:tcPr>
          <w:p w14:paraId="6C6CFA12">
            <w:pPr>
              <w:jc w:val="center"/>
              <w:rPr>
                <w:rFonts w:hint="default" w:ascii="宋体" w:hAnsi="宋体" w:eastAsia="宋体" w:cs="宋体"/>
                <w:sz w:val="21"/>
                <w:szCs w:val="21"/>
                <w:lang w:val="en-US" w:eastAsia="zh-CN" w:bidi="ar-SA"/>
              </w:rPr>
            </w:pPr>
            <w:r>
              <w:rPr>
                <w:rFonts w:hint="eastAsia" w:ascii="宋体" w:hAnsi="宋体" w:cs="宋体"/>
                <w:sz w:val="21"/>
                <w:szCs w:val="21"/>
                <w:lang w:val="en-US" w:eastAsia="zh-CN"/>
              </w:rPr>
              <w:t>190</w:t>
            </w:r>
          </w:p>
        </w:tc>
        <w:tc>
          <w:tcPr>
            <w:tcW w:w="596" w:type="pct"/>
            <w:tcBorders>
              <w:right w:val="single" w:color="auto" w:sz="12" w:space="0"/>
            </w:tcBorders>
            <w:shd w:val="clear" w:color="auto" w:fill="auto"/>
            <w:vAlign w:val="center"/>
          </w:tcPr>
          <w:p w14:paraId="2BC281E5">
            <w:pPr>
              <w:jc w:val="center"/>
              <w:rPr>
                <w:rFonts w:hint="default" w:ascii="宋体" w:hAnsi="宋体" w:eastAsia="宋体" w:cs="宋体"/>
                <w:sz w:val="21"/>
                <w:szCs w:val="21"/>
                <w:lang w:val="en-US" w:eastAsia="zh-CN" w:bidi="ar-SA"/>
              </w:rPr>
            </w:pPr>
            <w:r>
              <w:rPr>
                <w:rFonts w:hint="eastAsia" w:ascii="宋体" w:hAnsi="宋体" w:cs="宋体"/>
                <w:sz w:val="21"/>
                <w:szCs w:val="21"/>
                <w:lang w:val="en-US" w:eastAsia="zh-CN"/>
              </w:rPr>
              <w:t>210</w:t>
            </w:r>
          </w:p>
        </w:tc>
      </w:tr>
      <w:tr w14:paraId="47991E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383" w:type="pct"/>
            <w:vMerge w:val="continue"/>
            <w:vAlign w:val="center"/>
          </w:tcPr>
          <w:p w14:paraId="2EE03415">
            <w:pPr>
              <w:jc w:val="center"/>
              <w:rPr>
                <w:rFonts w:ascii="宋体" w:hAnsi="宋体" w:cs="宋体"/>
                <w:sz w:val="21"/>
                <w:szCs w:val="21"/>
              </w:rPr>
            </w:pPr>
          </w:p>
        </w:tc>
        <w:tc>
          <w:tcPr>
            <w:tcW w:w="276" w:type="pct"/>
            <w:vAlign w:val="center"/>
          </w:tcPr>
          <w:p w14:paraId="6A3AC57F">
            <w:pPr>
              <w:jc w:val="center"/>
              <w:rPr>
                <w:rFonts w:ascii="宋体" w:hAnsi="宋体" w:cs="宋体"/>
                <w:sz w:val="21"/>
                <w:szCs w:val="21"/>
              </w:rPr>
            </w:pPr>
            <w:r>
              <w:rPr>
                <w:rFonts w:hint="eastAsia" w:ascii="宋体" w:hAnsi="宋体" w:cs="宋体"/>
                <w:sz w:val="21"/>
                <w:szCs w:val="21"/>
              </w:rPr>
              <w:t>12</w:t>
            </w:r>
          </w:p>
        </w:tc>
        <w:tc>
          <w:tcPr>
            <w:tcW w:w="762" w:type="pct"/>
            <w:vAlign w:val="center"/>
          </w:tcPr>
          <w:p w14:paraId="6BB777FE">
            <w:pPr>
              <w:jc w:val="center"/>
              <w:rPr>
                <w:rFonts w:ascii="宋体" w:hAnsi="宋体" w:cs="宋体"/>
                <w:sz w:val="21"/>
                <w:szCs w:val="21"/>
              </w:rPr>
            </w:pPr>
            <w:r>
              <w:rPr>
                <w:rFonts w:hint="eastAsia" w:ascii="宋体" w:hAnsi="宋体" w:cs="宋体"/>
                <w:sz w:val="21"/>
                <w:szCs w:val="21"/>
              </w:rPr>
              <w:t>慈善捐款（万元）</w:t>
            </w:r>
          </w:p>
        </w:tc>
        <w:tc>
          <w:tcPr>
            <w:tcW w:w="596" w:type="pct"/>
            <w:shd w:val="clear" w:color="auto" w:fill="auto"/>
            <w:vAlign w:val="center"/>
          </w:tcPr>
          <w:p w14:paraId="788349D3">
            <w:pPr>
              <w:jc w:val="center"/>
              <w:rPr>
                <w:rFonts w:ascii="宋体" w:hAnsi="宋体" w:eastAsia="宋体" w:cs="宋体"/>
                <w:sz w:val="21"/>
                <w:szCs w:val="21"/>
                <w:lang w:val="en-US" w:eastAsia="zh-CN" w:bidi="ar-SA"/>
              </w:rPr>
            </w:pPr>
          </w:p>
        </w:tc>
        <w:tc>
          <w:tcPr>
            <w:tcW w:w="596" w:type="pct"/>
            <w:shd w:val="clear" w:color="auto" w:fill="auto"/>
            <w:vAlign w:val="center"/>
          </w:tcPr>
          <w:p w14:paraId="5FB41BE9">
            <w:pPr>
              <w:jc w:val="center"/>
              <w:rPr>
                <w:rFonts w:hint="default" w:ascii="宋体" w:hAnsi="宋体" w:eastAsia="宋体" w:cs="宋体"/>
                <w:sz w:val="21"/>
                <w:szCs w:val="21"/>
                <w:lang w:val="en-US" w:eastAsia="zh-CN" w:bidi="ar-SA"/>
              </w:rPr>
            </w:pPr>
          </w:p>
        </w:tc>
        <w:tc>
          <w:tcPr>
            <w:tcW w:w="596" w:type="pct"/>
            <w:shd w:val="clear" w:color="auto" w:fill="auto"/>
            <w:vAlign w:val="center"/>
          </w:tcPr>
          <w:p w14:paraId="1B9FA804">
            <w:pPr>
              <w:jc w:val="center"/>
              <w:rPr>
                <w:rFonts w:ascii="宋体" w:hAnsi="宋体" w:eastAsia="宋体" w:cs="宋体"/>
                <w:sz w:val="21"/>
                <w:szCs w:val="21"/>
                <w:lang w:val="en-US" w:eastAsia="zh-CN" w:bidi="ar-SA"/>
              </w:rPr>
            </w:pPr>
          </w:p>
        </w:tc>
        <w:tc>
          <w:tcPr>
            <w:tcW w:w="596" w:type="pct"/>
            <w:tcBorders>
              <w:right w:val="single" w:color="auto" w:sz="12" w:space="0"/>
            </w:tcBorders>
            <w:shd w:val="clear" w:color="auto" w:fill="auto"/>
            <w:vAlign w:val="center"/>
          </w:tcPr>
          <w:p w14:paraId="56FD6A48">
            <w:pPr>
              <w:jc w:val="center"/>
              <w:rPr>
                <w:rFonts w:ascii="宋体" w:hAnsi="宋体" w:eastAsia="宋体" w:cs="宋体"/>
                <w:sz w:val="21"/>
                <w:szCs w:val="21"/>
                <w:lang w:val="en-US" w:eastAsia="zh-CN" w:bidi="ar-SA"/>
              </w:rPr>
            </w:pPr>
          </w:p>
        </w:tc>
        <w:tc>
          <w:tcPr>
            <w:tcW w:w="596" w:type="pct"/>
            <w:tcBorders>
              <w:right w:val="single" w:color="auto" w:sz="12" w:space="0"/>
            </w:tcBorders>
            <w:shd w:val="clear" w:color="auto" w:fill="auto"/>
            <w:vAlign w:val="center"/>
          </w:tcPr>
          <w:p w14:paraId="52E33B46">
            <w:pPr>
              <w:jc w:val="center"/>
              <w:rPr>
                <w:rFonts w:ascii="宋体" w:hAnsi="宋体" w:eastAsia="宋体" w:cs="宋体"/>
                <w:sz w:val="21"/>
                <w:szCs w:val="21"/>
                <w:lang w:val="en-US" w:eastAsia="zh-CN" w:bidi="ar-SA"/>
              </w:rPr>
            </w:pPr>
          </w:p>
        </w:tc>
        <w:tc>
          <w:tcPr>
            <w:tcW w:w="596" w:type="pct"/>
            <w:tcBorders>
              <w:right w:val="single" w:color="auto" w:sz="12" w:space="0"/>
            </w:tcBorders>
            <w:shd w:val="clear" w:color="auto" w:fill="auto"/>
            <w:vAlign w:val="center"/>
          </w:tcPr>
          <w:p w14:paraId="7265D494">
            <w:pPr>
              <w:jc w:val="center"/>
              <w:rPr>
                <w:rFonts w:hint="default" w:ascii="宋体" w:hAnsi="宋体" w:eastAsia="宋体" w:cs="宋体"/>
                <w:sz w:val="21"/>
                <w:szCs w:val="21"/>
                <w:lang w:val="en-US" w:eastAsia="zh-CN" w:bidi="ar-SA"/>
              </w:rPr>
            </w:pPr>
          </w:p>
        </w:tc>
      </w:tr>
    </w:tbl>
    <w:p w14:paraId="31E1B98C">
      <w:pPr>
        <w:spacing w:line="360" w:lineRule="auto"/>
        <w:rPr>
          <w:rFonts w:ascii="宋体" w:hAnsi="宋体" w:cs="宋体"/>
          <w:b/>
          <w:bCs/>
        </w:rPr>
      </w:pPr>
      <w:bookmarkStart w:id="24" w:name="_Toc401871375"/>
      <w:bookmarkStart w:id="25" w:name="_Toc339617466"/>
      <w:bookmarkStart w:id="26" w:name="_Toc15899"/>
      <w:bookmarkStart w:id="27" w:name="_Toc339641733"/>
      <w:r>
        <w:rPr>
          <w:rFonts w:hint="eastAsia" w:ascii="宋体" w:hAnsi="宋体" w:cs="宋体"/>
          <w:b/>
          <w:bCs/>
        </w:rPr>
        <w:t>2）绩效预测与标杆和竞争对手比较</w:t>
      </w:r>
    </w:p>
    <w:p w14:paraId="3B980966">
      <w:pPr>
        <w:widowControl w:val="0"/>
        <w:spacing w:line="312" w:lineRule="auto"/>
        <w:ind w:firstLine="480" w:firstLineChars="200"/>
        <w:jc w:val="both"/>
        <w:rPr>
          <w:rFonts w:ascii="宋体" w:hAnsi="宋体"/>
          <w:kern w:val="2"/>
        </w:rPr>
      </w:pPr>
      <w:r>
        <w:rPr>
          <w:rFonts w:hint="eastAsia" w:ascii="宋体" w:hAnsi="宋体"/>
          <w:kern w:val="2"/>
        </w:rPr>
        <w:t>公司与竞争对手企业绩效预测对比。</w:t>
      </w:r>
    </w:p>
    <w:p w14:paraId="52AD6A37">
      <w:pPr>
        <w:widowControl w:val="0"/>
        <w:spacing w:line="312" w:lineRule="auto"/>
        <w:ind w:firstLine="480" w:firstLineChars="200"/>
        <w:jc w:val="both"/>
        <w:rPr>
          <w:rFonts w:hint="eastAsia" w:ascii="宋体" w:hAnsi="宋体" w:eastAsia="宋体"/>
          <w:kern w:val="2"/>
          <w:lang w:eastAsia="zh-CN"/>
        </w:rPr>
      </w:pPr>
      <w:r>
        <w:rPr>
          <w:rFonts w:hint="eastAsia" w:ascii="宋体" w:hAnsi="宋体"/>
          <w:kern w:val="2"/>
        </w:rPr>
        <w:t>竞争企业：</w:t>
      </w:r>
      <w:r>
        <w:rPr>
          <w:rFonts w:hint="eastAsia" w:ascii="宋体" w:hAnsi="宋体"/>
          <w:kern w:val="2"/>
          <w:lang w:eastAsia="zh-CN"/>
        </w:rPr>
        <w:t>浙江志强</w:t>
      </w:r>
    </w:p>
    <w:p w14:paraId="61D0A9DA">
      <w:pPr>
        <w:widowControl w:val="0"/>
        <w:spacing w:line="312" w:lineRule="auto"/>
        <w:ind w:firstLine="480" w:firstLineChars="200"/>
        <w:jc w:val="both"/>
        <w:rPr>
          <w:rFonts w:ascii="宋体" w:hAnsi="宋体"/>
          <w:kern w:val="2"/>
        </w:rPr>
      </w:pPr>
      <w:r>
        <w:rPr>
          <w:rFonts w:hint="eastAsia" w:ascii="宋体" w:hAnsi="宋体"/>
          <w:kern w:val="2"/>
        </w:rPr>
        <w:t>专注于</w:t>
      </w:r>
      <w:r>
        <w:rPr>
          <w:rFonts w:hint="eastAsia" w:ascii="宋体" w:hAnsi="宋体"/>
          <w:kern w:val="2"/>
          <w:lang w:eastAsia="zh-CN"/>
        </w:rPr>
        <w:t>仿石漆和工业涂料的</w:t>
      </w:r>
      <w:r>
        <w:rPr>
          <w:rFonts w:ascii="宋体" w:hAnsi="宋体" w:eastAsia="宋体" w:cs="宋体"/>
          <w:sz w:val="24"/>
          <w:szCs w:val="24"/>
        </w:rPr>
        <w:t>浙江志强涂料有限公司</w:t>
      </w:r>
      <w:r>
        <w:rPr>
          <w:rFonts w:hint="eastAsia" w:ascii="宋体" w:hAnsi="宋体"/>
          <w:kern w:val="2"/>
        </w:rPr>
        <w:t>，创立于198</w:t>
      </w:r>
      <w:r>
        <w:rPr>
          <w:rFonts w:hint="eastAsia" w:ascii="宋体" w:hAnsi="宋体"/>
          <w:kern w:val="2"/>
          <w:lang w:val="en-US" w:eastAsia="zh-CN"/>
        </w:rPr>
        <w:t>9</w:t>
      </w:r>
      <w:r>
        <w:rPr>
          <w:rFonts w:hint="eastAsia" w:ascii="宋体" w:hAnsi="宋体"/>
          <w:kern w:val="2"/>
        </w:rPr>
        <w:t>年，历经</w:t>
      </w:r>
      <w:r>
        <w:rPr>
          <w:rFonts w:hint="eastAsia" w:ascii="宋体" w:hAnsi="宋体"/>
          <w:kern w:val="2"/>
          <w:lang w:val="en-US" w:eastAsia="zh-CN"/>
        </w:rPr>
        <w:t>30</w:t>
      </w:r>
      <w:r>
        <w:rPr>
          <w:rFonts w:hint="eastAsia" w:ascii="宋体" w:hAnsi="宋体"/>
          <w:kern w:val="2"/>
        </w:rPr>
        <w:t>多年的辛勤耕耘与从不停止的技术研发，</w:t>
      </w:r>
      <w:r>
        <w:rPr>
          <w:rFonts w:hint="eastAsia" w:ascii="宋体" w:hAnsi="宋体"/>
          <w:kern w:val="2"/>
          <w:lang w:eastAsia="zh-CN"/>
        </w:rPr>
        <w:t>是台州本土深耕三十余年的综合性涂料高新技术企业</w:t>
      </w:r>
      <w:r>
        <w:rPr>
          <w:rFonts w:hint="eastAsia" w:ascii="宋体" w:hAnsi="宋体"/>
          <w:kern w:val="2"/>
        </w:rPr>
        <w:t>。</w:t>
      </w:r>
    </w:p>
    <w:p w14:paraId="1D11034A">
      <w:pPr>
        <w:spacing w:line="360" w:lineRule="auto"/>
        <w:rPr>
          <w:rFonts w:ascii="宋体" w:hAnsi="宋体" w:cs="宋体"/>
          <w:b/>
          <w:bCs/>
        </w:rPr>
      </w:pPr>
      <w:r>
        <w:rPr>
          <w:rFonts w:hint="eastAsia" w:ascii="宋体" w:hAnsi="宋体" w:cs="宋体"/>
          <w:b/>
          <w:bCs/>
        </w:rPr>
        <w:t>3) 对比及改进</w:t>
      </w:r>
    </w:p>
    <w:p w14:paraId="30B7E15C">
      <w:pPr>
        <w:spacing w:line="312" w:lineRule="auto"/>
        <w:ind w:firstLine="480" w:firstLineChars="200"/>
      </w:pPr>
      <w:r>
        <w:rPr>
          <w:rFonts w:hint="eastAsia" w:ascii="宋体" w:hAnsi="宋体"/>
          <w:kern w:val="2"/>
        </w:rPr>
        <w:t>公司通过优质资源配置、战略执行体系、战略监控体系与绩效测量分析、改进系统的有机联动，确保实现所预测绩效。利用战略监控体系与绩效测量系统，识别战略实施结果与战略预测目标的偏差，辨析与竞争对手及标杆的绩效差距，通过战略分析会议研讨战略指标值或行动计划调整方案，动态保证战略前瞻性，实现以卓越战略引领优质经营，力争致力于以卓越服务为顾客提供完美品质、绝对安全的产品，成为社会公认的领袖企业。</w:t>
      </w:r>
    </w:p>
    <w:p w14:paraId="194D5819">
      <w:bookmarkStart w:id="28" w:name="_Toc99720421"/>
      <w:r>
        <w:br w:type="page"/>
      </w:r>
    </w:p>
    <w:p w14:paraId="47396A1C">
      <w:pPr>
        <w:pStyle w:val="3"/>
        <w:jc w:val="center"/>
      </w:pPr>
      <w:r>
        <w:t>4.3</w:t>
      </w:r>
      <w:r>
        <w:rPr>
          <w:rFonts w:hint="eastAsia"/>
        </w:rPr>
        <w:t>顾客与市场</w:t>
      </w:r>
      <w:bookmarkEnd w:id="24"/>
      <w:bookmarkEnd w:id="25"/>
      <w:bookmarkEnd w:id="26"/>
      <w:bookmarkEnd w:id="27"/>
      <w:bookmarkEnd w:id="28"/>
    </w:p>
    <w:p w14:paraId="00A88267">
      <w:pPr>
        <w:pStyle w:val="4"/>
      </w:pPr>
      <w:bookmarkStart w:id="29" w:name="_Toc99720422"/>
      <w:bookmarkStart w:id="30" w:name="_Toc30981"/>
      <w:bookmarkStart w:id="31" w:name="_Toc339617468"/>
      <w:bookmarkStart w:id="32" w:name="_Toc401871377"/>
      <w:r>
        <w:t>4.3</w:t>
      </w:r>
      <w:r>
        <w:rPr>
          <w:rFonts w:hint="eastAsia"/>
        </w:rPr>
        <w:t>.1总则</w:t>
      </w:r>
      <w:bookmarkEnd w:id="29"/>
    </w:p>
    <w:p w14:paraId="5B9F4ECE">
      <w:pPr>
        <w:spacing w:line="360" w:lineRule="auto"/>
        <w:ind w:firstLine="480" w:firstLineChars="200"/>
        <w:rPr>
          <w:bCs/>
          <w:szCs w:val="32"/>
        </w:rPr>
      </w:pPr>
      <w:r>
        <w:rPr>
          <w:rFonts w:hint="eastAsia"/>
          <w:bCs/>
          <w:szCs w:val="32"/>
          <w:lang w:eastAsia="zh-CN"/>
        </w:rPr>
        <w:t>中凯涂料</w:t>
      </w:r>
      <w:r>
        <w:rPr>
          <w:rFonts w:hint="eastAsia"/>
          <w:bCs/>
          <w:szCs w:val="32"/>
        </w:rPr>
        <w:t>坚持以顾客为中心，强调围绕顾客需求进行品牌塑造、技术和营销的创新。公司数年来由小而大、由弱而强的进程，靠的是精品化、专业化、规模化和标准化四位一体的管理思想，靠的是诚信、专业、共赢三大准则。通过这三大准则，加强了</w:t>
      </w:r>
      <w:r>
        <w:rPr>
          <w:rFonts w:hint="eastAsia"/>
          <w:bCs/>
          <w:szCs w:val="32"/>
          <w:lang w:eastAsia="zh-CN"/>
        </w:rPr>
        <w:t>中凯涂料</w:t>
      </w:r>
      <w:r>
        <w:rPr>
          <w:rFonts w:hint="eastAsia"/>
          <w:bCs/>
          <w:szCs w:val="32"/>
        </w:rPr>
        <w:t>对客户的责任心凝聚力，保证了公司和顾客、供应商的共同利益。二十多年来，依托诚信、务实的经营理念，与供应商、员工以及其它相关方紧密配合，共同努力，建立了完善的技术研发、生产制造和销售服务体系，取得了良好的市场结果和顾客满意结果。</w:t>
      </w:r>
    </w:p>
    <w:p w14:paraId="099F272E">
      <w:pPr>
        <w:pStyle w:val="4"/>
      </w:pPr>
      <w:bookmarkStart w:id="33" w:name="_Toc99720423"/>
      <w:r>
        <w:t>4.3.2</w:t>
      </w:r>
      <w:r>
        <w:rPr>
          <w:rFonts w:hint="eastAsia"/>
        </w:rPr>
        <w:t>顾客和市场的了解</w:t>
      </w:r>
      <w:bookmarkEnd w:id="30"/>
      <w:bookmarkEnd w:id="31"/>
      <w:bookmarkEnd w:id="32"/>
      <w:bookmarkEnd w:id="33"/>
    </w:p>
    <w:p w14:paraId="39AED5B2">
      <w:pPr>
        <w:pStyle w:val="5"/>
      </w:pPr>
      <w:r>
        <w:rPr>
          <w:rFonts w:hint="eastAsia"/>
        </w:rPr>
        <w:t>4.3.2.1顾客和市场的细分</w:t>
      </w:r>
    </w:p>
    <w:p w14:paraId="0348DA2B">
      <w:pPr>
        <w:spacing w:line="360" w:lineRule="auto"/>
        <w:ind w:firstLine="480" w:firstLineChars="200"/>
        <w:rPr>
          <w:bCs/>
          <w:szCs w:val="32"/>
        </w:rPr>
      </w:pPr>
      <w:r>
        <w:rPr>
          <w:rFonts w:hint="eastAsia" w:ascii="宋体" w:hAnsi="宋体"/>
        </w:rPr>
        <w:t>国内</w:t>
      </w:r>
      <w:r>
        <w:rPr>
          <w:rFonts w:hint="eastAsia" w:ascii="宋体" w:hAnsi="宋体"/>
          <w:lang w:eastAsia="zh-CN"/>
        </w:rPr>
        <w:t>涂料</w:t>
      </w:r>
      <w:r>
        <w:rPr>
          <w:rFonts w:hint="eastAsia" w:ascii="宋体" w:hAnsi="宋体"/>
        </w:rPr>
        <w:t>行业的特点是市场空间巨大，竞争充分。作为该行业企业一直位列前茅，公司坚持各项工作的展开以顾客和市场为中心，最大范围、最快速度地了解和满足客户的需求和愿望，实现自身的发展壮大。</w:t>
      </w:r>
      <w:r>
        <w:rPr>
          <w:rFonts w:hint="eastAsia"/>
          <w:bCs/>
          <w:szCs w:val="32"/>
        </w:rPr>
        <w:t>通过对产品、顾客和市场等各类信息进行汇总分析，</w:t>
      </w:r>
      <w:r>
        <w:rPr>
          <w:rFonts w:hint="eastAsia" w:ascii="宋体" w:hAnsi="宋体"/>
          <w:bCs/>
        </w:rPr>
        <w:t>为了准确把握市场方向，公司经过市场调研、数据分析、初步决策、验证调整等一系列步骤确定细分市场</w:t>
      </w:r>
      <w:r>
        <w:rPr>
          <w:rFonts w:hint="eastAsia"/>
          <w:bCs/>
          <w:szCs w:val="32"/>
        </w:rPr>
        <w:t>。</w:t>
      </w:r>
    </w:p>
    <w:p w14:paraId="1CE6688F">
      <w:pPr>
        <w:pStyle w:val="36"/>
        <w:spacing w:line="360" w:lineRule="auto"/>
        <w:ind w:firstLine="0" w:firstLineChars="0"/>
        <w:jc w:val="center"/>
        <w:rPr>
          <w:rFonts w:ascii="黑体" w:hAnsi="黑体" w:eastAsia="黑体"/>
          <w:b/>
          <w:bCs/>
          <w:color w:val="auto"/>
          <w:sz w:val="21"/>
          <w:szCs w:val="21"/>
        </w:rPr>
      </w:pPr>
      <w:bookmarkStart w:id="34" w:name="_Ref342590301"/>
      <w:r>
        <w:rPr>
          <w:rFonts w:ascii="黑体" w:hAnsi="黑体" w:eastAsia="黑体"/>
          <w:b/>
          <w:bCs/>
          <w:color w:val="auto"/>
          <w:sz w:val="21"/>
          <w:szCs w:val="21"/>
        </w:rPr>
        <w:t>表4.3.2-</w:t>
      </w:r>
      <w:r>
        <w:rPr>
          <w:rFonts w:hint="eastAsia" w:ascii="黑体" w:hAnsi="黑体" w:eastAsia="黑体"/>
          <w:b/>
          <w:bCs/>
          <w:color w:val="auto"/>
          <w:sz w:val="21"/>
          <w:szCs w:val="21"/>
        </w:rPr>
        <w:t>1产品主要顾客群和</w:t>
      </w:r>
      <w:r>
        <w:rPr>
          <w:rFonts w:ascii="黑体" w:hAnsi="黑体" w:eastAsia="黑体"/>
          <w:b/>
          <w:bCs/>
          <w:color w:val="auto"/>
          <w:sz w:val="21"/>
          <w:szCs w:val="21"/>
        </w:rPr>
        <w:t>细分市场</w:t>
      </w:r>
    </w:p>
    <w:tbl>
      <w:tblPr>
        <w:tblStyle w:val="22"/>
        <w:tblW w:w="9371"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46"/>
        <w:gridCol w:w="4850"/>
        <w:gridCol w:w="2300"/>
      </w:tblGrid>
      <w:tr w14:paraId="2C2606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675" w:type="dxa"/>
            <w:tcBorders>
              <w:top w:val="single" w:color="auto" w:sz="12" w:space="0"/>
              <w:bottom w:val="single" w:color="auto" w:sz="4" w:space="0"/>
            </w:tcBorders>
            <w:shd w:val="clear" w:color="auto" w:fill="757070"/>
            <w:noWrap/>
            <w:vAlign w:val="center"/>
          </w:tcPr>
          <w:p w14:paraId="4E45ED9F">
            <w:pPr>
              <w:jc w:val="center"/>
              <w:rPr>
                <w:rFonts w:ascii="宋体" w:hAnsi="宋体"/>
                <w:b/>
                <w:kern w:val="2"/>
                <w:szCs w:val="21"/>
              </w:rPr>
            </w:pPr>
            <w:r>
              <w:rPr>
                <w:rFonts w:hint="eastAsia" w:ascii="宋体" w:hAnsi="宋体"/>
                <w:b/>
                <w:kern w:val="2"/>
                <w:szCs w:val="21"/>
              </w:rPr>
              <w:t>序号</w:t>
            </w:r>
          </w:p>
        </w:tc>
        <w:tc>
          <w:tcPr>
            <w:tcW w:w="1546" w:type="dxa"/>
            <w:tcBorders>
              <w:top w:val="single" w:color="auto" w:sz="12" w:space="0"/>
              <w:bottom w:val="single" w:color="auto" w:sz="4" w:space="0"/>
            </w:tcBorders>
            <w:shd w:val="clear" w:color="auto" w:fill="757070"/>
            <w:noWrap/>
            <w:vAlign w:val="center"/>
          </w:tcPr>
          <w:p w14:paraId="6BB9DC07">
            <w:pPr>
              <w:jc w:val="center"/>
              <w:rPr>
                <w:rFonts w:ascii="宋体" w:hAnsi="宋体"/>
                <w:b/>
                <w:kern w:val="2"/>
                <w:szCs w:val="21"/>
              </w:rPr>
            </w:pPr>
            <w:r>
              <w:rPr>
                <w:rFonts w:hint="eastAsia" w:ascii="宋体" w:hAnsi="宋体"/>
                <w:b/>
                <w:kern w:val="2"/>
                <w:szCs w:val="21"/>
              </w:rPr>
              <w:t>步骤</w:t>
            </w:r>
          </w:p>
        </w:tc>
        <w:tc>
          <w:tcPr>
            <w:tcW w:w="4850" w:type="dxa"/>
            <w:tcBorders>
              <w:top w:val="single" w:color="auto" w:sz="12" w:space="0"/>
              <w:bottom w:val="single" w:color="auto" w:sz="4" w:space="0"/>
            </w:tcBorders>
            <w:shd w:val="clear" w:color="auto" w:fill="757070"/>
            <w:noWrap/>
            <w:vAlign w:val="center"/>
          </w:tcPr>
          <w:p w14:paraId="543AEEA1">
            <w:pPr>
              <w:jc w:val="center"/>
              <w:rPr>
                <w:rFonts w:ascii="宋体" w:hAnsi="宋体"/>
                <w:b/>
                <w:kern w:val="2"/>
                <w:szCs w:val="21"/>
              </w:rPr>
            </w:pPr>
            <w:r>
              <w:rPr>
                <w:rFonts w:hint="eastAsia" w:ascii="宋体" w:hAnsi="宋体"/>
                <w:b/>
                <w:kern w:val="2"/>
                <w:szCs w:val="21"/>
              </w:rPr>
              <w:t>工作内容</w:t>
            </w:r>
          </w:p>
        </w:tc>
        <w:tc>
          <w:tcPr>
            <w:tcW w:w="2300" w:type="dxa"/>
            <w:tcBorders>
              <w:top w:val="single" w:color="auto" w:sz="12" w:space="0"/>
              <w:bottom w:val="single" w:color="auto" w:sz="4" w:space="0"/>
            </w:tcBorders>
            <w:shd w:val="clear" w:color="auto" w:fill="757070"/>
            <w:noWrap/>
            <w:vAlign w:val="center"/>
          </w:tcPr>
          <w:p w14:paraId="73E17A84">
            <w:pPr>
              <w:jc w:val="center"/>
              <w:rPr>
                <w:rFonts w:ascii="宋体" w:hAnsi="宋体"/>
                <w:b/>
                <w:kern w:val="2"/>
                <w:szCs w:val="21"/>
              </w:rPr>
            </w:pPr>
            <w:r>
              <w:rPr>
                <w:rFonts w:hint="eastAsia" w:ascii="宋体" w:hAnsi="宋体"/>
                <w:b/>
                <w:kern w:val="2"/>
                <w:szCs w:val="21"/>
              </w:rPr>
              <w:t>目的</w:t>
            </w:r>
          </w:p>
        </w:tc>
      </w:tr>
      <w:tr w14:paraId="6409E4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tcBorders>
            <w:noWrap/>
            <w:vAlign w:val="center"/>
          </w:tcPr>
          <w:p w14:paraId="49D8041B">
            <w:pPr>
              <w:jc w:val="center"/>
              <w:rPr>
                <w:rFonts w:ascii="宋体" w:hAnsi="宋体"/>
                <w:kern w:val="2"/>
                <w:szCs w:val="21"/>
              </w:rPr>
            </w:pPr>
            <w:r>
              <w:rPr>
                <w:rFonts w:hint="eastAsia" w:ascii="宋体" w:hAnsi="宋体"/>
                <w:kern w:val="2"/>
                <w:szCs w:val="21"/>
              </w:rPr>
              <w:t>1</w:t>
            </w:r>
          </w:p>
        </w:tc>
        <w:tc>
          <w:tcPr>
            <w:tcW w:w="1546" w:type="dxa"/>
            <w:tcBorders>
              <w:top w:val="single" w:color="auto" w:sz="4" w:space="0"/>
            </w:tcBorders>
            <w:noWrap/>
            <w:vAlign w:val="center"/>
          </w:tcPr>
          <w:p w14:paraId="7F22688E">
            <w:pPr>
              <w:jc w:val="center"/>
              <w:rPr>
                <w:rFonts w:ascii="宋体" w:hAnsi="宋体"/>
                <w:kern w:val="2"/>
                <w:szCs w:val="21"/>
              </w:rPr>
            </w:pPr>
            <w:r>
              <w:rPr>
                <w:rFonts w:hint="eastAsia" w:ascii="宋体" w:hAnsi="宋体"/>
                <w:kern w:val="2"/>
                <w:szCs w:val="21"/>
              </w:rPr>
              <w:t>市场调研</w:t>
            </w:r>
          </w:p>
        </w:tc>
        <w:tc>
          <w:tcPr>
            <w:tcW w:w="4850" w:type="dxa"/>
            <w:tcBorders>
              <w:top w:val="single" w:color="auto" w:sz="4" w:space="0"/>
            </w:tcBorders>
            <w:noWrap/>
            <w:vAlign w:val="center"/>
          </w:tcPr>
          <w:p w14:paraId="66120D3D">
            <w:pPr>
              <w:rPr>
                <w:rFonts w:ascii="宋体" w:hAnsi="宋体"/>
                <w:kern w:val="2"/>
                <w:szCs w:val="21"/>
              </w:rPr>
            </w:pPr>
            <w:r>
              <w:rPr>
                <w:rFonts w:hint="eastAsia" w:ascii="宋体" w:hAnsi="宋体"/>
                <w:kern w:val="2"/>
                <w:szCs w:val="21"/>
              </w:rPr>
              <w:t>通过参观考察、展会、走访用户、调查表、互联网搜索，行业市场聚集调研等方式，了解顾客和市场需求、产品发展趋势，掌握顾客、潜在顾客、竞争对手顾客信息</w:t>
            </w:r>
          </w:p>
        </w:tc>
        <w:tc>
          <w:tcPr>
            <w:tcW w:w="2300" w:type="dxa"/>
            <w:tcBorders>
              <w:top w:val="single" w:color="auto" w:sz="4" w:space="0"/>
            </w:tcBorders>
            <w:noWrap/>
            <w:vAlign w:val="center"/>
          </w:tcPr>
          <w:p w14:paraId="5D92CE86">
            <w:pPr>
              <w:rPr>
                <w:rFonts w:ascii="宋体" w:hAnsi="宋体"/>
                <w:kern w:val="2"/>
                <w:szCs w:val="21"/>
              </w:rPr>
            </w:pPr>
            <w:r>
              <w:rPr>
                <w:rFonts w:hint="eastAsia" w:ascii="宋体" w:hAnsi="宋体"/>
                <w:kern w:val="2"/>
                <w:szCs w:val="21"/>
              </w:rPr>
              <w:t>获得客观准确的基础数据</w:t>
            </w:r>
          </w:p>
        </w:tc>
      </w:tr>
      <w:tr w14:paraId="0E4A97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675" w:type="dxa"/>
            <w:noWrap/>
            <w:vAlign w:val="center"/>
          </w:tcPr>
          <w:p w14:paraId="6A7F1D8A">
            <w:pPr>
              <w:jc w:val="center"/>
              <w:rPr>
                <w:rFonts w:ascii="宋体" w:hAnsi="宋体"/>
                <w:kern w:val="2"/>
                <w:szCs w:val="21"/>
              </w:rPr>
            </w:pPr>
            <w:r>
              <w:rPr>
                <w:rFonts w:hint="eastAsia" w:ascii="宋体" w:hAnsi="宋体"/>
                <w:kern w:val="2"/>
                <w:szCs w:val="21"/>
              </w:rPr>
              <w:t>2</w:t>
            </w:r>
          </w:p>
        </w:tc>
        <w:tc>
          <w:tcPr>
            <w:tcW w:w="1546" w:type="dxa"/>
            <w:noWrap/>
            <w:vAlign w:val="center"/>
          </w:tcPr>
          <w:p w14:paraId="299D2E45">
            <w:pPr>
              <w:jc w:val="center"/>
              <w:rPr>
                <w:rFonts w:ascii="宋体" w:hAnsi="宋体"/>
                <w:kern w:val="2"/>
                <w:szCs w:val="21"/>
              </w:rPr>
            </w:pPr>
            <w:r>
              <w:rPr>
                <w:rFonts w:hint="eastAsia" w:ascii="宋体" w:hAnsi="宋体"/>
                <w:kern w:val="2"/>
                <w:szCs w:val="21"/>
              </w:rPr>
              <w:t>数据分析</w:t>
            </w:r>
          </w:p>
        </w:tc>
        <w:tc>
          <w:tcPr>
            <w:tcW w:w="4850" w:type="dxa"/>
            <w:noWrap/>
            <w:vAlign w:val="center"/>
          </w:tcPr>
          <w:p w14:paraId="0E04DF91">
            <w:pPr>
              <w:rPr>
                <w:rFonts w:ascii="宋体" w:hAnsi="宋体"/>
                <w:kern w:val="2"/>
                <w:szCs w:val="21"/>
              </w:rPr>
            </w:pPr>
            <w:r>
              <w:rPr>
                <w:rFonts w:hint="eastAsia" w:ascii="宋体" w:hAnsi="宋体"/>
                <w:kern w:val="2"/>
                <w:szCs w:val="21"/>
              </w:rPr>
              <w:t>对所搜集的信息进行分类汇总，对顾客、市场进行分层统计</w:t>
            </w:r>
          </w:p>
        </w:tc>
        <w:tc>
          <w:tcPr>
            <w:tcW w:w="2300" w:type="dxa"/>
            <w:noWrap/>
            <w:vAlign w:val="center"/>
          </w:tcPr>
          <w:p w14:paraId="6C0170A0">
            <w:pPr>
              <w:rPr>
                <w:rFonts w:ascii="宋体" w:hAnsi="宋体"/>
                <w:kern w:val="2"/>
                <w:szCs w:val="21"/>
              </w:rPr>
            </w:pPr>
            <w:r>
              <w:rPr>
                <w:rFonts w:hint="eastAsia" w:ascii="宋体" w:hAnsi="宋体"/>
                <w:kern w:val="2"/>
                <w:szCs w:val="21"/>
              </w:rPr>
              <w:t>查找规律性</w:t>
            </w:r>
          </w:p>
        </w:tc>
      </w:tr>
      <w:tr w14:paraId="6A395B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75" w:type="dxa"/>
            <w:noWrap/>
            <w:vAlign w:val="center"/>
          </w:tcPr>
          <w:p w14:paraId="5EAC4A55">
            <w:pPr>
              <w:jc w:val="center"/>
              <w:rPr>
                <w:rFonts w:ascii="宋体" w:hAnsi="宋体"/>
                <w:kern w:val="2"/>
                <w:szCs w:val="21"/>
              </w:rPr>
            </w:pPr>
            <w:r>
              <w:rPr>
                <w:rFonts w:hint="eastAsia" w:ascii="宋体" w:hAnsi="宋体"/>
                <w:kern w:val="2"/>
                <w:szCs w:val="21"/>
              </w:rPr>
              <w:t>3</w:t>
            </w:r>
          </w:p>
        </w:tc>
        <w:tc>
          <w:tcPr>
            <w:tcW w:w="1546" w:type="dxa"/>
            <w:noWrap/>
            <w:vAlign w:val="center"/>
          </w:tcPr>
          <w:p w14:paraId="12AC97D1">
            <w:pPr>
              <w:jc w:val="center"/>
              <w:rPr>
                <w:rFonts w:ascii="宋体" w:hAnsi="宋体"/>
                <w:kern w:val="2"/>
                <w:szCs w:val="21"/>
              </w:rPr>
            </w:pPr>
            <w:r>
              <w:rPr>
                <w:rFonts w:hint="eastAsia" w:ascii="宋体" w:hAnsi="宋体"/>
                <w:kern w:val="2"/>
                <w:szCs w:val="21"/>
              </w:rPr>
              <w:t>初步决策</w:t>
            </w:r>
          </w:p>
        </w:tc>
        <w:tc>
          <w:tcPr>
            <w:tcW w:w="4850" w:type="dxa"/>
            <w:noWrap/>
            <w:vAlign w:val="center"/>
          </w:tcPr>
          <w:p w14:paraId="0248E6D9">
            <w:pPr>
              <w:rPr>
                <w:rFonts w:ascii="宋体" w:hAnsi="宋体"/>
                <w:kern w:val="2"/>
                <w:szCs w:val="21"/>
              </w:rPr>
            </w:pPr>
            <w:r>
              <w:rPr>
                <w:rFonts w:hint="eastAsia" w:ascii="宋体" w:hAnsi="宋体"/>
                <w:kern w:val="2"/>
                <w:szCs w:val="21"/>
              </w:rPr>
              <w:t>根据公司战略、竞争优势拟定多个分类方案，形成相应市场标准和顾客选择依据</w:t>
            </w:r>
          </w:p>
        </w:tc>
        <w:tc>
          <w:tcPr>
            <w:tcW w:w="2300" w:type="dxa"/>
            <w:noWrap/>
            <w:vAlign w:val="center"/>
          </w:tcPr>
          <w:p w14:paraId="41CCD5F8">
            <w:pPr>
              <w:rPr>
                <w:rFonts w:ascii="宋体" w:hAnsi="宋体"/>
                <w:kern w:val="2"/>
                <w:szCs w:val="21"/>
              </w:rPr>
            </w:pPr>
            <w:r>
              <w:rPr>
                <w:rFonts w:hint="eastAsia" w:ascii="宋体" w:hAnsi="宋体"/>
                <w:kern w:val="2"/>
                <w:szCs w:val="21"/>
              </w:rPr>
              <w:t>提出市场分类结果和目标顾客清单</w:t>
            </w:r>
          </w:p>
        </w:tc>
      </w:tr>
      <w:tr w14:paraId="63D39C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75" w:type="dxa"/>
            <w:noWrap/>
            <w:vAlign w:val="center"/>
          </w:tcPr>
          <w:p w14:paraId="35721E0E">
            <w:pPr>
              <w:jc w:val="center"/>
              <w:rPr>
                <w:rFonts w:ascii="宋体" w:hAnsi="宋体"/>
                <w:kern w:val="2"/>
                <w:szCs w:val="21"/>
              </w:rPr>
            </w:pPr>
            <w:r>
              <w:rPr>
                <w:rFonts w:hint="eastAsia" w:ascii="宋体" w:hAnsi="宋体"/>
                <w:kern w:val="2"/>
                <w:szCs w:val="21"/>
              </w:rPr>
              <w:t>4</w:t>
            </w:r>
          </w:p>
        </w:tc>
        <w:tc>
          <w:tcPr>
            <w:tcW w:w="1546" w:type="dxa"/>
            <w:noWrap/>
            <w:vAlign w:val="center"/>
          </w:tcPr>
          <w:p w14:paraId="75F7C5D1">
            <w:pPr>
              <w:jc w:val="center"/>
              <w:rPr>
                <w:rFonts w:ascii="宋体" w:hAnsi="宋体"/>
                <w:kern w:val="2"/>
                <w:szCs w:val="21"/>
              </w:rPr>
            </w:pPr>
            <w:r>
              <w:rPr>
                <w:rFonts w:hint="eastAsia" w:ascii="宋体" w:hAnsi="宋体"/>
                <w:kern w:val="2"/>
                <w:szCs w:val="21"/>
              </w:rPr>
              <w:t>验证调整</w:t>
            </w:r>
          </w:p>
        </w:tc>
        <w:tc>
          <w:tcPr>
            <w:tcW w:w="4850" w:type="dxa"/>
            <w:noWrap/>
            <w:vAlign w:val="center"/>
          </w:tcPr>
          <w:p w14:paraId="3D6CCEC0">
            <w:pPr>
              <w:rPr>
                <w:rFonts w:ascii="宋体" w:hAnsi="宋体"/>
                <w:kern w:val="2"/>
                <w:szCs w:val="21"/>
              </w:rPr>
            </w:pPr>
            <w:r>
              <w:rPr>
                <w:rFonts w:hint="eastAsia" w:ascii="宋体" w:hAnsi="宋体"/>
                <w:kern w:val="2"/>
                <w:szCs w:val="21"/>
              </w:rPr>
              <w:t>在初步决策基础上，针对市场细分情况和不同顾客需求，拟定不同营销策略，对分类标准和方法与营销策略进行双向优化调整</w:t>
            </w:r>
          </w:p>
        </w:tc>
        <w:tc>
          <w:tcPr>
            <w:tcW w:w="2300" w:type="dxa"/>
            <w:noWrap/>
            <w:vAlign w:val="center"/>
          </w:tcPr>
          <w:p w14:paraId="12445DEA">
            <w:pPr>
              <w:rPr>
                <w:rFonts w:ascii="宋体" w:hAnsi="宋体"/>
                <w:kern w:val="2"/>
                <w:szCs w:val="21"/>
              </w:rPr>
            </w:pPr>
            <w:r>
              <w:rPr>
                <w:rFonts w:hint="eastAsia" w:ascii="宋体" w:hAnsi="宋体"/>
                <w:kern w:val="2"/>
                <w:szCs w:val="21"/>
              </w:rPr>
              <w:t>确定目标市场和顾客分类</w:t>
            </w:r>
          </w:p>
        </w:tc>
      </w:tr>
      <w:bookmarkEnd w:id="34"/>
    </w:tbl>
    <w:p w14:paraId="4823A5FC">
      <w:pPr>
        <w:spacing w:line="360" w:lineRule="auto"/>
        <w:ind w:firstLine="472" w:firstLineChars="196"/>
        <w:rPr>
          <w:rFonts w:ascii="宋体" w:hAnsi="宋体"/>
          <w:b/>
        </w:rPr>
      </w:pPr>
      <w:r>
        <w:rPr>
          <w:rFonts w:hint="eastAsia" w:ascii="宋体" w:hAnsi="宋体"/>
          <w:b/>
          <w:bCs/>
        </w:rPr>
        <w:t>a) 对顾客群和市场的细分</w:t>
      </w:r>
    </w:p>
    <w:p w14:paraId="1AA37F7A">
      <w:pPr>
        <w:spacing w:line="360" w:lineRule="auto"/>
        <w:ind w:firstLine="420"/>
      </w:pPr>
      <w:r>
        <w:rPr>
          <w:rFonts w:hint="eastAsia"/>
        </w:rPr>
        <w:t>公司始终坚持以市场为导向，把市场营销作为企业生产经营的出发点和落脚点。在营销方面，重点抓客户的建设，进行大规模的机构建设和开发，公司积极维护业务，近年来国际市场每年递增趋势，国内市场陆续在杭州/江苏/上海</w:t>
      </w:r>
      <w:bookmarkStart w:id="83" w:name="_GoBack"/>
      <w:bookmarkEnd w:id="83"/>
      <w:r>
        <w:rPr>
          <w:rFonts w:hint="eastAsia"/>
        </w:rPr>
        <w:t xml:space="preserve">多个地区也建立了稳定的市场。 </w:t>
      </w:r>
    </w:p>
    <w:p w14:paraId="0D5E3760">
      <w:pPr>
        <w:pStyle w:val="36"/>
        <w:spacing w:line="360" w:lineRule="auto"/>
        <w:ind w:firstLine="0" w:firstLineChars="0"/>
        <w:jc w:val="center"/>
        <w:rPr>
          <w:rFonts w:ascii="黑体" w:hAnsi="黑体" w:eastAsia="黑体"/>
          <w:b/>
          <w:bCs/>
          <w:color w:val="auto"/>
          <w:sz w:val="21"/>
          <w:szCs w:val="21"/>
        </w:rPr>
      </w:pPr>
      <w:r>
        <w:rPr>
          <w:rFonts w:hint="eastAsia" w:ascii="黑体" w:hAnsi="黑体" w:eastAsia="黑体"/>
          <w:b/>
          <w:bCs/>
          <w:color w:val="auto"/>
          <w:sz w:val="21"/>
          <w:szCs w:val="21"/>
        </w:rPr>
        <w:t>表4.3.2-2 顾客群、细分市场综合分类</w:t>
      </w:r>
    </w:p>
    <w:tbl>
      <w:tblPr>
        <w:tblStyle w:val="22"/>
        <w:tblW w:w="9350" w:type="dxa"/>
        <w:tblInd w:w="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264"/>
        <w:gridCol w:w="7086"/>
      </w:tblGrid>
      <w:tr w14:paraId="4CFDF8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7" w:hRule="atLeast"/>
        </w:trPr>
        <w:tc>
          <w:tcPr>
            <w:tcW w:w="2264" w:type="dxa"/>
            <w:tcBorders>
              <w:top w:val="single" w:color="auto" w:sz="12" w:space="0"/>
              <w:bottom w:val="single" w:color="auto" w:sz="6" w:space="0"/>
            </w:tcBorders>
            <w:shd w:val="clear" w:color="auto" w:fill="757070"/>
            <w:noWrap/>
            <w:vAlign w:val="center"/>
          </w:tcPr>
          <w:p w14:paraId="727F1F5C">
            <w:pPr>
              <w:jc w:val="center"/>
              <w:rPr>
                <w:rFonts w:ascii="宋体" w:hAnsi="宋体" w:cs="宋体"/>
                <w:b/>
                <w:szCs w:val="21"/>
              </w:rPr>
            </w:pPr>
            <w:r>
              <w:rPr>
                <w:rFonts w:hint="eastAsia" w:ascii="宋体" w:hAnsi="宋体" w:cs="宋体"/>
                <w:b/>
                <w:szCs w:val="21"/>
              </w:rPr>
              <w:t>细分方法</w:t>
            </w:r>
          </w:p>
        </w:tc>
        <w:tc>
          <w:tcPr>
            <w:tcW w:w="7086" w:type="dxa"/>
            <w:tcBorders>
              <w:top w:val="single" w:color="auto" w:sz="12" w:space="0"/>
              <w:bottom w:val="single" w:color="auto" w:sz="6" w:space="0"/>
              <w:right w:val="single" w:color="auto" w:sz="4" w:space="0"/>
            </w:tcBorders>
            <w:shd w:val="clear" w:color="auto" w:fill="757070"/>
            <w:noWrap/>
            <w:vAlign w:val="center"/>
          </w:tcPr>
          <w:p w14:paraId="11E30330">
            <w:pPr>
              <w:ind w:firstLine="361"/>
              <w:jc w:val="center"/>
              <w:rPr>
                <w:rFonts w:ascii="宋体" w:hAnsi="宋体" w:cs="宋体"/>
                <w:b/>
                <w:szCs w:val="21"/>
              </w:rPr>
            </w:pPr>
            <w:r>
              <w:rPr>
                <w:rFonts w:hint="eastAsia" w:ascii="宋体" w:hAnsi="宋体" w:cs="宋体"/>
                <w:b/>
                <w:szCs w:val="21"/>
              </w:rPr>
              <w:t>细分结果</w:t>
            </w:r>
          </w:p>
        </w:tc>
      </w:tr>
      <w:tr w14:paraId="38E84D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2264" w:type="dxa"/>
            <w:tcBorders>
              <w:top w:val="single" w:color="auto" w:sz="6" w:space="0"/>
            </w:tcBorders>
            <w:noWrap/>
            <w:vAlign w:val="center"/>
          </w:tcPr>
          <w:p w14:paraId="46265825">
            <w:pPr>
              <w:jc w:val="center"/>
              <w:rPr>
                <w:rFonts w:ascii="宋体" w:hAnsi="宋体" w:cs="宋体"/>
                <w:szCs w:val="21"/>
              </w:rPr>
            </w:pPr>
            <w:r>
              <w:rPr>
                <w:rFonts w:hint="eastAsia" w:ascii="宋体" w:hAnsi="宋体" w:cs="宋体"/>
                <w:szCs w:val="21"/>
              </w:rPr>
              <w:t>国际市场</w:t>
            </w:r>
          </w:p>
        </w:tc>
        <w:tc>
          <w:tcPr>
            <w:tcW w:w="7086" w:type="dxa"/>
            <w:tcBorders>
              <w:top w:val="single" w:color="auto" w:sz="6" w:space="0"/>
              <w:right w:val="single" w:color="auto" w:sz="4" w:space="0"/>
            </w:tcBorders>
            <w:noWrap/>
            <w:vAlign w:val="center"/>
          </w:tcPr>
          <w:p w14:paraId="48106B11">
            <w:pPr>
              <w:rPr>
                <w:rFonts w:ascii="宋体" w:hAnsi="宋体"/>
                <w:kern w:val="2"/>
                <w:szCs w:val="21"/>
                <w:highlight w:val="yellow"/>
              </w:rPr>
            </w:pPr>
            <w:r>
              <w:rPr>
                <w:rFonts w:hint="eastAsia" w:ascii="宋体" w:hAnsi="宋体" w:cs="宋体"/>
                <w:spacing w:val="-12"/>
                <w:szCs w:val="21"/>
              </w:rPr>
              <w:t>欧洲、中东及东南亚等30多个国家</w:t>
            </w:r>
          </w:p>
        </w:tc>
      </w:tr>
      <w:tr w14:paraId="5BD33A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2264" w:type="dxa"/>
            <w:noWrap/>
            <w:vAlign w:val="center"/>
          </w:tcPr>
          <w:p w14:paraId="42E00E4A">
            <w:pPr>
              <w:jc w:val="center"/>
              <w:rPr>
                <w:rFonts w:ascii="宋体" w:hAnsi="宋体" w:cs="宋体"/>
                <w:szCs w:val="21"/>
              </w:rPr>
            </w:pPr>
            <w:r>
              <w:rPr>
                <w:rFonts w:hint="eastAsia" w:ascii="宋体" w:hAnsi="宋体" w:cs="宋体"/>
                <w:szCs w:val="21"/>
              </w:rPr>
              <w:t>国内市场</w:t>
            </w:r>
          </w:p>
        </w:tc>
        <w:tc>
          <w:tcPr>
            <w:tcW w:w="7086" w:type="dxa"/>
            <w:tcBorders>
              <w:right w:val="single" w:color="auto" w:sz="4" w:space="0"/>
            </w:tcBorders>
            <w:noWrap/>
            <w:vAlign w:val="center"/>
          </w:tcPr>
          <w:p w14:paraId="2890F351">
            <w:pPr>
              <w:rPr>
                <w:rFonts w:ascii="宋体" w:hAnsi="宋体"/>
                <w:kern w:val="2"/>
                <w:szCs w:val="21"/>
              </w:rPr>
            </w:pPr>
            <w:r>
              <w:rPr>
                <w:rFonts w:hint="eastAsia" w:ascii="宋体" w:hAnsi="宋体"/>
                <w:kern w:val="2"/>
                <w:szCs w:val="21"/>
              </w:rPr>
              <w:t>杭州/江苏/上海/北京/其它省份</w:t>
            </w:r>
          </w:p>
        </w:tc>
      </w:tr>
      <w:tr w14:paraId="6F5556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trPr>
        <w:tc>
          <w:tcPr>
            <w:tcW w:w="2264" w:type="dxa"/>
            <w:noWrap/>
            <w:vAlign w:val="center"/>
          </w:tcPr>
          <w:p w14:paraId="51734772">
            <w:pPr>
              <w:jc w:val="center"/>
              <w:rPr>
                <w:rFonts w:ascii="宋体" w:hAnsi="宋体" w:cs="宋体"/>
                <w:color w:val="000000"/>
                <w:szCs w:val="21"/>
              </w:rPr>
            </w:pPr>
            <w:r>
              <w:rPr>
                <w:rFonts w:hint="eastAsia" w:ascii="宋体" w:hAnsi="宋体" w:cs="宋体"/>
                <w:color w:val="000000"/>
                <w:szCs w:val="21"/>
              </w:rPr>
              <w:t>客户等级</w:t>
            </w:r>
          </w:p>
        </w:tc>
        <w:tc>
          <w:tcPr>
            <w:tcW w:w="7086" w:type="dxa"/>
            <w:tcBorders>
              <w:right w:val="single" w:color="auto" w:sz="4" w:space="0"/>
            </w:tcBorders>
            <w:noWrap/>
            <w:vAlign w:val="center"/>
          </w:tcPr>
          <w:p w14:paraId="4E88C0B2">
            <w:pPr>
              <w:rPr>
                <w:rFonts w:ascii="宋体" w:hAnsi="宋体" w:cs="宋体"/>
                <w:color w:val="000000"/>
                <w:szCs w:val="21"/>
              </w:rPr>
            </w:pPr>
            <w:r>
              <w:rPr>
                <w:rFonts w:hint="eastAsia"/>
                <w:kern w:val="2"/>
                <w:szCs w:val="21"/>
              </w:rPr>
              <w:t>战略客户、核心客户、重点客户</w:t>
            </w:r>
          </w:p>
        </w:tc>
      </w:tr>
    </w:tbl>
    <w:p w14:paraId="37D75982">
      <w:pPr>
        <w:spacing w:line="360" w:lineRule="auto"/>
        <w:ind w:firstLine="482" w:firstLineChars="200"/>
        <w:rPr>
          <w:rFonts w:ascii="宋体" w:hAnsi="宋体"/>
          <w:b/>
        </w:rPr>
      </w:pPr>
      <w:r>
        <w:rPr>
          <w:rFonts w:hint="eastAsia" w:ascii="宋体" w:hAnsi="宋体"/>
          <w:b/>
        </w:rPr>
        <w:t>b) 按营销区域客户等级细分市场</w:t>
      </w:r>
    </w:p>
    <w:p w14:paraId="5B919862">
      <w:pPr>
        <w:spacing w:line="360" w:lineRule="auto"/>
        <w:ind w:firstLine="420"/>
        <w:rPr>
          <w:rFonts w:ascii="宋体" w:hAnsi="宋体"/>
          <w:b/>
        </w:rPr>
      </w:pPr>
      <w:r>
        <w:rPr>
          <w:rFonts w:hint="eastAsia"/>
        </w:rPr>
        <w:t>公司积极开拓市场，拥有专业营销中心，销售网络良好</w:t>
      </w:r>
      <w:r>
        <w:rPr>
          <w:rFonts w:hint="eastAsia" w:ascii="宋体" w:hAnsi="宋体"/>
          <w:b/>
        </w:rPr>
        <w:t>。</w:t>
      </w:r>
    </w:p>
    <w:p w14:paraId="7B8FBE5D">
      <w:pPr>
        <w:pStyle w:val="13"/>
        <w:adjustRightInd w:val="0"/>
        <w:snapToGrid w:val="0"/>
        <w:ind w:left="0" w:leftChars="0"/>
        <w:rPr>
          <w:rFonts w:ascii="宋体" w:hAnsi="宋体"/>
          <w:b/>
        </w:rPr>
      </w:pPr>
      <w:r>
        <w:rPr>
          <w:rFonts w:hint="eastAsia" w:ascii="宋体" w:hAnsi="宋体"/>
          <w:b/>
        </w:rPr>
        <w:t>4.3.2.2.2如何考虑竞争对手的顾客及其他潜在的顾客和市场</w:t>
      </w:r>
    </w:p>
    <w:p w14:paraId="54870306">
      <w:pPr>
        <w:spacing w:line="360" w:lineRule="auto"/>
        <w:ind w:firstLine="480" w:firstLineChars="200"/>
      </w:pPr>
      <w:r>
        <w:rPr>
          <w:rFonts w:hint="eastAsia"/>
        </w:rPr>
        <w:t>通过对竞争者顾客和潜在顾客的信息收集，多种途径发掘他们的需求和期望。如通过与顾客交流、信息收集、市场渗透、市场开发、优势策略和邀请参观等，与竞争者顾客和潜在顾客加强沟通，使他们接触和了解公司的产品和服务，实现购买决策的转变。</w:t>
      </w:r>
    </w:p>
    <w:p w14:paraId="5A8BE627">
      <w:pPr>
        <w:spacing w:line="360" w:lineRule="auto"/>
        <w:ind w:firstLine="480" w:firstLineChars="200"/>
        <w:rPr>
          <w:rFonts w:ascii="宋体" w:hAnsi="宋体" w:cs="宋体"/>
          <w:color w:val="000000"/>
        </w:rPr>
      </w:pPr>
      <w:r>
        <w:rPr>
          <w:rFonts w:hint="eastAsia" w:ascii="宋体" w:hAnsi="宋体" w:cs="T20"/>
        </w:rPr>
        <w:t>公司把目</w:t>
      </w:r>
      <w:r>
        <w:rPr>
          <w:rFonts w:hint="eastAsia" w:ascii="宋体" w:hAnsi="宋体" w:cs="T26"/>
        </w:rPr>
        <w:t>前还没</w:t>
      </w:r>
      <w:r>
        <w:rPr>
          <w:rFonts w:hint="eastAsia" w:ascii="宋体" w:hAnsi="宋体" w:cs="T20"/>
        </w:rPr>
        <w:t>有购买</w:t>
      </w:r>
      <w:r>
        <w:rPr>
          <w:rFonts w:hint="eastAsia" w:ascii="宋体" w:hAnsi="宋体" w:cs="T20"/>
          <w:lang w:eastAsia="zh-CN"/>
        </w:rPr>
        <w:t>中凯涂料</w:t>
      </w:r>
      <w:r>
        <w:rPr>
          <w:rFonts w:hint="eastAsia" w:ascii="宋体" w:hAnsi="宋体" w:cs="T20"/>
        </w:rPr>
        <w:t>产品的顾客</w:t>
      </w:r>
      <w:r>
        <w:rPr>
          <w:rFonts w:hint="eastAsia" w:ascii="宋体" w:hAnsi="宋体" w:cs="T26"/>
        </w:rPr>
        <w:t>视作</w:t>
      </w:r>
      <w:r>
        <w:rPr>
          <w:rFonts w:hint="eastAsia" w:ascii="宋体" w:hAnsi="宋体" w:cs="T20"/>
        </w:rPr>
        <w:t>公司</w:t>
      </w:r>
      <w:r>
        <w:rPr>
          <w:rFonts w:hint="eastAsia" w:ascii="宋体" w:hAnsi="宋体" w:cs="T26"/>
        </w:rPr>
        <w:t>潜</w:t>
      </w:r>
      <w:r>
        <w:rPr>
          <w:rFonts w:hint="eastAsia" w:ascii="宋体" w:hAnsi="宋体" w:cs="T20"/>
        </w:rPr>
        <w:t>在顾客，把一</w:t>
      </w:r>
      <w:r>
        <w:rPr>
          <w:rFonts w:hint="eastAsia" w:ascii="宋体" w:hAnsi="宋体" w:cs="T26"/>
        </w:rPr>
        <w:t>直选择其它</w:t>
      </w:r>
      <w:r>
        <w:rPr>
          <w:rFonts w:hint="eastAsia" w:ascii="宋体" w:hAnsi="宋体" w:cs="T20"/>
        </w:rPr>
        <w:t>品牌的顾客</w:t>
      </w:r>
      <w:r>
        <w:rPr>
          <w:rFonts w:hint="eastAsia" w:ascii="宋体" w:hAnsi="宋体" w:cs="T26"/>
        </w:rPr>
        <w:t>作</w:t>
      </w:r>
      <w:r>
        <w:rPr>
          <w:rFonts w:hint="eastAsia" w:ascii="宋体" w:hAnsi="宋体" w:cs="T20"/>
        </w:rPr>
        <w:t>为公司竞争对手顾客。</w:t>
      </w:r>
      <w:r>
        <w:rPr>
          <w:rFonts w:hint="eastAsia" w:ascii="宋体" w:hAnsi="宋体" w:cs="宋体"/>
          <w:color w:val="000000"/>
        </w:rPr>
        <w:t>在细分市场和确定公司目标顾客群过程中，针对竞争对手，由销售部负责竞争情报的收集和分析工作。通过市场调研，竞争对手实力及产品和服务的分析、竞争对手顾客群需求和潜在顾客要求的分析进行市场细分，确定了目标顾客群。</w:t>
      </w:r>
    </w:p>
    <w:p w14:paraId="4409525D">
      <w:pPr>
        <w:spacing w:line="360" w:lineRule="auto"/>
        <w:rPr>
          <w:rFonts w:ascii="宋体" w:hAnsi="宋体" w:cs="宋体"/>
          <w:color w:val="000000"/>
        </w:rPr>
      </w:pPr>
      <w:r>
        <w:rPr>
          <w:rFonts w:hint="eastAsia" w:ascii="宋体" w:hAnsi="宋体"/>
          <w:b/>
          <w:bCs/>
        </w:rPr>
        <w:t>4.3.2.3 顾客需求和期望的了解</w:t>
      </w:r>
    </w:p>
    <w:p w14:paraId="34A99EB7">
      <w:pPr>
        <w:spacing w:line="360" w:lineRule="auto"/>
        <w:rPr>
          <w:rFonts w:ascii="宋体" w:hAnsi="宋体" w:cs="宋体"/>
          <w:b/>
          <w:color w:val="000000"/>
        </w:rPr>
      </w:pPr>
      <w:r>
        <w:rPr>
          <w:rFonts w:hint="eastAsia" w:ascii="宋体" w:hAnsi="宋体"/>
          <w:b/>
          <w:bCs/>
        </w:rPr>
        <w:t>4.3.2.3.1</w:t>
      </w:r>
      <w:r>
        <w:rPr>
          <w:rFonts w:hint="eastAsia" w:ascii="宋体" w:hAnsi="宋体" w:cs="宋体"/>
          <w:b/>
          <w:color w:val="000000"/>
        </w:rPr>
        <w:t>了解顾客需求和期望的方法</w:t>
      </w:r>
    </w:p>
    <w:p w14:paraId="6A3A9FA8">
      <w:pPr>
        <w:spacing w:line="360" w:lineRule="auto"/>
        <w:ind w:firstLine="420"/>
        <w:rPr>
          <w:rFonts w:ascii="宋体" w:hAnsi="宋体"/>
        </w:rPr>
      </w:pPr>
      <w:r>
        <w:rPr>
          <w:rFonts w:hint="eastAsia" w:ascii="宋体" w:hAnsi="宋体"/>
        </w:rPr>
        <w:t>不同的顾客需求和期望的侧重点不同的，公司采取不同倾听和了解方法来确定关键顾客的需求。规定销售人员深入市场调查研究，针对不同客户群体，如在国内顾客、竞争者顾客和潜在顾客中采用专题会议，收集包括产品、交付和服务要求等信息，确定当前和未来需要。公司对收集的需求进行分析和排序。</w:t>
      </w:r>
    </w:p>
    <w:p w14:paraId="660BCD51">
      <w:pPr>
        <w:spacing w:line="360" w:lineRule="auto"/>
        <w:ind w:firstLine="420"/>
        <w:rPr>
          <w:rFonts w:ascii="宋体" w:hAnsi="宋体"/>
        </w:rPr>
      </w:pPr>
      <w:r>
        <w:rPr>
          <w:rFonts w:ascii="宋体" w:hAnsi="宋体"/>
        </w:rPr>
        <w:t>为了赢得顾客，</w:t>
      </w:r>
      <w:r>
        <w:rPr>
          <w:rFonts w:hint="eastAsia" w:ascii="宋体" w:hAnsi="宋体"/>
        </w:rPr>
        <w:t>公司</w:t>
      </w:r>
      <w:r>
        <w:rPr>
          <w:rFonts w:ascii="宋体" w:hAnsi="宋体"/>
        </w:rPr>
        <w:t>一是准确、深入</w:t>
      </w:r>
      <w:r>
        <w:rPr>
          <w:rFonts w:hint="eastAsia" w:ascii="宋体" w:hAnsi="宋体"/>
        </w:rPr>
        <w:t>地</w:t>
      </w:r>
      <w:r>
        <w:rPr>
          <w:rFonts w:ascii="宋体" w:hAnsi="宋体"/>
        </w:rPr>
        <w:t>把握目标顾客的关注价值</w:t>
      </w:r>
      <w:r>
        <w:rPr>
          <w:rFonts w:hint="eastAsia" w:ascii="宋体" w:hAnsi="宋体"/>
        </w:rPr>
        <w:t>，</w:t>
      </w:r>
      <w:r>
        <w:rPr>
          <w:rFonts w:ascii="宋体" w:hAnsi="宋体"/>
        </w:rPr>
        <w:t>并通过技术</w:t>
      </w:r>
      <w:r>
        <w:rPr>
          <w:rFonts w:hint="eastAsia" w:ascii="宋体" w:hAnsi="宋体"/>
        </w:rPr>
        <w:t>、</w:t>
      </w:r>
      <w:r>
        <w:rPr>
          <w:rFonts w:ascii="宋体" w:hAnsi="宋体"/>
        </w:rPr>
        <w:t>营销手段向顾客展示</w:t>
      </w:r>
      <w:r>
        <w:rPr>
          <w:rFonts w:hint="eastAsia" w:ascii="宋体" w:hAnsi="宋体"/>
        </w:rPr>
        <w:t>产品</w:t>
      </w:r>
      <w:r>
        <w:rPr>
          <w:rFonts w:ascii="宋体" w:hAnsi="宋体"/>
        </w:rPr>
        <w:t>价值；二是对顾客施加影响，使顾客关注价值恰好是产品和服务所能提供的价值。</w:t>
      </w:r>
      <w:r>
        <w:rPr>
          <w:rFonts w:hint="eastAsia" w:ascii="宋体" w:hAnsi="宋体"/>
        </w:rPr>
        <w:t>公司</w:t>
      </w:r>
      <w:r>
        <w:rPr>
          <w:rFonts w:ascii="宋体" w:hAnsi="宋体"/>
        </w:rPr>
        <w:t>通过深入细致的售前服务</w:t>
      </w:r>
      <w:r>
        <w:rPr>
          <w:rFonts w:hint="eastAsia" w:ascii="宋体" w:hAnsi="宋体"/>
        </w:rPr>
        <w:t>，</w:t>
      </w:r>
      <w:r>
        <w:rPr>
          <w:rFonts w:ascii="宋体" w:hAnsi="宋体"/>
        </w:rPr>
        <w:t>了解顾客的</w:t>
      </w:r>
      <w:r>
        <w:rPr>
          <w:rFonts w:hint="eastAsia" w:ascii="宋体" w:hAnsi="宋体"/>
        </w:rPr>
        <w:t>需求和期望，定期调查</w:t>
      </w:r>
      <w:r>
        <w:rPr>
          <w:rFonts w:ascii="宋体" w:hAnsi="宋体"/>
        </w:rPr>
        <w:t>顾客</w:t>
      </w:r>
      <w:r>
        <w:rPr>
          <w:rFonts w:hint="eastAsia" w:ascii="宋体" w:hAnsi="宋体"/>
        </w:rPr>
        <w:t>对公司与竞争对手产品的选择，以及他们对产品</w:t>
      </w:r>
      <w:r>
        <w:rPr>
          <w:rFonts w:ascii="宋体" w:hAnsi="宋体"/>
        </w:rPr>
        <w:t>重要到不重要的排列顺序</w:t>
      </w:r>
      <w:r>
        <w:rPr>
          <w:rFonts w:hint="eastAsia" w:ascii="宋体" w:hAnsi="宋体"/>
        </w:rPr>
        <w:t>，并能够在适当时机影响顾客的购买决策过程</w:t>
      </w:r>
      <w:r>
        <w:rPr>
          <w:rFonts w:ascii="宋体" w:hAnsi="宋体"/>
        </w:rPr>
        <w:t>。</w:t>
      </w:r>
      <w:r>
        <w:rPr>
          <w:rFonts w:hint="eastAsia" w:ascii="宋体" w:hAnsi="宋体"/>
        </w:rPr>
        <w:t>同时每年都能</w:t>
      </w:r>
      <w:r>
        <w:rPr>
          <w:rFonts w:ascii="宋体" w:hAnsi="宋体"/>
        </w:rPr>
        <w:t>有针对性地安排活动，</w:t>
      </w:r>
      <w:r>
        <w:rPr>
          <w:rFonts w:hint="eastAsia" w:ascii="宋体" w:hAnsi="宋体"/>
        </w:rPr>
        <w:t>采用多种方法来了解各类顾客的不同需求。</w:t>
      </w:r>
      <w:r>
        <w:rPr>
          <w:rFonts w:ascii="宋体" w:hAnsi="宋体"/>
        </w:rPr>
        <w:t>在活动中突出自己的产品在顾客认为最为重要的</w:t>
      </w:r>
      <w:r>
        <w:rPr>
          <w:rFonts w:hint="eastAsia" w:ascii="宋体" w:hAnsi="宋体"/>
        </w:rPr>
        <w:t>质量特性</w:t>
      </w:r>
      <w:r>
        <w:rPr>
          <w:rFonts w:ascii="宋体" w:hAnsi="宋体"/>
        </w:rPr>
        <w:t>，并通过各种努力来证明自己提供的这些</w:t>
      </w:r>
      <w:r>
        <w:rPr>
          <w:rFonts w:hint="eastAsia" w:ascii="宋体" w:hAnsi="宋体"/>
        </w:rPr>
        <w:t>产品的质量特性</w:t>
      </w:r>
      <w:r>
        <w:rPr>
          <w:rFonts w:ascii="宋体" w:hAnsi="宋体"/>
        </w:rPr>
        <w:t>是真实可靠的</w:t>
      </w:r>
      <w:r>
        <w:rPr>
          <w:rFonts w:hint="eastAsia" w:ascii="宋体" w:hAnsi="宋体"/>
        </w:rPr>
        <w:t>。</w:t>
      </w:r>
    </w:p>
    <w:p w14:paraId="6DD07BBB">
      <w:pPr>
        <w:spacing w:line="360" w:lineRule="auto"/>
        <w:ind w:firstLine="484" w:firstLineChars="202"/>
        <w:rPr>
          <w:rFonts w:ascii="宋体" w:hAnsi="宋体"/>
        </w:rPr>
      </w:pPr>
      <w:r>
        <w:rPr>
          <w:rFonts w:hint="eastAsia" w:ascii="宋体" w:hAnsi="宋体"/>
        </w:rPr>
        <w:t>公司针对不同的顾客群体的需求和期望，采用不同的了解方法。对战略顾客和重点顾客加倍重视，还采取了如下措施：</w:t>
      </w:r>
    </w:p>
    <w:p w14:paraId="7227B6EE">
      <w:pPr>
        <w:spacing w:line="360" w:lineRule="auto"/>
        <w:ind w:firstLine="420"/>
        <w:rPr>
          <w:rFonts w:ascii="宋体" w:hAnsi="宋体"/>
        </w:rPr>
      </w:pPr>
      <w:r>
        <w:rPr>
          <w:rFonts w:hint="eastAsia" w:ascii="宋体" w:hAnsi="宋体"/>
        </w:rPr>
        <w:t>◆</w:t>
      </w:r>
      <w:r>
        <w:rPr>
          <w:rFonts w:ascii="宋体" w:hAnsi="宋体"/>
        </w:rPr>
        <w:t>邀请顾客考察生产流程，展示企业实力，使顾客增强对产品品质、供货能力、厂家信誉度等方面的信心；</w:t>
      </w:r>
    </w:p>
    <w:p w14:paraId="78A1CE5B">
      <w:pPr>
        <w:spacing w:line="360" w:lineRule="auto"/>
        <w:ind w:firstLine="420"/>
        <w:rPr>
          <w:rFonts w:ascii="宋体" w:hAnsi="宋体"/>
        </w:rPr>
      </w:pPr>
      <w:r>
        <w:rPr>
          <w:rFonts w:hint="eastAsia" w:ascii="宋体" w:hAnsi="宋体"/>
        </w:rPr>
        <w:t>◆</w:t>
      </w:r>
      <w:r>
        <w:rPr>
          <w:rFonts w:ascii="宋体" w:hAnsi="宋体"/>
        </w:rPr>
        <w:t>邀请顾客参加交流会，通过演示、演讲、现场试验等方式向顾客介绍产品的技术，现场与顾客进行技术交流，使顾客全面了解企业的产品，消除疑虑；</w:t>
      </w:r>
    </w:p>
    <w:p w14:paraId="727669AC">
      <w:pPr>
        <w:spacing w:line="360" w:lineRule="auto"/>
        <w:ind w:firstLine="420"/>
        <w:rPr>
          <w:rFonts w:ascii="宋体" w:hAnsi="宋体"/>
        </w:rPr>
      </w:pPr>
      <w:r>
        <w:rPr>
          <w:rFonts w:hint="eastAsia" w:ascii="宋体" w:hAnsi="宋体"/>
        </w:rPr>
        <w:t>◆</w:t>
      </w:r>
      <w:r>
        <w:rPr>
          <w:rFonts w:ascii="宋体" w:hAnsi="宋体"/>
        </w:rPr>
        <w:t>向顾客展示业绩、权威机构对质量、标准、技术水平、项目实施能力等方面的资质和认证，或邀请顾客方技术权威或顾客认可的第三方对产品技术水平进行评价和认定，增加顾客对价值真实性的认可</w:t>
      </w:r>
      <w:r>
        <w:rPr>
          <w:rFonts w:hint="eastAsia" w:ascii="宋体" w:hAnsi="宋体"/>
        </w:rPr>
        <w:t>。</w:t>
      </w:r>
    </w:p>
    <w:p w14:paraId="43C0EBFD">
      <w:pPr>
        <w:pStyle w:val="40"/>
        <w:spacing w:before="156" w:line="240" w:lineRule="auto"/>
        <w:rPr>
          <w:rFonts w:ascii="宋体" w:hAnsi="宋体"/>
        </w:rPr>
      </w:pPr>
      <w:r>
        <w:rPr>
          <w:rFonts w:hint="eastAsia" w:ascii="宋体" w:hAnsi="宋体"/>
        </w:rPr>
        <w:t>表4.3-4了解不同顾客群体需求的方法</w:t>
      </w:r>
    </w:p>
    <w:tbl>
      <w:tblPr>
        <w:tblStyle w:val="22"/>
        <w:tblW w:w="8115" w:type="dxa"/>
        <w:tblInd w:w="93"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757"/>
        <w:gridCol w:w="2934"/>
        <w:gridCol w:w="3424"/>
      </w:tblGrid>
      <w:tr w14:paraId="7B7837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1757" w:type="dxa"/>
            <w:tcBorders>
              <w:top w:val="single" w:color="auto" w:sz="12" w:space="0"/>
              <w:bottom w:val="single" w:color="auto" w:sz="6" w:space="0"/>
            </w:tcBorders>
            <w:shd w:val="clear" w:color="auto" w:fill="757070"/>
            <w:noWrap/>
            <w:vAlign w:val="center"/>
          </w:tcPr>
          <w:p w14:paraId="5B2A102A">
            <w:pPr>
              <w:jc w:val="center"/>
              <w:rPr>
                <w:rFonts w:ascii="宋体" w:hAnsi="宋体" w:cs="宋体"/>
                <w:b/>
                <w:szCs w:val="21"/>
              </w:rPr>
            </w:pPr>
            <w:r>
              <w:rPr>
                <w:rFonts w:hint="eastAsia" w:ascii="宋体" w:hAnsi="宋体" w:cs="宋体"/>
                <w:b/>
                <w:szCs w:val="21"/>
              </w:rPr>
              <w:t>细分角度</w:t>
            </w:r>
          </w:p>
        </w:tc>
        <w:tc>
          <w:tcPr>
            <w:tcW w:w="2934" w:type="dxa"/>
            <w:tcBorders>
              <w:top w:val="single" w:color="auto" w:sz="12" w:space="0"/>
              <w:bottom w:val="single" w:color="auto" w:sz="6" w:space="0"/>
              <w:right w:val="single" w:color="auto" w:sz="4" w:space="0"/>
            </w:tcBorders>
            <w:shd w:val="clear" w:color="auto" w:fill="757070"/>
            <w:noWrap/>
            <w:vAlign w:val="center"/>
          </w:tcPr>
          <w:p w14:paraId="77BB117E">
            <w:pPr>
              <w:jc w:val="center"/>
              <w:rPr>
                <w:rFonts w:ascii="宋体" w:hAnsi="宋体" w:cs="宋体"/>
                <w:b/>
                <w:szCs w:val="21"/>
              </w:rPr>
            </w:pPr>
            <w:r>
              <w:rPr>
                <w:rFonts w:hint="eastAsia" w:ascii="宋体" w:hAnsi="宋体" w:cs="宋体"/>
                <w:b/>
                <w:szCs w:val="21"/>
              </w:rPr>
              <w:t>需求特性顺序</w:t>
            </w:r>
          </w:p>
        </w:tc>
        <w:tc>
          <w:tcPr>
            <w:tcW w:w="3424" w:type="dxa"/>
            <w:tcBorders>
              <w:top w:val="single" w:color="auto" w:sz="12" w:space="0"/>
              <w:left w:val="single" w:color="auto" w:sz="4" w:space="0"/>
              <w:bottom w:val="single" w:color="auto" w:sz="6" w:space="0"/>
            </w:tcBorders>
            <w:shd w:val="clear" w:color="auto" w:fill="757070"/>
            <w:noWrap/>
            <w:vAlign w:val="center"/>
          </w:tcPr>
          <w:p w14:paraId="5E9B00BD">
            <w:pPr>
              <w:jc w:val="center"/>
              <w:rPr>
                <w:rFonts w:ascii="宋体" w:hAnsi="宋体" w:cs="宋体"/>
                <w:b/>
                <w:szCs w:val="21"/>
              </w:rPr>
            </w:pPr>
            <w:r>
              <w:rPr>
                <w:rFonts w:hint="eastAsia" w:ascii="宋体" w:hAnsi="宋体" w:cs="宋体"/>
                <w:b/>
                <w:szCs w:val="21"/>
              </w:rPr>
              <w:t>了解顾客需求和期望的方法</w:t>
            </w:r>
          </w:p>
        </w:tc>
      </w:tr>
      <w:tr w14:paraId="448F99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4" w:hRule="atLeast"/>
        </w:trPr>
        <w:tc>
          <w:tcPr>
            <w:tcW w:w="1757" w:type="dxa"/>
            <w:tcBorders>
              <w:top w:val="single" w:color="auto" w:sz="6" w:space="0"/>
            </w:tcBorders>
            <w:noWrap/>
            <w:vAlign w:val="center"/>
          </w:tcPr>
          <w:p w14:paraId="4DE829CF">
            <w:pPr>
              <w:spacing w:line="400" w:lineRule="exact"/>
              <w:jc w:val="center"/>
              <w:rPr>
                <w:rFonts w:ascii="宋体" w:hAnsi="宋体" w:cs="宋体"/>
                <w:szCs w:val="21"/>
              </w:rPr>
            </w:pPr>
            <w:r>
              <w:rPr>
                <w:rFonts w:hint="eastAsia" w:ascii="宋体" w:hAnsi="宋体" w:cs="宋体"/>
                <w:szCs w:val="21"/>
              </w:rPr>
              <w:t>战略顾客</w:t>
            </w:r>
          </w:p>
        </w:tc>
        <w:tc>
          <w:tcPr>
            <w:tcW w:w="2934" w:type="dxa"/>
            <w:tcBorders>
              <w:top w:val="single" w:color="auto" w:sz="6" w:space="0"/>
              <w:right w:val="single" w:color="auto" w:sz="4" w:space="0"/>
            </w:tcBorders>
            <w:noWrap/>
            <w:vAlign w:val="center"/>
          </w:tcPr>
          <w:p w14:paraId="5E98B9D9">
            <w:pPr>
              <w:spacing w:line="400" w:lineRule="exact"/>
              <w:rPr>
                <w:rFonts w:ascii="宋体" w:hAnsi="宋体" w:cs="宋体"/>
                <w:szCs w:val="21"/>
              </w:rPr>
            </w:pPr>
            <w:r>
              <w:rPr>
                <w:rFonts w:hint="eastAsia" w:ascii="宋体" w:hAnsi="宋体" w:cs="宋体"/>
                <w:szCs w:val="21"/>
              </w:rPr>
              <w:t>交货期、产品质量、服务、优惠政策</w:t>
            </w:r>
          </w:p>
        </w:tc>
        <w:tc>
          <w:tcPr>
            <w:tcW w:w="3424" w:type="dxa"/>
            <w:tcBorders>
              <w:top w:val="single" w:color="auto" w:sz="6" w:space="0"/>
              <w:left w:val="single" w:color="auto" w:sz="4" w:space="0"/>
            </w:tcBorders>
            <w:noWrap/>
            <w:vAlign w:val="center"/>
          </w:tcPr>
          <w:p w14:paraId="241E96E5">
            <w:pPr>
              <w:spacing w:line="400" w:lineRule="exact"/>
              <w:rPr>
                <w:rFonts w:ascii="宋体" w:hAnsi="宋体" w:cs="宋体"/>
                <w:szCs w:val="21"/>
              </w:rPr>
            </w:pPr>
            <w:r>
              <w:rPr>
                <w:rFonts w:hint="eastAsia" w:ascii="宋体" w:hAnsi="宋体" w:cs="宋体"/>
                <w:szCs w:val="21"/>
              </w:rPr>
              <w:t>开展战略合作会、定期走访</w:t>
            </w:r>
          </w:p>
        </w:tc>
      </w:tr>
      <w:tr w14:paraId="763238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8" w:hRule="atLeast"/>
        </w:trPr>
        <w:tc>
          <w:tcPr>
            <w:tcW w:w="1757" w:type="dxa"/>
            <w:noWrap/>
            <w:vAlign w:val="center"/>
          </w:tcPr>
          <w:p w14:paraId="54044438">
            <w:pPr>
              <w:spacing w:line="400" w:lineRule="exact"/>
              <w:jc w:val="center"/>
              <w:rPr>
                <w:rFonts w:ascii="宋体" w:hAnsi="宋体" w:cs="宋体"/>
                <w:szCs w:val="21"/>
              </w:rPr>
            </w:pPr>
            <w:r>
              <w:rPr>
                <w:rFonts w:hint="eastAsia" w:ascii="宋体" w:hAnsi="宋体" w:cs="宋体"/>
                <w:szCs w:val="21"/>
              </w:rPr>
              <w:t>核心客户</w:t>
            </w:r>
          </w:p>
        </w:tc>
        <w:tc>
          <w:tcPr>
            <w:tcW w:w="2934" w:type="dxa"/>
            <w:tcBorders>
              <w:right w:val="single" w:color="auto" w:sz="4" w:space="0"/>
            </w:tcBorders>
            <w:noWrap/>
            <w:vAlign w:val="center"/>
          </w:tcPr>
          <w:p w14:paraId="42B9F6AE">
            <w:pPr>
              <w:spacing w:line="400" w:lineRule="exact"/>
              <w:rPr>
                <w:rFonts w:ascii="宋体" w:hAnsi="宋体" w:cs="宋体"/>
                <w:szCs w:val="21"/>
              </w:rPr>
            </w:pPr>
            <w:r>
              <w:rPr>
                <w:rFonts w:hint="eastAsia" w:ascii="宋体" w:hAnsi="宋体" w:cs="宋体"/>
                <w:szCs w:val="21"/>
              </w:rPr>
              <w:t>产品质量、交货期、服务</w:t>
            </w:r>
          </w:p>
        </w:tc>
        <w:tc>
          <w:tcPr>
            <w:tcW w:w="3424" w:type="dxa"/>
            <w:tcBorders>
              <w:left w:val="single" w:color="auto" w:sz="4" w:space="0"/>
            </w:tcBorders>
            <w:noWrap/>
            <w:vAlign w:val="center"/>
          </w:tcPr>
          <w:p w14:paraId="73393EFC">
            <w:pPr>
              <w:spacing w:line="400" w:lineRule="exact"/>
              <w:rPr>
                <w:rFonts w:ascii="宋体" w:hAnsi="宋体" w:cs="宋体"/>
                <w:szCs w:val="21"/>
              </w:rPr>
            </w:pPr>
            <w:r>
              <w:rPr>
                <w:rFonts w:hint="eastAsia" w:ascii="宋体" w:hAnsi="宋体" w:cs="宋体"/>
                <w:szCs w:val="21"/>
              </w:rPr>
              <w:t>定期用户回访，电话、邮寄联系</w:t>
            </w:r>
          </w:p>
        </w:tc>
      </w:tr>
      <w:tr w14:paraId="559F82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3" w:hRule="atLeast"/>
        </w:trPr>
        <w:tc>
          <w:tcPr>
            <w:tcW w:w="1757" w:type="dxa"/>
            <w:noWrap/>
            <w:vAlign w:val="center"/>
          </w:tcPr>
          <w:p w14:paraId="7FA37AC1">
            <w:pPr>
              <w:spacing w:line="400" w:lineRule="exact"/>
              <w:jc w:val="center"/>
              <w:rPr>
                <w:rFonts w:ascii="宋体" w:hAnsi="宋体" w:cs="宋体"/>
                <w:szCs w:val="21"/>
              </w:rPr>
            </w:pPr>
            <w:r>
              <w:rPr>
                <w:rFonts w:hint="eastAsia" w:ascii="宋体" w:hAnsi="宋体" w:cs="宋体"/>
                <w:szCs w:val="21"/>
              </w:rPr>
              <w:t>重点顾客</w:t>
            </w:r>
          </w:p>
        </w:tc>
        <w:tc>
          <w:tcPr>
            <w:tcW w:w="2934" w:type="dxa"/>
            <w:tcBorders>
              <w:right w:val="single" w:color="auto" w:sz="4" w:space="0"/>
            </w:tcBorders>
            <w:noWrap/>
            <w:vAlign w:val="center"/>
          </w:tcPr>
          <w:p w14:paraId="3DA94A28">
            <w:pPr>
              <w:spacing w:line="400" w:lineRule="exact"/>
              <w:rPr>
                <w:rFonts w:ascii="宋体" w:hAnsi="宋体" w:cs="宋体"/>
                <w:szCs w:val="21"/>
              </w:rPr>
            </w:pPr>
            <w:r>
              <w:rPr>
                <w:rFonts w:hint="eastAsia" w:ascii="宋体" w:hAnsi="宋体" w:cs="宋体"/>
                <w:szCs w:val="21"/>
              </w:rPr>
              <w:t>产品质量、价格</w:t>
            </w:r>
          </w:p>
        </w:tc>
        <w:tc>
          <w:tcPr>
            <w:tcW w:w="3424" w:type="dxa"/>
            <w:tcBorders>
              <w:left w:val="single" w:color="auto" w:sz="4" w:space="0"/>
            </w:tcBorders>
            <w:noWrap/>
            <w:vAlign w:val="center"/>
          </w:tcPr>
          <w:p w14:paraId="228EA6BE">
            <w:pPr>
              <w:spacing w:line="400" w:lineRule="exact"/>
              <w:rPr>
                <w:rFonts w:ascii="宋体" w:hAnsi="宋体" w:cs="宋体"/>
                <w:szCs w:val="21"/>
              </w:rPr>
            </w:pPr>
            <w:r>
              <w:rPr>
                <w:rFonts w:hint="eastAsia" w:ascii="宋体" w:hAnsi="宋体" w:cs="宋体"/>
                <w:szCs w:val="21"/>
              </w:rPr>
              <w:t>不定期走访、电话、邮件联系</w:t>
            </w:r>
          </w:p>
        </w:tc>
      </w:tr>
    </w:tbl>
    <w:p w14:paraId="634DA51C">
      <w:pPr>
        <w:spacing w:line="240" w:lineRule="exact"/>
      </w:pPr>
    </w:p>
    <w:p w14:paraId="34C40255">
      <w:pPr>
        <w:spacing w:line="360" w:lineRule="auto"/>
        <w:ind w:firstLine="480" w:firstLineChars="200"/>
      </w:pPr>
      <w:r>
        <w:rPr>
          <w:rFonts w:hint="eastAsia"/>
        </w:rPr>
        <w:t>公司近年来将目标定位于重点客户。从客户维度看，看重公司产品的品质，会坚持长期合作，不会轻易改换其他品牌。从产品难度看，公司主要以</w:t>
      </w:r>
      <w:r>
        <w:rPr>
          <w:rFonts w:hint="eastAsia" w:ascii="宋体" w:hAnsi="宋体" w:cs="新宋体"/>
          <w:color w:val="000000"/>
        </w:rPr>
        <w:t>太阳能组件、逆变器设计研发</w:t>
      </w:r>
      <w:r>
        <w:rPr>
          <w:rFonts w:hint="eastAsia"/>
        </w:rPr>
        <w:t>，技术含量较高。公司主要通过以下途径了解关键顾客的需求和期望，并采取针对性的措施。</w:t>
      </w:r>
    </w:p>
    <w:p w14:paraId="5E9A4494">
      <w:pPr>
        <w:spacing w:before="156" w:beforeLines="50" w:line="360" w:lineRule="auto"/>
        <w:rPr>
          <w:rFonts w:ascii="宋体" w:hAnsi="宋体"/>
          <w:b/>
          <w:bCs/>
        </w:rPr>
      </w:pPr>
      <w:r>
        <w:rPr>
          <w:rFonts w:hint="eastAsia" w:ascii="宋体" w:hAnsi="宋体"/>
          <w:b/>
          <w:bCs/>
        </w:rPr>
        <w:t>4.3.2.3.2顾客需求信息在研发与改进过程中的应用</w:t>
      </w:r>
    </w:p>
    <w:p w14:paraId="5F45C977">
      <w:pPr>
        <w:spacing w:line="360" w:lineRule="auto"/>
        <w:ind w:firstLine="420"/>
        <w:rPr>
          <w:rFonts w:ascii="宋体" w:hAnsi="宋体"/>
        </w:rPr>
      </w:pPr>
      <w:r>
        <w:rPr>
          <w:rFonts w:hint="eastAsia" w:ascii="宋体" w:hAnsi="宋体"/>
        </w:rPr>
        <w:t>公司对顾客的需求信息非常重视，内部专业技术人员会利用专业技术能力，将这些要求转化为关键的产品的服务特征。分析这些特征将对收入和销售有何影响。投诉数据和顾客满意度调查数据都将由销售部人员进行分析，运用分析来确定倾听和了解的方法的相关性和准确性。</w:t>
      </w:r>
    </w:p>
    <w:p w14:paraId="134EC30F">
      <w:pPr>
        <w:spacing w:line="360" w:lineRule="auto"/>
        <w:ind w:firstLine="420"/>
        <w:rPr>
          <w:rFonts w:ascii="宋体" w:hAnsi="宋体"/>
        </w:rPr>
      </w:pPr>
      <w:r>
        <w:rPr>
          <w:rFonts w:hint="eastAsia" w:ascii="宋体" w:hAnsi="宋体"/>
        </w:rPr>
        <w:t>公司还通过对顾客档案中的市场信息、顾客资料、产品信息、交易信息等分析，确定顾客要求，采用不同的策略（见表4.3-5），规避风险，挖掘新需求。</w:t>
      </w:r>
    </w:p>
    <w:p w14:paraId="4F9DCE58">
      <w:pPr>
        <w:pStyle w:val="40"/>
        <w:spacing w:before="156" w:line="360" w:lineRule="auto"/>
        <w:rPr>
          <w:rFonts w:ascii="宋体" w:hAnsi="宋体"/>
        </w:rPr>
      </w:pPr>
      <w:r>
        <w:rPr>
          <w:rFonts w:hint="eastAsia" w:ascii="宋体" w:hAnsi="宋体"/>
        </w:rPr>
        <w:t>表4.3-5 根据信息采取不同的营销策略</w:t>
      </w:r>
    </w:p>
    <w:p w14:paraId="7401F323">
      <w:pPr>
        <w:adjustRightInd w:val="0"/>
        <w:snapToGrid w:val="0"/>
        <w:jc w:val="center"/>
        <w:rPr>
          <w:rFonts w:ascii="宋体" w:hAnsi="宋体"/>
          <w:sz w:val="10"/>
          <w:szCs w:val="10"/>
        </w:rPr>
      </w:pPr>
    </w:p>
    <w:tbl>
      <w:tblPr>
        <w:tblStyle w:val="22"/>
        <w:tblW w:w="8647"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111"/>
        <w:gridCol w:w="4536"/>
      </w:tblGrid>
      <w:tr w14:paraId="76F0D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647" w:type="dxa"/>
            <w:gridSpan w:val="2"/>
            <w:tcBorders>
              <w:top w:val="single" w:color="auto" w:sz="12" w:space="0"/>
              <w:bottom w:val="single" w:color="auto" w:sz="4" w:space="0"/>
            </w:tcBorders>
            <w:shd w:val="clear" w:color="auto" w:fill="757070"/>
            <w:noWrap/>
            <w:vAlign w:val="center"/>
          </w:tcPr>
          <w:p w14:paraId="09D97882">
            <w:pPr>
              <w:jc w:val="center"/>
              <w:rPr>
                <w:rFonts w:ascii="宋体" w:hAnsi="宋体"/>
                <w:b/>
                <w:kern w:val="2"/>
                <w:szCs w:val="21"/>
              </w:rPr>
            </w:pPr>
            <w:r>
              <w:rPr>
                <w:rFonts w:hint="eastAsia" w:ascii="宋体" w:hAnsi="宋体"/>
                <w:b/>
                <w:kern w:val="2"/>
                <w:szCs w:val="21"/>
              </w:rPr>
              <w:t>各种情况下的营销策略</w:t>
            </w:r>
          </w:p>
        </w:tc>
      </w:tr>
      <w:tr w14:paraId="483B59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11" w:type="dxa"/>
            <w:tcBorders>
              <w:top w:val="single" w:color="auto" w:sz="4" w:space="0"/>
            </w:tcBorders>
            <w:noWrap/>
            <w:vAlign w:val="center"/>
          </w:tcPr>
          <w:p w14:paraId="0F9626F6">
            <w:pPr>
              <w:rPr>
                <w:rFonts w:ascii="宋体" w:hAnsi="宋体"/>
                <w:kern w:val="2"/>
                <w:szCs w:val="21"/>
              </w:rPr>
            </w:pPr>
            <w:r>
              <w:rPr>
                <w:rFonts w:hint="eastAsia" w:ascii="宋体" w:hAnsi="宋体"/>
                <w:kern w:val="2"/>
                <w:szCs w:val="21"/>
              </w:rPr>
              <w:t>顾客信息情况</w:t>
            </w:r>
          </w:p>
        </w:tc>
        <w:tc>
          <w:tcPr>
            <w:tcW w:w="4536" w:type="dxa"/>
            <w:tcBorders>
              <w:top w:val="single" w:color="auto" w:sz="4" w:space="0"/>
            </w:tcBorders>
            <w:noWrap/>
            <w:vAlign w:val="center"/>
          </w:tcPr>
          <w:p w14:paraId="0E615D0C">
            <w:pPr>
              <w:rPr>
                <w:rFonts w:ascii="宋体" w:hAnsi="宋体"/>
                <w:kern w:val="2"/>
                <w:szCs w:val="21"/>
              </w:rPr>
            </w:pPr>
            <w:r>
              <w:rPr>
                <w:rFonts w:hint="eastAsia" w:ascii="宋体" w:hAnsi="宋体"/>
                <w:kern w:val="2"/>
                <w:szCs w:val="21"/>
              </w:rPr>
              <w:t>营销策略</w:t>
            </w:r>
          </w:p>
        </w:tc>
      </w:tr>
      <w:tr w14:paraId="72E774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11" w:type="dxa"/>
            <w:noWrap/>
            <w:vAlign w:val="center"/>
          </w:tcPr>
          <w:p w14:paraId="27DB8F18">
            <w:pPr>
              <w:rPr>
                <w:rFonts w:ascii="宋体" w:hAnsi="宋体"/>
                <w:kern w:val="2"/>
                <w:szCs w:val="21"/>
              </w:rPr>
            </w:pPr>
            <w:r>
              <w:rPr>
                <w:rFonts w:hint="eastAsia" w:ascii="宋体" w:hAnsi="宋体"/>
                <w:kern w:val="2"/>
                <w:szCs w:val="21"/>
              </w:rPr>
              <w:t>信息继续有效</w:t>
            </w:r>
          </w:p>
        </w:tc>
        <w:tc>
          <w:tcPr>
            <w:tcW w:w="4536" w:type="dxa"/>
            <w:noWrap/>
            <w:vAlign w:val="center"/>
          </w:tcPr>
          <w:p w14:paraId="2D0D50F4">
            <w:pPr>
              <w:rPr>
                <w:rFonts w:ascii="宋体" w:hAnsi="宋体"/>
                <w:kern w:val="2"/>
                <w:szCs w:val="21"/>
              </w:rPr>
            </w:pPr>
            <w:r>
              <w:rPr>
                <w:rFonts w:hint="eastAsia" w:ascii="宋体" w:hAnsi="宋体"/>
                <w:kern w:val="2"/>
                <w:szCs w:val="21"/>
              </w:rPr>
              <w:t>正常维护，开展工作</w:t>
            </w:r>
          </w:p>
        </w:tc>
      </w:tr>
      <w:tr w14:paraId="0EBF26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11" w:type="dxa"/>
            <w:noWrap/>
            <w:vAlign w:val="center"/>
          </w:tcPr>
          <w:p w14:paraId="34611D38">
            <w:pPr>
              <w:rPr>
                <w:rFonts w:ascii="宋体" w:hAnsi="宋体"/>
                <w:kern w:val="2"/>
                <w:szCs w:val="21"/>
              </w:rPr>
            </w:pPr>
            <w:r>
              <w:rPr>
                <w:rFonts w:hint="eastAsia" w:ascii="宋体" w:hAnsi="宋体"/>
                <w:kern w:val="2"/>
                <w:szCs w:val="21"/>
              </w:rPr>
              <w:t>信息发生变动，但仍有机会成为公司的客户</w:t>
            </w:r>
          </w:p>
        </w:tc>
        <w:tc>
          <w:tcPr>
            <w:tcW w:w="4536" w:type="dxa"/>
            <w:noWrap/>
            <w:vAlign w:val="center"/>
          </w:tcPr>
          <w:p w14:paraId="0CAAC7C9">
            <w:pPr>
              <w:rPr>
                <w:rFonts w:ascii="宋体" w:hAnsi="宋体"/>
                <w:kern w:val="2"/>
                <w:szCs w:val="21"/>
              </w:rPr>
            </w:pPr>
            <w:r>
              <w:rPr>
                <w:rFonts w:hint="eastAsia" w:ascii="宋体" w:hAnsi="宋体"/>
                <w:kern w:val="2"/>
                <w:szCs w:val="21"/>
              </w:rPr>
              <w:t>分析状况，针对性作出有关调整，使之合作成功</w:t>
            </w:r>
          </w:p>
        </w:tc>
      </w:tr>
      <w:tr w14:paraId="484B90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11" w:type="dxa"/>
            <w:noWrap/>
            <w:vAlign w:val="center"/>
          </w:tcPr>
          <w:p w14:paraId="563CF2E7">
            <w:pPr>
              <w:rPr>
                <w:rFonts w:ascii="宋体" w:hAnsi="宋体"/>
                <w:kern w:val="2"/>
                <w:szCs w:val="21"/>
              </w:rPr>
            </w:pPr>
            <w:r>
              <w:rPr>
                <w:rFonts w:hint="eastAsia" w:ascii="宋体" w:hAnsi="宋体"/>
                <w:kern w:val="2"/>
                <w:szCs w:val="21"/>
              </w:rPr>
              <w:t>信息已无效</w:t>
            </w:r>
          </w:p>
        </w:tc>
        <w:tc>
          <w:tcPr>
            <w:tcW w:w="4536" w:type="dxa"/>
            <w:noWrap/>
            <w:vAlign w:val="center"/>
          </w:tcPr>
          <w:p w14:paraId="7B3F5923">
            <w:pPr>
              <w:rPr>
                <w:rFonts w:ascii="宋体" w:hAnsi="宋体"/>
                <w:kern w:val="2"/>
                <w:szCs w:val="21"/>
              </w:rPr>
            </w:pPr>
            <w:r>
              <w:rPr>
                <w:rFonts w:hint="eastAsia" w:ascii="宋体" w:hAnsi="宋体"/>
                <w:kern w:val="2"/>
                <w:szCs w:val="21"/>
              </w:rPr>
              <w:t>分析状况，以上情况的公司在当地重新组建网点</w:t>
            </w:r>
          </w:p>
        </w:tc>
      </w:tr>
      <w:tr w14:paraId="7CADD6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11" w:type="dxa"/>
            <w:noWrap/>
            <w:vAlign w:val="center"/>
          </w:tcPr>
          <w:p w14:paraId="15E0F6D8">
            <w:pPr>
              <w:rPr>
                <w:rFonts w:ascii="宋体" w:hAnsi="宋体"/>
                <w:kern w:val="2"/>
                <w:szCs w:val="21"/>
              </w:rPr>
            </w:pPr>
            <w:r>
              <w:rPr>
                <w:rFonts w:hint="eastAsia" w:ascii="宋体" w:hAnsi="宋体"/>
                <w:kern w:val="2"/>
                <w:szCs w:val="21"/>
              </w:rPr>
              <w:t>信息继续有效，但顾客已经流失或中断</w:t>
            </w:r>
          </w:p>
        </w:tc>
        <w:tc>
          <w:tcPr>
            <w:tcW w:w="4536" w:type="dxa"/>
            <w:noWrap/>
            <w:vAlign w:val="center"/>
          </w:tcPr>
          <w:p w14:paraId="726A8CF0">
            <w:pPr>
              <w:rPr>
                <w:rFonts w:ascii="宋体" w:hAnsi="宋体"/>
                <w:kern w:val="2"/>
                <w:szCs w:val="21"/>
              </w:rPr>
            </w:pPr>
            <w:r>
              <w:rPr>
                <w:rFonts w:hint="eastAsia" w:ascii="宋体" w:hAnsi="宋体"/>
                <w:kern w:val="2"/>
                <w:szCs w:val="21"/>
              </w:rPr>
              <w:t>分析双方合作中的有关细节，加强平时交流或走访，使有潜力的客户恢复正常合作。</w:t>
            </w:r>
          </w:p>
        </w:tc>
      </w:tr>
    </w:tbl>
    <w:p w14:paraId="340C2FA5">
      <w:pPr>
        <w:spacing w:line="360" w:lineRule="auto"/>
        <w:ind w:firstLine="420"/>
        <w:rPr>
          <w:rFonts w:ascii="宋体" w:hAnsi="宋体"/>
        </w:rPr>
      </w:pPr>
      <w:r>
        <w:rPr>
          <w:rFonts w:hint="eastAsia" w:ascii="宋体" w:hAnsi="宋体"/>
        </w:rPr>
        <w:t>几年来，公司积极运用市场的关键信息，</w:t>
      </w:r>
      <w:r>
        <w:rPr>
          <w:rFonts w:ascii="宋体" w:hAnsi="宋体"/>
          <w:color w:val="000000"/>
        </w:rPr>
        <w:t>调整</w:t>
      </w:r>
      <w:r>
        <w:rPr>
          <w:rFonts w:hint="eastAsia" w:ascii="宋体" w:hAnsi="宋体"/>
          <w:color w:val="000000"/>
        </w:rPr>
        <w:t>了销售部</w:t>
      </w:r>
      <w:r>
        <w:rPr>
          <w:rFonts w:ascii="宋体" w:hAnsi="宋体"/>
          <w:color w:val="000000"/>
        </w:rPr>
        <w:t>门架构、细分工作界面，成立一条龙规范化管理和“一站式”亲情服务，以服务贯穿全过程，用服务铸造品牌；</w:t>
      </w:r>
      <w:r>
        <w:rPr>
          <w:rFonts w:hint="eastAsia" w:ascii="宋体" w:hAnsi="宋体"/>
          <w:color w:val="000000"/>
        </w:rPr>
        <w:t>和客户</w:t>
      </w:r>
      <w:r>
        <w:rPr>
          <w:rFonts w:ascii="宋体" w:hAnsi="宋体"/>
          <w:color w:val="000000"/>
        </w:rPr>
        <w:t>签订协议，选择性地建立在库存、资金、价位等各方面给予特别优惠的政策</w:t>
      </w:r>
      <w:r>
        <w:rPr>
          <w:rFonts w:hint="eastAsia" w:ascii="宋体" w:hAnsi="宋体"/>
          <w:color w:val="000000"/>
        </w:rPr>
        <w:t>，促进了市场营销战略规划的全面实现</w:t>
      </w:r>
      <w:r>
        <w:rPr>
          <w:rFonts w:ascii="宋体" w:hAnsi="宋体"/>
          <w:color w:val="000000"/>
        </w:rPr>
        <w:t>。</w:t>
      </w:r>
    </w:p>
    <w:p w14:paraId="528C99BE">
      <w:pPr>
        <w:spacing w:line="360" w:lineRule="auto"/>
        <w:rPr>
          <w:rFonts w:ascii="宋体" w:hAnsi="宋体" w:cs="宋体"/>
          <w:b/>
          <w:color w:val="000000"/>
        </w:rPr>
      </w:pPr>
      <w:r>
        <w:rPr>
          <w:rFonts w:hint="eastAsia" w:ascii="宋体" w:hAnsi="宋体"/>
          <w:b/>
          <w:bCs/>
        </w:rPr>
        <w:t>4.3.2.3.3 定期评价与改进了解顾客需求和期望的方法</w:t>
      </w:r>
    </w:p>
    <w:p w14:paraId="76F2EED4">
      <w:pPr>
        <w:spacing w:line="360" w:lineRule="auto"/>
        <w:ind w:firstLine="420"/>
        <w:rPr>
          <w:rFonts w:ascii="宋体" w:hAnsi="宋体"/>
        </w:rPr>
      </w:pPr>
      <w:r>
        <w:rPr>
          <w:rFonts w:hint="eastAsia" w:ascii="宋体" w:hAnsi="宋体"/>
        </w:rPr>
        <w:t>为了支持公司的持续改进核心，用于确定关键顾客要求的倾听和了解的方法处于持续监控之中。公司通过内审、顾客关系管理等方式对顾客需求、期望了解方法的适应性、有效性进行分析，并进行持续改进以适应公司发展战略的需要。</w:t>
      </w:r>
    </w:p>
    <w:p w14:paraId="60C12EEE">
      <w:pPr>
        <w:spacing w:line="360" w:lineRule="auto"/>
        <w:rPr>
          <w:rFonts w:ascii="宋体" w:hAnsi="宋体" w:cs="宋体"/>
          <w:b/>
          <w:color w:val="000000"/>
        </w:rPr>
      </w:pPr>
      <w:r>
        <w:rPr>
          <w:rFonts w:hint="eastAsia" w:ascii="宋体" w:hAnsi="宋体"/>
          <w:b/>
          <w:bCs/>
        </w:rPr>
        <w:t>4.3.3顾客关系与顾客满意</w:t>
      </w:r>
    </w:p>
    <w:p w14:paraId="6E323A4C">
      <w:pPr>
        <w:spacing w:line="360" w:lineRule="auto"/>
        <w:rPr>
          <w:rFonts w:ascii="宋体" w:hAnsi="宋体" w:cs="宋体"/>
          <w:b/>
        </w:rPr>
      </w:pPr>
      <w:r>
        <w:rPr>
          <w:rFonts w:hint="eastAsia" w:ascii="宋体" w:hAnsi="宋体"/>
          <w:b/>
          <w:bCs/>
        </w:rPr>
        <w:t>4.3.3.1 提要</w:t>
      </w:r>
    </w:p>
    <w:p w14:paraId="17F36DA6">
      <w:pPr>
        <w:spacing w:line="360" w:lineRule="auto"/>
        <w:ind w:firstLine="420"/>
        <w:rPr>
          <w:rFonts w:ascii="宋体" w:hAnsi="宋体"/>
        </w:rPr>
      </w:pPr>
      <w:r>
        <w:rPr>
          <w:rFonts w:hint="eastAsia" w:ascii="宋体" w:hAnsi="宋体"/>
        </w:rPr>
        <w:t>顾客是企业存在的根本，顾客关系的建立、发展和维护一直是</w:t>
      </w:r>
      <w:r>
        <w:rPr>
          <w:rFonts w:hint="eastAsia" w:ascii="宋体" w:hAnsi="宋体"/>
          <w:lang w:eastAsia="zh-CN"/>
        </w:rPr>
        <w:t>中凯涂料</w:t>
      </w:r>
      <w:r>
        <w:rPr>
          <w:rFonts w:hint="eastAsia" w:ascii="宋体" w:hAnsi="宋体"/>
        </w:rPr>
        <w:t>矢志不渝的目标，公司顾客满意度的测量主要从客服中心，对顾客追求一个全方位的了解，并不断改进建立顾客关系和方法和顾客满意度调查的方法。</w:t>
      </w:r>
    </w:p>
    <w:p w14:paraId="70C22C7A">
      <w:pPr>
        <w:spacing w:line="360" w:lineRule="auto"/>
        <w:rPr>
          <w:rFonts w:ascii="宋体" w:hAnsi="宋体"/>
        </w:rPr>
      </w:pPr>
      <w:r>
        <w:rPr>
          <w:rFonts w:hint="eastAsia" w:ascii="宋体" w:hAnsi="宋体"/>
          <w:b/>
          <w:bCs/>
        </w:rPr>
        <w:t>4.3.3.2顾客关系的建立</w:t>
      </w:r>
    </w:p>
    <w:p w14:paraId="643146D8">
      <w:pPr>
        <w:spacing w:line="360" w:lineRule="auto"/>
        <w:rPr>
          <w:rFonts w:ascii="宋体" w:hAnsi="宋体"/>
          <w:b/>
        </w:rPr>
      </w:pPr>
      <w:r>
        <w:rPr>
          <w:rFonts w:hint="eastAsia" w:ascii="宋体" w:hAnsi="宋体"/>
          <w:b/>
        </w:rPr>
        <w:t>4.3.3.2.1以合作共赢建立和维护顾客关系</w:t>
      </w:r>
    </w:p>
    <w:p w14:paraId="5177B67E">
      <w:pPr>
        <w:spacing w:line="360" w:lineRule="auto"/>
        <w:ind w:firstLine="420"/>
        <w:rPr>
          <w:rFonts w:ascii="宋体" w:hAnsi="宋体"/>
        </w:rPr>
      </w:pPr>
      <w:r>
        <w:rPr>
          <w:rFonts w:hint="eastAsia" w:ascii="宋体" w:hAnsi="宋体"/>
        </w:rPr>
        <w:t>公司通过多种途径与不同的顾客群体建立起长期合作关系，及时与顾客沟通，听取顾客反馈，维护顾客关系。从战略上来讲，“发现需求---满足需求并保证顾客满意---营造顾客忠诚”是公司营销的三步曲。</w:t>
      </w:r>
    </w:p>
    <w:p w14:paraId="78A0DA6F">
      <w:pPr>
        <w:pStyle w:val="30"/>
        <w:spacing w:after="156"/>
        <w:rPr>
          <w:rFonts w:ascii="宋体" w:hAnsi="宋体"/>
        </w:rPr>
      </w:pPr>
      <w:r>
        <w:rPr>
          <w:rFonts w:hint="eastAsia" w:ascii="宋体" w:hAnsi="宋体"/>
        </w:rPr>
        <w:t>图4.3-1 顾客关系的建立和维护</w:t>
      </w:r>
    </w:p>
    <w:p w14:paraId="4DE8CC49">
      <w:pPr>
        <w:autoSpaceDE w:val="0"/>
        <w:autoSpaceDN w:val="0"/>
        <w:adjustRightInd w:val="0"/>
        <w:spacing w:line="360" w:lineRule="auto"/>
        <w:ind w:firstLine="420"/>
        <w:rPr>
          <w:rFonts w:ascii="宋体" w:hAnsi="宋体"/>
          <w:b/>
          <w:bCs/>
        </w:rPr>
      </w:pPr>
      <w:r>
        <w:drawing>
          <wp:inline distT="0" distB="0" distL="114300" distR="114300">
            <wp:extent cx="4505325" cy="2886075"/>
            <wp:effectExtent l="0" t="0" r="9525" b="9525"/>
            <wp:docPr id="8" name="图片 191" descr="C:\Users\THINKP~1\AppData\Local\Temp\ksohtml16700\wp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91" descr="C:\Users\THINKP~1\AppData\Local\Temp\ksohtml16700\wps2.png"/>
                    <pic:cNvPicPr>
                      <a:picLocks noChangeAspect="1"/>
                    </pic:cNvPicPr>
                  </pic:nvPicPr>
                  <pic:blipFill>
                    <a:blip r:embed="rId16"/>
                    <a:stretch>
                      <a:fillRect/>
                    </a:stretch>
                  </pic:blipFill>
                  <pic:spPr>
                    <a:xfrm>
                      <a:off x="0" y="0"/>
                      <a:ext cx="4505325" cy="2886075"/>
                    </a:xfrm>
                    <a:prstGeom prst="rect">
                      <a:avLst/>
                    </a:prstGeom>
                    <a:noFill/>
                    <a:ln>
                      <a:noFill/>
                    </a:ln>
                  </pic:spPr>
                </pic:pic>
              </a:graphicData>
            </a:graphic>
          </wp:inline>
        </w:drawing>
      </w:r>
    </w:p>
    <w:p w14:paraId="76F1DF03">
      <w:pPr>
        <w:pStyle w:val="30"/>
        <w:spacing w:after="156" w:line="360" w:lineRule="auto"/>
        <w:ind w:firstLine="472" w:firstLineChars="196"/>
        <w:jc w:val="both"/>
        <w:rPr>
          <w:rFonts w:ascii="宋体" w:hAnsi="宋体"/>
        </w:rPr>
      </w:pPr>
      <w:r>
        <w:rPr>
          <w:rFonts w:hint="eastAsia" w:ascii="宋体" w:hAnsi="宋体"/>
        </w:rPr>
        <w:t>b）与顾客建立长期合作关系</w:t>
      </w:r>
    </w:p>
    <w:p w14:paraId="380575C5">
      <w:pPr>
        <w:spacing w:line="360" w:lineRule="auto"/>
        <w:ind w:firstLine="420"/>
        <w:rPr>
          <w:rFonts w:ascii="宋体" w:hAnsi="宋体"/>
        </w:rPr>
      </w:pPr>
      <w:r>
        <w:rPr>
          <w:rFonts w:hint="eastAsia" w:ascii="宋体" w:hAnsi="宋体"/>
        </w:rPr>
        <w:t>公司通过各种渠道了解顾客的需求、经营状况及发展前景，对战略顾客和重点顾客建立长期合作关系，每年安排公司高层领导进行走访，听取顾客的声音，从而增加顾客的信任、培养顾客的忠诚度，把顾客从一般的业务关系提高到战略合作关系。</w:t>
      </w:r>
    </w:p>
    <w:p w14:paraId="4483CDD3">
      <w:pPr>
        <w:spacing w:line="360" w:lineRule="auto"/>
        <w:ind w:firstLine="480" w:firstLineChars="200"/>
        <w:rPr>
          <w:rFonts w:ascii="宋体" w:hAnsi="宋体"/>
        </w:rPr>
      </w:pPr>
      <w:r>
        <w:rPr>
          <w:rFonts w:hint="eastAsia" w:ascii="宋体" w:hAnsi="宋体"/>
        </w:rPr>
        <w:t>针对</w:t>
      </w:r>
      <w:r>
        <w:rPr>
          <w:rFonts w:ascii="宋体" w:hAnsi="宋体"/>
        </w:rPr>
        <w:t>客户的管理</w:t>
      </w:r>
      <w:r>
        <w:rPr>
          <w:rFonts w:hint="eastAsia" w:ascii="宋体" w:hAnsi="宋体"/>
        </w:rPr>
        <w:t>，公司</w:t>
      </w:r>
      <w:r>
        <w:rPr>
          <w:rFonts w:ascii="宋体" w:hAnsi="宋体"/>
        </w:rPr>
        <w:t>建立对话互访关系和多渠道信息沟通，通过交流或商务活动，力争得到</w:t>
      </w:r>
      <w:r>
        <w:rPr>
          <w:rFonts w:hint="eastAsia" w:ascii="宋体" w:hAnsi="宋体"/>
        </w:rPr>
        <w:t>客户</w:t>
      </w:r>
      <w:r>
        <w:rPr>
          <w:rFonts w:ascii="宋体" w:hAnsi="宋体"/>
        </w:rPr>
        <w:t>的认同，把客户关系从个体忠诚提升为组织忠诚。</w:t>
      </w:r>
      <w:r>
        <w:rPr>
          <w:rFonts w:hint="eastAsia" w:ascii="宋体" w:hAnsi="宋体"/>
        </w:rPr>
        <w:t>公司</w:t>
      </w:r>
      <w:r>
        <w:rPr>
          <w:rFonts w:ascii="宋体" w:hAnsi="宋体"/>
        </w:rPr>
        <w:t>成功的秘诀就是它们能够有效协同生产、技术、物流、</w:t>
      </w:r>
      <w:r>
        <w:rPr>
          <w:rFonts w:hint="eastAsia" w:ascii="宋体" w:hAnsi="宋体"/>
        </w:rPr>
        <w:t>营销</w:t>
      </w:r>
      <w:r>
        <w:rPr>
          <w:rFonts w:ascii="宋体" w:hAnsi="宋体"/>
        </w:rPr>
        <w:t>等多个部门</w:t>
      </w:r>
      <w:r>
        <w:rPr>
          <w:rFonts w:hint="eastAsia" w:ascii="宋体" w:hAnsi="宋体"/>
        </w:rPr>
        <w:t>，</w:t>
      </w:r>
      <w:r>
        <w:rPr>
          <w:rFonts w:ascii="宋体" w:hAnsi="宋体"/>
        </w:rPr>
        <w:t>组成跨部门、跨职能的客户服务组织，多项服务</w:t>
      </w:r>
      <w:r>
        <w:rPr>
          <w:rFonts w:hint="eastAsia" w:ascii="宋体" w:hAnsi="宋体"/>
        </w:rPr>
        <w:t>以及</w:t>
      </w:r>
      <w:r>
        <w:rPr>
          <w:rFonts w:ascii="宋体" w:hAnsi="宋体"/>
        </w:rPr>
        <w:t>一体化解决方案为客户提供了更大价值。</w:t>
      </w:r>
      <w:r>
        <w:rPr>
          <w:rFonts w:hint="eastAsia" w:ascii="宋体" w:hAnsi="宋体"/>
        </w:rPr>
        <w:t>首先，</w:t>
      </w:r>
      <w:r>
        <w:rPr>
          <w:rFonts w:hint="eastAsia" w:ascii="宋体" w:hAnsi="宋体"/>
          <w:lang w:eastAsia="zh-CN"/>
        </w:rPr>
        <w:t>中凯涂料</w:t>
      </w:r>
      <w:r>
        <w:rPr>
          <w:rFonts w:ascii="宋体" w:hAnsi="宋体"/>
        </w:rPr>
        <w:t>与客户之间是一种建立在双赢基础之上的合作，互信互依，共同制定产品升级与创新计划或为降低整个系统的成本而共同努力</w:t>
      </w:r>
      <w:r>
        <w:rPr>
          <w:rFonts w:hint="eastAsia" w:ascii="宋体" w:hAnsi="宋体"/>
        </w:rPr>
        <w:t>。其次，公司</w:t>
      </w:r>
      <w:r>
        <w:rPr>
          <w:rFonts w:ascii="宋体" w:hAnsi="宋体"/>
        </w:rPr>
        <w:t>投入大量资源，专注于深度参与客户的发展，客户也深度关注</w:t>
      </w:r>
      <w:r>
        <w:rPr>
          <w:rFonts w:hint="eastAsia" w:ascii="宋体" w:hAnsi="宋体"/>
          <w:lang w:eastAsia="zh-CN"/>
        </w:rPr>
        <w:t>中凯涂料</w:t>
      </w:r>
      <w:r>
        <w:rPr>
          <w:rFonts w:ascii="宋体" w:hAnsi="宋体"/>
        </w:rPr>
        <w:t>发展并给予支持</w:t>
      </w:r>
      <w:r>
        <w:rPr>
          <w:rFonts w:hint="eastAsia" w:ascii="宋体" w:hAnsi="宋体"/>
        </w:rPr>
        <w:t>。</w:t>
      </w:r>
    </w:p>
    <w:p w14:paraId="0F7BE787">
      <w:pPr>
        <w:spacing w:line="360" w:lineRule="auto"/>
        <w:ind w:firstLine="420"/>
        <w:rPr>
          <w:rFonts w:ascii="宋体" w:hAnsi="宋体"/>
        </w:rPr>
      </w:pPr>
      <w:r>
        <w:rPr>
          <w:rFonts w:hint="eastAsia" w:ascii="宋体" w:hAnsi="宋体"/>
        </w:rPr>
        <w:t>公司还</w:t>
      </w:r>
      <w:r>
        <w:rPr>
          <w:rFonts w:ascii="宋体" w:hAnsi="宋体"/>
        </w:rPr>
        <w:t>通过数据和信息管理、面向顾客的应用程序以及对基础设施和体系结构的投资</w:t>
      </w:r>
      <w:r>
        <w:rPr>
          <w:rFonts w:hint="eastAsia" w:ascii="宋体" w:hAnsi="宋体"/>
        </w:rPr>
        <w:t>，</w:t>
      </w:r>
      <w:r>
        <w:rPr>
          <w:rFonts w:ascii="宋体" w:hAnsi="宋体"/>
        </w:rPr>
        <w:t>来实现均衡发展</w:t>
      </w:r>
      <w:r>
        <w:rPr>
          <w:rFonts w:hint="eastAsia" w:ascii="宋体" w:hAnsi="宋体"/>
        </w:rPr>
        <w:t>，在此基础上</w:t>
      </w:r>
      <w:r>
        <w:rPr>
          <w:rFonts w:ascii="宋体" w:hAnsi="宋体"/>
        </w:rPr>
        <w:t>建立自己的价值观和客户服务体系，以此</w:t>
      </w:r>
      <w:r>
        <w:rPr>
          <w:rFonts w:hint="eastAsia" w:ascii="宋体" w:hAnsi="宋体"/>
        </w:rPr>
        <w:t>提升</w:t>
      </w:r>
      <w:r>
        <w:rPr>
          <w:rFonts w:ascii="宋体" w:hAnsi="宋体"/>
        </w:rPr>
        <w:t>客户的忠诚度。</w:t>
      </w:r>
    </w:p>
    <w:p w14:paraId="1F6DF1A6">
      <w:pPr>
        <w:adjustRightInd w:val="0"/>
        <w:snapToGrid w:val="0"/>
        <w:spacing w:line="360" w:lineRule="auto"/>
        <w:ind w:firstLine="422"/>
        <w:rPr>
          <w:rFonts w:ascii="宋体" w:hAnsi="宋体"/>
          <w:b/>
        </w:rPr>
      </w:pPr>
      <w:r>
        <w:rPr>
          <w:rFonts w:hint="eastAsia" w:ascii="宋体" w:hAnsi="宋体"/>
          <w:b/>
        </w:rPr>
        <w:t>c)满足并超越顾客期望，提高满意度和忠诚度</w:t>
      </w:r>
    </w:p>
    <w:p w14:paraId="57DC2B58">
      <w:pPr>
        <w:spacing w:line="360" w:lineRule="auto"/>
        <w:ind w:firstLine="420"/>
        <w:rPr>
          <w:rFonts w:ascii="宋体" w:hAnsi="宋体"/>
        </w:rPr>
      </w:pPr>
      <w:r>
        <w:rPr>
          <w:rFonts w:hint="eastAsia" w:ascii="宋体" w:hAnsi="宋体"/>
        </w:rPr>
        <w:t>公司在全面分析自身发展阶段及竞争优势，综合考虑行业竞争趋势及未来热点的基础上，从以下4个方面赢得、满足并超越顾客期望。</w:t>
      </w:r>
    </w:p>
    <w:p w14:paraId="3477B818">
      <w:pPr>
        <w:spacing w:line="360" w:lineRule="auto"/>
        <w:ind w:firstLine="420"/>
        <w:rPr>
          <w:rFonts w:ascii="宋体" w:hAnsi="宋体"/>
        </w:rPr>
      </w:pPr>
      <w:r>
        <w:rPr>
          <w:rFonts w:hint="eastAsia" w:ascii="宋体" w:hAnsi="宋体"/>
          <w:b/>
        </w:rPr>
        <w:t xml:space="preserve">1) </w:t>
      </w:r>
      <w:r>
        <w:rPr>
          <w:rFonts w:hint="eastAsia" w:ascii="宋体" w:hAnsi="宋体"/>
        </w:rPr>
        <w:t>继续倡导以品质为中心的发展理念，大幅提升</w:t>
      </w:r>
      <w:r>
        <w:rPr>
          <w:rFonts w:hint="eastAsia" w:ascii="宋体" w:hAnsi="宋体"/>
          <w:lang w:eastAsia="zh-CN"/>
        </w:rPr>
        <w:t>中凯涂料</w:t>
      </w:r>
      <w:r>
        <w:rPr>
          <w:rFonts w:hint="eastAsia" w:ascii="宋体" w:hAnsi="宋体"/>
        </w:rPr>
        <w:t>品牌美誉度及忠诚度。在完全的市场经济里，竞争最终体现为质量竞争，虽然目前本行业的实际情况为低价竞争，但随着相关法律进一步健全，谁先建立起自己的品牌，谁就会在未来的市场竞争中具有先发优势。本公司将在现有市场的基础上首先对重点区域展开形式多样的宣传攻势，如借助广告、推广活动、网站，提升影响力。</w:t>
      </w:r>
    </w:p>
    <w:p w14:paraId="6FDE447C">
      <w:pPr>
        <w:spacing w:line="360" w:lineRule="auto"/>
        <w:ind w:firstLine="420"/>
        <w:rPr>
          <w:rFonts w:ascii="宋体" w:hAnsi="宋体"/>
        </w:rPr>
      </w:pPr>
      <w:r>
        <w:rPr>
          <w:rFonts w:hint="eastAsia" w:ascii="宋体" w:hAnsi="宋体"/>
          <w:b/>
        </w:rPr>
        <w:t>2)</w:t>
      </w:r>
      <w:r>
        <w:rPr>
          <w:rFonts w:hint="eastAsia" w:ascii="宋体" w:hAnsi="宋体"/>
        </w:rPr>
        <w:t xml:space="preserve"> 继续深化“用心服务”理念，把用户当作自己的亲人看待，全面提高售前、售中、售后服务水平。进一步梳理管理框架，充分体现以用户为中心的核心意识，以销售牵头，实行一站式服务，融合内部所有与用户直接相关的服务链。</w:t>
      </w:r>
    </w:p>
    <w:p w14:paraId="3CF64C19">
      <w:pPr>
        <w:spacing w:line="360" w:lineRule="auto"/>
        <w:ind w:firstLine="472" w:firstLineChars="196"/>
        <w:rPr>
          <w:rFonts w:ascii="宋体" w:hAnsi="宋体"/>
        </w:rPr>
      </w:pPr>
      <w:r>
        <w:rPr>
          <w:rFonts w:hint="eastAsia" w:ascii="宋体" w:hAnsi="宋体"/>
          <w:b/>
        </w:rPr>
        <w:t xml:space="preserve">3) </w:t>
      </w:r>
      <w:r>
        <w:rPr>
          <w:rFonts w:hint="eastAsia" w:ascii="宋体" w:hAnsi="宋体"/>
        </w:rPr>
        <w:t>拓展市场。通过目前业务的基础，将企业营销进一步整合，扩大市场。</w:t>
      </w:r>
    </w:p>
    <w:p w14:paraId="4FD22915">
      <w:pPr>
        <w:spacing w:line="360" w:lineRule="auto"/>
        <w:ind w:firstLine="482" w:firstLineChars="200"/>
        <w:rPr>
          <w:rFonts w:ascii="宋体" w:hAnsi="宋体"/>
        </w:rPr>
      </w:pPr>
      <w:r>
        <w:rPr>
          <w:rFonts w:hint="eastAsia" w:ascii="宋体" w:hAnsi="宋体"/>
          <w:b/>
        </w:rPr>
        <w:t xml:space="preserve">4) </w:t>
      </w:r>
      <w:r>
        <w:rPr>
          <w:rFonts w:hint="eastAsia" w:ascii="宋体" w:hAnsi="宋体"/>
        </w:rPr>
        <w:t>绿色营销。随着人们环保意识的增强，绿色营销将大行其道，本企业将坚持“绿色产品”，瞄准市场，推出系列环保产品，相关包装物也将采取环保型。</w:t>
      </w:r>
    </w:p>
    <w:p w14:paraId="4C7EE7D7">
      <w:pPr>
        <w:spacing w:before="156" w:beforeLines="50"/>
        <w:rPr>
          <w:rFonts w:ascii="宋体" w:hAnsi="宋体"/>
          <w:b/>
          <w:bCs/>
        </w:rPr>
      </w:pPr>
      <w:r>
        <w:rPr>
          <w:rFonts w:hint="eastAsia" w:ascii="宋体" w:hAnsi="宋体"/>
          <w:b/>
          <w:bCs/>
        </w:rPr>
        <w:t>4.3.3.2.2建立顾客查询信息、交易、投诉的沟通渠道</w:t>
      </w:r>
    </w:p>
    <w:p w14:paraId="3B90FB72">
      <w:pPr>
        <w:spacing w:before="156" w:beforeLines="50" w:line="360" w:lineRule="auto"/>
        <w:ind w:firstLine="482" w:firstLineChars="200"/>
        <w:rPr>
          <w:rFonts w:ascii="宋体" w:hAnsi="宋体"/>
          <w:b/>
          <w:bCs/>
        </w:rPr>
      </w:pPr>
      <w:r>
        <w:rPr>
          <w:rFonts w:hint="eastAsia" w:ascii="宋体" w:hAnsi="宋体"/>
          <w:b/>
        </w:rPr>
        <w:t>a）公司提供给国内顾客查询信息、交易和投诉的主要接触方式：</w:t>
      </w:r>
    </w:p>
    <w:p w14:paraId="440B242C">
      <w:pPr>
        <w:spacing w:line="360" w:lineRule="auto"/>
        <w:ind w:firstLine="420"/>
        <w:rPr>
          <w:rFonts w:ascii="宋体" w:hAnsi="宋体"/>
        </w:rPr>
      </w:pPr>
      <w:r>
        <w:rPr>
          <w:rFonts w:hint="eastAsia" w:ascii="宋体" w:hAnsi="宋体"/>
        </w:rPr>
        <w:t>公司对顾客评论、投诉、开展业务和搜寻信息的不同方式进行了分类，建立起多种接触和沟通渠道（见表4.3-6）。</w:t>
      </w:r>
    </w:p>
    <w:p w14:paraId="7A778B11">
      <w:pPr>
        <w:pStyle w:val="40"/>
        <w:spacing w:before="156" w:line="360" w:lineRule="auto"/>
        <w:rPr>
          <w:rFonts w:ascii="宋体" w:hAnsi="宋体"/>
        </w:rPr>
      </w:pPr>
      <w:r>
        <w:rPr>
          <w:rFonts w:hint="eastAsia" w:ascii="宋体" w:hAnsi="宋体"/>
        </w:rPr>
        <w:t>表4.3-6 国内顾客查询信息、交易和投诉的主要沟通渠道</w:t>
      </w:r>
    </w:p>
    <w:tbl>
      <w:tblPr>
        <w:tblStyle w:val="22"/>
        <w:tblW w:w="8505" w:type="dxa"/>
        <w:tblInd w:w="3"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70"/>
        <w:gridCol w:w="1995"/>
        <w:gridCol w:w="1236"/>
        <w:gridCol w:w="3804"/>
      </w:tblGrid>
      <w:tr w14:paraId="58AA18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6" w:hRule="atLeast"/>
        </w:trPr>
        <w:tc>
          <w:tcPr>
            <w:tcW w:w="1470" w:type="dxa"/>
            <w:tcBorders>
              <w:top w:val="single" w:color="auto" w:sz="12" w:space="0"/>
              <w:bottom w:val="single" w:color="auto" w:sz="6" w:space="0"/>
            </w:tcBorders>
            <w:shd w:val="clear" w:color="auto" w:fill="757070"/>
            <w:noWrap/>
            <w:vAlign w:val="center"/>
          </w:tcPr>
          <w:p w14:paraId="571EF845">
            <w:pPr>
              <w:jc w:val="center"/>
              <w:rPr>
                <w:rFonts w:ascii="宋体" w:hAnsi="宋体" w:cs="宋体"/>
                <w:b/>
                <w:szCs w:val="21"/>
              </w:rPr>
            </w:pPr>
            <w:r>
              <w:rPr>
                <w:rFonts w:hint="eastAsia" w:ascii="宋体" w:hAnsi="宋体" w:cs="宋体"/>
                <w:b/>
                <w:szCs w:val="21"/>
              </w:rPr>
              <w:t>接触方式</w:t>
            </w:r>
          </w:p>
        </w:tc>
        <w:tc>
          <w:tcPr>
            <w:tcW w:w="1995" w:type="dxa"/>
            <w:tcBorders>
              <w:top w:val="single" w:color="auto" w:sz="12" w:space="0"/>
              <w:bottom w:val="single" w:color="auto" w:sz="6" w:space="0"/>
            </w:tcBorders>
            <w:shd w:val="clear" w:color="auto" w:fill="757070"/>
            <w:noWrap/>
            <w:vAlign w:val="center"/>
          </w:tcPr>
          <w:p w14:paraId="5A275AE3">
            <w:pPr>
              <w:jc w:val="center"/>
              <w:rPr>
                <w:rFonts w:ascii="宋体" w:hAnsi="宋体" w:cs="宋体"/>
                <w:b/>
                <w:szCs w:val="21"/>
              </w:rPr>
            </w:pPr>
            <w:r>
              <w:rPr>
                <w:rFonts w:hint="eastAsia" w:ascii="宋体" w:hAnsi="宋体" w:cs="宋体"/>
                <w:b/>
                <w:szCs w:val="21"/>
              </w:rPr>
              <w:t>接触时间</w:t>
            </w:r>
          </w:p>
        </w:tc>
        <w:tc>
          <w:tcPr>
            <w:tcW w:w="1236" w:type="dxa"/>
            <w:tcBorders>
              <w:top w:val="single" w:color="auto" w:sz="12" w:space="0"/>
              <w:bottom w:val="single" w:color="auto" w:sz="6" w:space="0"/>
            </w:tcBorders>
            <w:shd w:val="clear" w:color="auto" w:fill="757070"/>
            <w:noWrap/>
            <w:vAlign w:val="center"/>
          </w:tcPr>
          <w:p w14:paraId="32D69EEA">
            <w:pPr>
              <w:jc w:val="center"/>
              <w:rPr>
                <w:rFonts w:ascii="宋体" w:hAnsi="宋体" w:cs="宋体"/>
                <w:b/>
                <w:szCs w:val="21"/>
              </w:rPr>
            </w:pPr>
            <w:r>
              <w:rPr>
                <w:rFonts w:hint="eastAsia" w:ascii="宋体" w:hAnsi="宋体" w:cs="宋体"/>
                <w:b/>
                <w:szCs w:val="21"/>
              </w:rPr>
              <w:t>负责人</w:t>
            </w:r>
          </w:p>
        </w:tc>
        <w:tc>
          <w:tcPr>
            <w:tcW w:w="3804" w:type="dxa"/>
            <w:tcBorders>
              <w:top w:val="single" w:color="auto" w:sz="12" w:space="0"/>
              <w:bottom w:val="single" w:color="auto" w:sz="6" w:space="0"/>
            </w:tcBorders>
            <w:shd w:val="clear" w:color="auto" w:fill="757070"/>
            <w:noWrap/>
            <w:vAlign w:val="center"/>
          </w:tcPr>
          <w:p w14:paraId="6E9B58C9">
            <w:pPr>
              <w:jc w:val="center"/>
              <w:rPr>
                <w:rFonts w:ascii="宋体" w:hAnsi="宋体" w:cs="宋体"/>
                <w:b/>
                <w:szCs w:val="21"/>
              </w:rPr>
            </w:pPr>
            <w:r>
              <w:rPr>
                <w:rFonts w:hint="eastAsia" w:ascii="宋体" w:hAnsi="宋体" w:cs="宋体"/>
                <w:b/>
                <w:szCs w:val="21"/>
              </w:rPr>
              <w:t>顾客担忧怎样被监测和管理</w:t>
            </w:r>
          </w:p>
        </w:tc>
      </w:tr>
      <w:tr w14:paraId="0E02E4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470" w:type="dxa"/>
            <w:tcBorders>
              <w:top w:val="single" w:color="auto" w:sz="6" w:space="0"/>
            </w:tcBorders>
            <w:noWrap/>
            <w:vAlign w:val="center"/>
          </w:tcPr>
          <w:p w14:paraId="108614AB">
            <w:pPr>
              <w:spacing w:line="400" w:lineRule="exact"/>
              <w:jc w:val="center"/>
              <w:rPr>
                <w:rFonts w:ascii="宋体" w:hAnsi="宋体" w:cs="宋体"/>
                <w:szCs w:val="21"/>
              </w:rPr>
            </w:pPr>
            <w:r>
              <w:rPr>
                <w:rFonts w:hint="eastAsia" w:ascii="宋体" w:hAnsi="宋体" w:cs="宋体"/>
                <w:szCs w:val="21"/>
              </w:rPr>
              <w:t>服务电话</w:t>
            </w:r>
          </w:p>
        </w:tc>
        <w:tc>
          <w:tcPr>
            <w:tcW w:w="1995" w:type="dxa"/>
            <w:tcBorders>
              <w:top w:val="single" w:color="auto" w:sz="6" w:space="0"/>
            </w:tcBorders>
            <w:noWrap/>
            <w:vAlign w:val="center"/>
          </w:tcPr>
          <w:p w14:paraId="02D38D56">
            <w:pPr>
              <w:spacing w:line="400" w:lineRule="exact"/>
              <w:jc w:val="center"/>
              <w:rPr>
                <w:rFonts w:ascii="宋体" w:hAnsi="宋体" w:cs="宋体"/>
                <w:szCs w:val="21"/>
              </w:rPr>
            </w:pPr>
            <w:r>
              <w:rPr>
                <w:rFonts w:hint="eastAsia" w:ascii="宋体" w:hAnsi="宋体" w:cs="宋体"/>
                <w:szCs w:val="21"/>
              </w:rPr>
              <w:t>24*7</w:t>
            </w:r>
          </w:p>
        </w:tc>
        <w:tc>
          <w:tcPr>
            <w:tcW w:w="1236" w:type="dxa"/>
            <w:tcBorders>
              <w:top w:val="single" w:color="auto" w:sz="6" w:space="0"/>
            </w:tcBorders>
            <w:noWrap/>
            <w:vAlign w:val="center"/>
          </w:tcPr>
          <w:p w14:paraId="08E1CBFA">
            <w:pPr>
              <w:spacing w:line="400" w:lineRule="exact"/>
              <w:jc w:val="center"/>
              <w:rPr>
                <w:rFonts w:ascii="宋体" w:hAnsi="宋体" w:cs="宋体"/>
                <w:szCs w:val="21"/>
              </w:rPr>
            </w:pPr>
            <w:r>
              <w:rPr>
                <w:rFonts w:hint="eastAsia" w:ascii="宋体" w:hAnsi="宋体" w:cs="宋体"/>
                <w:szCs w:val="21"/>
              </w:rPr>
              <w:t>客服人员</w:t>
            </w:r>
          </w:p>
        </w:tc>
        <w:tc>
          <w:tcPr>
            <w:tcW w:w="3804" w:type="dxa"/>
            <w:tcBorders>
              <w:top w:val="single" w:color="auto" w:sz="6" w:space="0"/>
            </w:tcBorders>
            <w:noWrap/>
            <w:vAlign w:val="center"/>
          </w:tcPr>
          <w:p w14:paraId="595ADDFC">
            <w:pPr>
              <w:spacing w:line="400" w:lineRule="exact"/>
              <w:jc w:val="center"/>
              <w:rPr>
                <w:rFonts w:ascii="宋体" w:hAnsi="宋体" w:cs="宋体"/>
                <w:szCs w:val="21"/>
              </w:rPr>
            </w:pPr>
            <w:r>
              <w:rPr>
                <w:rFonts w:hint="eastAsia" w:ascii="宋体" w:hAnsi="宋体" w:cs="宋体"/>
                <w:szCs w:val="21"/>
              </w:rPr>
              <w:t>分配服务人员或安排服务</w:t>
            </w:r>
          </w:p>
        </w:tc>
      </w:tr>
      <w:tr w14:paraId="75995C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470" w:type="dxa"/>
            <w:noWrap/>
            <w:vAlign w:val="center"/>
          </w:tcPr>
          <w:p w14:paraId="20107C58">
            <w:pPr>
              <w:spacing w:line="400" w:lineRule="exact"/>
              <w:jc w:val="center"/>
              <w:rPr>
                <w:rFonts w:ascii="宋体" w:hAnsi="宋体" w:cs="宋体"/>
                <w:szCs w:val="21"/>
              </w:rPr>
            </w:pPr>
            <w:r>
              <w:rPr>
                <w:rFonts w:hint="eastAsia" w:ascii="宋体" w:hAnsi="宋体" w:cs="宋体"/>
                <w:szCs w:val="21"/>
              </w:rPr>
              <w:t>移动电话</w:t>
            </w:r>
          </w:p>
        </w:tc>
        <w:tc>
          <w:tcPr>
            <w:tcW w:w="1995" w:type="dxa"/>
            <w:noWrap/>
            <w:vAlign w:val="center"/>
          </w:tcPr>
          <w:p w14:paraId="337EF6B7">
            <w:pPr>
              <w:spacing w:line="400" w:lineRule="exact"/>
              <w:jc w:val="center"/>
              <w:rPr>
                <w:rFonts w:ascii="宋体" w:hAnsi="宋体" w:cs="宋体"/>
                <w:szCs w:val="21"/>
              </w:rPr>
            </w:pPr>
            <w:r>
              <w:rPr>
                <w:rFonts w:hint="eastAsia" w:ascii="宋体" w:hAnsi="宋体" w:cs="宋体"/>
                <w:szCs w:val="21"/>
              </w:rPr>
              <w:t>立刻行动</w:t>
            </w:r>
          </w:p>
        </w:tc>
        <w:tc>
          <w:tcPr>
            <w:tcW w:w="1236" w:type="dxa"/>
            <w:noWrap/>
            <w:vAlign w:val="center"/>
          </w:tcPr>
          <w:p w14:paraId="28CB8D8B">
            <w:pPr>
              <w:jc w:val="center"/>
              <w:rPr>
                <w:kern w:val="2"/>
              </w:rPr>
            </w:pPr>
            <w:r>
              <w:rPr>
                <w:rFonts w:hint="eastAsia" w:ascii="宋体" w:hAnsi="宋体" w:cs="宋体"/>
                <w:szCs w:val="21"/>
              </w:rPr>
              <w:t>客服人员</w:t>
            </w:r>
          </w:p>
        </w:tc>
        <w:tc>
          <w:tcPr>
            <w:tcW w:w="3804" w:type="dxa"/>
            <w:noWrap/>
            <w:vAlign w:val="center"/>
          </w:tcPr>
          <w:p w14:paraId="2401D6C7">
            <w:pPr>
              <w:spacing w:line="400" w:lineRule="exact"/>
              <w:jc w:val="center"/>
              <w:rPr>
                <w:rFonts w:ascii="宋体" w:hAnsi="宋体" w:cs="宋体"/>
                <w:szCs w:val="21"/>
              </w:rPr>
            </w:pPr>
            <w:r>
              <w:rPr>
                <w:rFonts w:hint="eastAsia" w:ascii="宋体" w:hAnsi="宋体" w:cs="宋体"/>
                <w:szCs w:val="21"/>
              </w:rPr>
              <w:t>与公司员工直接接触</w:t>
            </w:r>
          </w:p>
        </w:tc>
      </w:tr>
      <w:tr w14:paraId="32BC9D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470" w:type="dxa"/>
            <w:noWrap/>
            <w:vAlign w:val="center"/>
          </w:tcPr>
          <w:p w14:paraId="177E4390">
            <w:pPr>
              <w:spacing w:line="400" w:lineRule="exact"/>
              <w:jc w:val="center"/>
              <w:rPr>
                <w:rFonts w:ascii="宋体" w:hAnsi="宋体" w:cs="宋体"/>
                <w:szCs w:val="21"/>
              </w:rPr>
            </w:pPr>
            <w:r>
              <w:rPr>
                <w:rFonts w:hint="eastAsia" w:ascii="宋体" w:hAnsi="宋体" w:cs="宋体"/>
                <w:szCs w:val="21"/>
              </w:rPr>
              <w:t>网站</w:t>
            </w:r>
          </w:p>
        </w:tc>
        <w:tc>
          <w:tcPr>
            <w:tcW w:w="1995" w:type="dxa"/>
            <w:noWrap/>
            <w:vAlign w:val="center"/>
          </w:tcPr>
          <w:p w14:paraId="61F2B377">
            <w:pPr>
              <w:spacing w:line="400" w:lineRule="exact"/>
              <w:jc w:val="center"/>
              <w:rPr>
                <w:rFonts w:ascii="宋体" w:hAnsi="宋体" w:cs="宋体"/>
                <w:szCs w:val="21"/>
              </w:rPr>
            </w:pPr>
            <w:r>
              <w:rPr>
                <w:rFonts w:hint="eastAsia" w:ascii="宋体" w:hAnsi="宋体" w:cs="宋体"/>
                <w:szCs w:val="21"/>
              </w:rPr>
              <w:t>24*7</w:t>
            </w:r>
          </w:p>
        </w:tc>
        <w:tc>
          <w:tcPr>
            <w:tcW w:w="1236" w:type="dxa"/>
            <w:noWrap/>
            <w:vAlign w:val="center"/>
          </w:tcPr>
          <w:p w14:paraId="36DBD95D">
            <w:pPr>
              <w:jc w:val="center"/>
              <w:rPr>
                <w:kern w:val="2"/>
              </w:rPr>
            </w:pPr>
            <w:r>
              <w:rPr>
                <w:rFonts w:hint="eastAsia" w:ascii="宋体" w:hAnsi="宋体" w:cs="宋体"/>
                <w:szCs w:val="21"/>
              </w:rPr>
              <w:t>客服人员</w:t>
            </w:r>
          </w:p>
        </w:tc>
        <w:tc>
          <w:tcPr>
            <w:tcW w:w="3804" w:type="dxa"/>
            <w:noWrap/>
            <w:vAlign w:val="center"/>
          </w:tcPr>
          <w:p w14:paraId="2B2E854D">
            <w:pPr>
              <w:spacing w:line="400" w:lineRule="exact"/>
              <w:jc w:val="center"/>
              <w:rPr>
                <w:rFonts w:ascii="宋体" w:hAnsi="宋体" w:cs="宋体"/>
                <w:szCs w:val="21"/>
              </w:rPr>
            </w:pPr>
            <w:r>
              <w:rPr>
                <w:rFonts w:hint="eastAsia" w:ascii="宋体" w:hAnsi="宋体" w:cs="宋体"/>
                <w:szCs w:val="21"/>
              </w:rPr>
              <w:t>了解公司信息</w:t>
            </w:r>
          </w:p>
        </w:tc>
      </w:tr>
      <w:tr w14:paraId="2BFFB1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470" w:type="dxa"/>
            <w:noWrap/>
            <w:vAlign w:val="center"/>
          </w:tcPr>
          <w:p w14:paraId="08F36975">
            <w:pPr>
              <w:spacing w:line="400" w:lineRule="exact"/>
              <w:jc w:val="center"/>
              <w:rPr>
                <w:rFonts w:ascii="宋体" w:hAnsi="宋体" w:cs="宋体"/>
                <w:szCs w:val="21"/>
              </w:rPr>
            </w:pPr>
            <w:r>
              <w:rPr>
                <w:rFonts w:hint="eastAsia" w:ascii="宋体" w:hAnsi="宋体" w:cs="宋体"/>
                <w:szCs w:val="21"/>
              </w:rPr>
              <w:t>电子邮件</w:t>
            </w:r>
          </w:p>
        </w:tc>
        <w:tc>
          <w:tcPr>
            <w:tcW w:w="1995" w:type="dxa"/>
            <w:noWrap/>
            <w:vAlign w:val="center"/>
          </w:tcPr>
          <w:p w14:paraId="7D217030">
            <w:pPr>
              <w:spacing w:line="400" w:lineRule="exact"/>
              <w:jc w:val="center"/>
              <w:rPr>
                <w:rFonts w:ascii="宋体" w:hAnsi="宋体" w:cs="宋体"/>
                <w:szCs w:val="21"/>
              </w:rPr>
            </w:pPr>
            <w:r>
              <w:rPr>
                <w:rFonts w:hint="eastAsia" w:ascii="宋体" w:hAnsi="宋体" w:cs="宋体"/>
                <w:szCs w:val="21"/>
              </w:rPr>
              <w:t>立刻行动</w:t>
            </w:r>
          </w:p>
        </w:tc>
        <w:tc>
          <w:tcPr>
            <w:tcW w:w="1236" w:type="dxa"/>
            <w:noWrap/>
            <w:vAlign w:val="center"/>
          </w:tcPr>
          <w:p w14:paraId="06D9D49B">
            <w:pPr>
              <w:jc w:val="center"/>
              <w:rPr>
                <w:kern w:val="2"/>
              </w:rPr>
            </w:pPr>
            <w:r>
              <w:rPr>
                <w:rFonts w:hint="eastAsia" w:ascii="宋体" w:hAnsi="宋体" w:cs="宋体"/>
                <w:szCs w:val="21"/>
              </w:rPr>
              <w:t>客服人员</w:t>
            </w:r>
          </w:p>
        </w:tc>
        <w:tc>
          <w:tcPr>
            <w:tcW w:w="3804" w:type="dxa"/>
            <w:noWrap/>
            <w:vAlign w:val="center"/>
          </w:tcPr>
          <w:p w14:paraId="6DBDF8D3">
            <w:pPr>
              <w:spacing w:line="400" w:lineRule="exact"/>
              <w:jc w:val="center"/>
              <w:rPr>
                <w:rFonts w:ascii="宋体" w:hAnsi="宋体" w:cs="宋体"/>
                <w:szCs w:val="21"/>
              </w:rPr>
            </w:pPr>
            <w:r>
              <w:rPr>
                <w:rFonts w:hint="eastAsia" w:ascii="宋体" w:hAnsi="宋体" w:cs="宋体"/>
                <w:szCs w:val="21"/>
              </w:rPr>
              <w:t>与公司员工直接接触</w:t>
            </w:r>
          </w:p>
        </w:tc>
      </w:tr>
    </w:tbl>
    <w:p w14:paraId="0B4AAA6B">
      <w:pPr>
        <w:spacing w:line="240" w:lineRule="exact"/>
        <w:ind w:firstLine="480" w:firstLineChars="200"/>
        <w:rPr>
          <w:rFonts w:ascii="宋体" w:hAnsi="宋体"/>
          <w:bCs/>
        </w:rPr>
      </w:pPr>
    </w:p>
    <w:p w14:paraId="4A786F96">
      <w:pPr>
        <w:spacing w:line="360" w:lineRule="auto"/>
        <w:ind w:firstLine="482" w:firstLineChars="200"/>
        <w:rPr>
          <w:rFonts w:ascii="宋体" w:hAnsi="宋体"/>
          <w:b/>
        </w:rPr>
      </w:pPr>
      <w:r>
        <w:rPr>
          <w:rFonts w:hint="eastAsia" w:ascii="宋体" w:hAnsi="宋体"/>
          <w:b/>
        </w:rPr>
        <w:t>b）公司针对关键顾客对接触方式的主要要求，以电话、报告等形式传达到相关部门，及时解决顾客需求。</w:t>
      </w:r>
    </w:p>
    <w:p w14:paraId="095DA77C">
      <w:pPr>
        <w:spacing w:line="360" w:lineRule="auto"/>
        <w:ind w:firstLine="480" w:firstLineChars="200"/>
        <w:rPr>
          <w:rFonts w:ascii="宋体" w:hAnsi="宋体"/>
        </w:rPr>
      </w:pPr>
      <w:r>
        <w:rPr>
          <w:rFonts w:hint="eastAsia" w:ascii="宋体" w:hAnsi="宋体"/>
        </w:rPr>
        <w:t xml:space="preserve">大多数顾客按照连续的、三班倒模式运营，这些顾客要求每天每分钟都能联系到一个有权处理顾客问题的负责人。较小规模顾客通常每天只有一两班，要求并没有这么高，所有与顾客有接触的员工都被要求参加一个关于如何与顾客进行有效联系的培训。公司对顾客接触层面的员工提出了不同的要求，比如接线员、业务人员的态度和业务素质，在和顾客接触的过程中的行为规范以文件形式加以明确。 </w:t>
      </w:r>
    </w:p>
    <w:p w14:paraId="68EEF94A">
      <w:pPr>
        <w:spacing w:line="360" w:lineRule="auto"/>
        <w:ind w:firstLine="482" w:firstLineChars="200"/>
        <w:jc w:val="center"/>
        <w:rPr>
          <w:rFonts w:ascii="宋体" w:hAnsi="宋体"/>
          <w:b/>
        </w:rPr>
      </w:pPr>
      <w:r>
        <w:rPr>
          <w:rFonts w:hint="eastAsia" w:ascii="宋体" w:hAnsi="宋体"/>
          <w:b/>
        </w:rPr>
        <w:t>表4.3-7顾客接触的方法</w:t>
      </w:r>
    </w:p>
    <w:tbl>
      <w:tblPr>
        <w:tblStyle w:val="22"/>
        <w:tblW w:w="9260" w:type="dxa"/>
        <w:tblInd w:w="-459"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20"/>
        <w:gridCol w:w="2047"/>
        <w:gridCol w:w="3600"/>
        <w:gridCol w:w="2393"/>
      </w:tblGrid>
      <w:tr w14:paraId="4F3FEF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7" w:hRule="atLeast"/>
          <w:tblHeader/>
        </w:trPr>
        <w:tc>
          <w:tcPr>
            <w:tcW w:w="1220" w:type="dxa"/>
            <w:tcBorders>
              <w:top w:val="single" w:color="auto" w:sz="12" w:space="0"/>
              <w:bottom w:val="single" w:color="auto" w:sz="6" w:space="0"/>
            </w:tcBorders>
            <w:shd w:val="clear" w:color="auto" w:fill="757070"/>
            <w:noWrap/>
          </w:tcPr>
          <w:p w14:paraId="32DE8365">
            <w:pPr>
              <w:ind w:left="-2" w:leftChars="-1" w:firstLine="1"/>
              <w:rPr>
                <w:b/>
                <w:kern w:val="2"/>
                <w:szCs w:val="21"/>
              </w:rPr>
            </w:pPr>
            <w:r>
              <w:rPr>
                <w:rFonts w:hint="eastAsia"/>
                <w:b/>
                <w:kern w:val="2"/>
                <w:szCs w:val="21"/>
              </w:rPr>
              <w:t>接触类别</w:t>
            </w:r>
          </w:p>
        </w:tc>
        <w:tc>
          <w:tcPr>
            <w:tcW w:w="2047" w:type="dxa"/>
            <w:tcBorders>
              <w:top w:val="single" w:color="auto" w:sz="12" w:space="0"/>
              <w:bottom w:val="single" w:color="auto" w:sz="6" w:space="0"/>
            </w:tcBorders>
            <w:shd w:val="clear" w:color="auto" w:fill="757070"/>
            <w:noWrap/>
          </w:tcPr>
          <w:p w14:paraId="1D6388AB">
            <w:pPr>
              <w:rPr>
                <w:b/>
                <w:kern w:val="2"/>
                <w:szCs w:val="21"/>
              </w:rPr>
            </w:pPr>
            <w:r>
              <w:rPr>
                <w:rFonts w:hint="eastAsia"/>
                <w:b/>
                <w:kern w:val="2"/>
                <w:szCs w:val="21"/>
              </w:rPr>
              <w:t>主要接触方式</w:t>
            </w:r>
          </w:p>
        </w:tc>
        <w:tc>
          <w:tcPr>
            <w:tcW w:w="3600" w:type="dxa"/>
            <w:tcBorders>
              <w:top w:val="single" w:color="auto" w:sz="12" w:space="0"/>
              <w:bottom w:val="single" w:color="auto" w:sz="6" w:space="0"/>
            </w:tcBorders>
            <w:shd w:val="clear" w:color="auto" w:fill="757070"/>
            <w:noWrap/>
          </w:tcPr>
          <w:p w14:paraId="0E7ECCD5">
            <w:pPr>
              <w:ind w:left="420"/>
              <w:rPr>
                <w:b/>
                <w:kern w:val="2"/>
                <w:szCs w:val="21"/>
              </w:rPr>
            </w:pPr>
            <w:r>
              <w:rPr>
                <w:rFonts w:hint="eastAsia"/>
                <w:b/>
                <w:kern w:val="2"/>
                <w:szCs w:val="21"/>
              </w:rPr>
              <w:t>关键顾客要求的确定</w:t>
            </w:r>
          </w:p>
        </w:tc>
        <w:tc>
          <w:tcPr>
            <w:tcW w:w="2393" w:type="dxa"/>
            <w:tcBorders>
              <w:top w:val="single" w:color="auto" w:sz="12" w:space="0"/>
              <w:bottom w:val="single" w:color="auto" w:sz="6" w:space="0"/>
            </w:tcBorders>
            <w:shd w:val="clear" w:color="auto" w:fill="757070"/>
            <w:noWrap/>
          </w:tcPr>
          <w:p w14:paraId="3184D083">
            <w:pPr>
              <w:ind w:left="420"/>
              <w:rPr>
                <w:b/>
                <w:kern w:val="2"/>
                <w:szCs w:val="21"/>
              </w:rPr>
            </w:pPr>
            <w:r>
              <w:rPr>
                <w:rFonts w:hint="eastAsia"/>
                <w:b/>
                <w:kern w:val="2"/>
                <w:szCs w:val="21"/>
              </w:rPr>
              <w:t>顾客要求的传达</w:t>
            </w:r>
          </w:p>
        </w:tc>
      </w:tr>
      <w:tr w14:paraId="63CF24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5" w:hRule="atLeast"/>
        </w:trPr>
        <w:tc>
          <w:tcPr>
            <w:tcW w:w="1220" w:type="dxa"/>
            <w:vMerge w:val="restart"/>
            <w:tcBorders>
              <w:top w:val="single" w:color="auto" w:sz="6" w:space="0"/>
            </w:tcBorders>
            <w:noWrap/>
            <w:vAlign w:val="center"/>
          </w:tcPr>
          <w:p w14:paraId="62E17C39">
            <w:pPr>
              <w:jc w:val="center"/>
              <w:rPr>
                <w:rFonts w:ascii="宋体" w:hAnsi="宋体" w:cs="宋体"/>
                <w:color w:val="000000"/>
                <w:szCs w:val="21"/>
              </w:rPr>
            </w:pPr>
            <w:r>
              <w:rPr>
                <w:rFonts w:hint="eastAsia" w:ascii="宋体" w:hAnsi="宋体" w:cs="宋体"/>
                <w:color w:val="000000"/>
                <w:szCs w:val="21"/>
              </w:rPr>
              <w:t>交易方式</w:t>
            </w:r>
          </w:p>
        </w:tc>
        <w:tc>
          <w:tcPr>
            <w:tcW w:w="2047" w:type="dxa"/>
            <w:tcBorders>
              <w:top w:val="single" w:color="auto" w:sz="6" w:space="0"/>
            </w:tcBorders>
            <w:noWrap/>
            <w:vAlign w:val="center"/>
          </w:tcPr>
          <w:p w14:paraId="7F678479">
            <w:pPr>
              <w:rPr>
                <w:rFonts w:ascii="宋体" w:hAnsi="宋体" w:cs="宋体"/>
                <w:color w:val="000000"/>
                <w:szCs w:val="21"/>
              </w:rPr>
            </w:pPr>
            <w:r>
              <w:rPr>
                <w:rFonts w:hint="eastAsia" w:ascii="宋体" w:hAnsi="宋体" w:cs="宋体"/>
                <w:color w:val="000000"/>
                <w:szCs w:val="21"/>
              </w:rPr>
              <w:t>订货渠道：电话、邮件</w:t>
            </w:r>
          </w:p>
        </w:tc>
        <w:tc>
          <w:tcPr>
            <w:tcW w:w="3600" w:type="dxa"/>
            <w:vMerge w:val="restart"/>
            <w:tcBorders>
              <w:top w:val="single" w:color="auto" w:sz="6" w:space="0"/>
            </w:tcBorders>
            <w:noWrap/>
            <w:vAlign w:val="center"/>
          </w:tcPr>
          <w:p w14:paraId="41521A21">
            <w:pPr>
              <w:rPr>
                <w:rFonts w:ascii="宋体" w:hAnsi="宋体" w:cs="宋体"/>
                <w:color w:val="000000"/>
                <w:szCs w:val="21"/>
              </w:rPr>
            </w:pPr>
            <w:r>
              <w:rPr>
                <w:rFonts w:hint="eastAsia" w:ascii="宋体" w:hAnsi="宋体" w:cs="宋体"/>
                <w:color w:val="000000"/>
                <w:szCs w:val="21"/>
              </w:rPr>
              <w:t>由业务人员与顾客充分沟通确定主要的接触方式,报销售部按权限逐级审批,同意后,进行实际性的业务交易操作。</w:t>
            </w:r>
          </w:p>
        </w:tc>
        <w:tc>
          <w:tcPr>
            <w:tcW w:w="2393" w:type="dxa"/>
            <w:vMerge w:val="restart"/>
            <w:tcBorders>
              <w:top w:val="single" w:color="auto" w:sz="6" w:space="0"/>
            </w:tcBorders>
            <w:noWrap/>
            <w:vAlign w:val="center"/>
          </w:tcPr>
          <w:p w14:paraId="05C14DB7">
            <w:pPr>
              <w:rPr>
                <w:rFonts w:ascii="宋体" w:hAnsi="宋体" w:cs="宋体"/>
                <w:color w:val="000000"/>
                <w:szCs w:val="21"/>
              </w:rPr>
            </w:pPr>
            <w:r>
              <w:rPr>
                <w:rFonts w:hint="eastAsia" w:ascii="宋体" w:hAnsi="宋体" w:cs="宋体"/>
                <w:color w:val="000000"/>
                <w:szCs w:val="21"/>
              </w:rPr>
              <w:t>由业务人员传达至公司的各个相关职能部门及公司领导（主要有电话、报告、汇报、会议等形式）。</w:t>
            </w:r>
          </w:p>
        </w:tc>
      </w:tr>
      <w:tr w14:paraId="3A4172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5" w:hRule="atLeast"/>
        </w:trPr>
        <w:tc>
          <w:tcPr>
            <w:tcW w:w="1220" w:type="dxa"/>
            <w:vMerge w:val="continue"/>
            <w:noWrap/>
            <w:vAlign w:val="center"/>
          </w:tcPr>
          <w:p w14:paraId="1CAF4D26">
            <w:pPr>
              <w:rPr>
                <w:rFonts w:ascii="宋体" w:hAnsi="宋体" w:cs="宋体"/>
                <w:color w:val="000000"/>
                <w:szCs w:val="21"/>
              </w:rPr>
            </w:pPr>
          </w:p>
        </w:tc>
        <w:tc>
          <w:tcPr>
            <w:tcW w:w="2047" w:type="dxa"/>
            <w:noWrap/>
            <w:vAlign w:val="center"/>
          </w:tcPr>
          <w:p w14:paraId="0C2F7BBB">
            <w:pPr>
              <w:rPr>
                <w:rFonts w:ascii="宋体" w:hAnsi="宋体" w:cs="宋体"/>
                <w:color w:val="000000"/>
                <w:szCs w:val="21"/>
              </w:rPr>
            </w:pPr>
            <w:r>
              <w:rPr>
                <w:rFonts w:hint="eastAsia" w:ascii="宋体" w:hAnsi="宋体" w:cs="宋体"/>
                <w:color w:val="000000"/>
                <w:szCs w:val="21"/>
              </w:rPr>
              <w:t>交货方式：物流</w:t>
            </w:r>
          </w:p>
        </w:tc>
        <w:tc>
          <w:tcPr>
            <w:tcW w:w="3600" w:type="dxa"/>
            <w:vMerge w:val="continue"/>
            <w:noWrap/>
            <w:vAlign w:val="center"/>
          </w:tcPr>
          <w:p w14:paraId="14AA6F02">
            <w:pPr>
              <w:rPr>
                <w:rFonts w:ascii="宋体" w:hAnsi="宋体" w:cs="宋体"/>
                <w:color w:val="000000"/>
                <w:szCs w:val="21"/>
              </w:rPr>
            </w:pPr>
          </w:p>
        </w:tc>
        <w:tc>
          <w:tcPr>
            <w:tcW w:w="2393" w:type="dxa"/>
            <w:vMerge w:val="continue"/>
            <w:noWrap/>
            <w:vAlign w:val="center"/>
          </w:tcPr>
          <w:p w14:paraId="69714A6F">
            <w:pPr>
              <w:rPr>
                <w:rFonts w:ascii="宋体" w:hAnsi="宋体" w:cs="宋体"/>
                <w:color w:val="000000"/>
                <w:szCs w:val="21"/>
              </w:rPr>
            </w:pPr>
          </w:p>
        </w:tc>
      </w:tr>
      <w:tr w14:paraId="634FE0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5" w:hRule="atLeast"/>
        </w:trPr>
        <w:tc>
          <w:tcPr>
            <w:tcW w:w="1220" w:type="dxa"/>
            <w:vMerge w:val="continue"/>
            <w:noWrap/>
            <w:vAlign w:val="center"/>
          </w:tcPr>
          <w:p w14:paraId="7BD9DF7E">
            <w:pPr>
              <w:rPr>
                <w:rFonts w:ascii="宋体" w:hAnsi="宋体" w:cs="宋体"/>
                <w:color w:val="000000"/>
                <w:szCs w:val="21"/>
              </w:rPr>
            </w:pPr>
          </w:p>
        </w:tc>
        <w:tc>
          <w:tcPr>
            <w:tcW w:w="2047" w:type="dxa"/>
            <w:noWrap/>
            <w:vAlign w:val="center"/>
          </w:tcPr>
          <w:p w14:paraId="705FD3E4">
            <w:pPr>
              <w:rPr>
                <w:rFonts w:ascii="宋体" w:hAnsi="宋体" w:cs="宋体"/>
                <w:color w:val="000000"/>
                <w:szCs w:val="21"/>
              </w:rPr>
            </w:pPr>
            <w:r>
              <w:rPr>
                <w:rFonts w:hint="eastAsia" w:ascii="宋体" w:hAnsi="宋体" w:cs="宋体"/>
                <w:color w:val="000000"/>
                <w:szCs w:val="21"/>
              </w:rPr>
              <w:t>付款方式：货到付款</w:t>
            </w:r>
          </w:p>
        </w:tc>
        <w:tc>
          <w:tcPr>
            <w:tcW w:w="3600" w:type="dxa"/>
            <w:vMerge w:val="continue"/>
            <w:noWrap/>
            <w:vAlign w:val="center"/>
          </w:tcPr>
          <w:p w14:paraId="2750BA0E">
            <w:pPr>
              <w:rPr>
                <w:rFonts w:ascii="宋体" w:hAnsi="宋体" w:cs="宋体"/>
                <w:color w:val="000000"/>
                <w:szCs w:val="21"/>
              </w:rPr>
            </w:pPr>
          </w:p>
        </w:tc>
        <w:tc>
          <w:tcPr>
            <w:tcW w:w="2393" w:type="dxa"/>
            <w:vMerge w:val="continue"/>
            <w:noWrap/>
            <w:vAlign w:val="center"/>
          </w:tcPr>
          <w:p w14:paraId="5EFE7809">
            <w:pPr>
              <w:rPr>
                <w:rFonts w:ascii="宋体" w:hAnsi="宋体" w:cs="宋体"/>
                <w:color w:val="000000"/>
                <w:szCs w:val="21"/>
              </w:rPr>
            </w:pPr>
          </w:p>
        </w:tc>
      </w:tr>
      <w:tr w14:paraId="77E158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6" w:hRule="atLeast"/>
        </w:trPr>
        <w:tc>
          <w:tcPr>
            <w:tcW w:w="1220" w:type="dxa"/>
            <w:vMerge w:val="restart"/>
            <w:noWrap/>
            <w:vAlign w:val="center"/>
          </w:tcPr>
          <w:p w14:paraId="0A51BEC4">
            <w:pPr>
              <w:jc w:val="center"/>
              <w:rPr>
                <w:rFonts w:ascii="宋体" w:hAnsi="宋体" w:cs="宋体"/>
                <w:color w:val="000000"/>
                <w:szCs w:val="21"/>
              </w:rPr>
            </w:pPr>
            <w:r>
              <w:rPr>
                <w:rFonts w:hint="eastAsia" w:ascii="宋体" w:hAnsi="宋体" w:cs="宋体"/>
                <w:color w:val="000000"/>
                <w:szCs w:val="21"/>
              </w:rPr>
              <w:t>查询方式</w:t>
            </w:r>
          </w:p>
        </w:tc>
        <w:tc>
          <w:tcPr>
            <w:tcW w:w="2047" w:type="dxa"/>
            <w:noWrap/>
            <w:vAlign w:val="center"/>
          </w:tcPr>
          <w:p w14:paraId="7D10195A">
            <w:pPr>
              <w:jc w:val="center"/>
              <w:rPr>
                <w:rFonts w:ascii="宋体" w:hAnsi="宋体" w:cs="宋体"/>
                <w:color w:val="000000"/>
                <w:szCs w:val="21"/>
              </w:rPr>
            </w:pPr>
            <w:r>
              <w:rPr>
                <w:rFonts w:hint="eastAsia" w:ascii="宋体" w:hAnsi="宋体" w:cs="宋体"/>
                <w:color w:val="000000"/>
                <w:szCs w:val="21"/>
              </w:rPr>
              <w:t>电话</w:t>
            </w:r>
          </w:p>
        </w:tc>
        <w:tc>
          <w:tcPr>
            <w:tcW w:w="3600" w:type="dxa"/>
            <w:noWrap/>
            <w:vAlign w:val="center"/>
          </w:tcPr>
          <w:p w14:paraId="6DA97BB7">
            <w:pPr>
              <w:jc w:val="center"/>
              <w:rPr>
                <w:rFonts w:ascii="宋体" w:hAnsi="宋体" w:cs="宋体"/>
                <w:color w:val="000000"/>
                <w:szCs w:val="21"/>
              </w:rPr>
            </w:pPr>
            <w:r>
              <w:rPr>
                <w:rFonts w:hint="eastAsia" w:ascii="宋体" w:hAnsi="宋体" w:cs="宋体"/>
                <w:color w:val="000000"/>
                <w:szCs w:val="21"/>
              </w:rPr>
              <w:t>24小时接听来电</w:t>
            </w:r>
          </w:p>
        </w:tc>
        <w:tc>
          <w:tcPr>
            <w:tcW w:w="2393" w:type="dxa"/>
            <w:vMerge w:val="restart"/>
            <w:noWrap/>
            <w:vAlign w:val="center"/>
          </w:tcPr>
          <w:p w14:paraId="19FC1C96">
            <w:pPr>
              <w:rPr>
                <w:rFonts w:ascii="宋体" w:hAnsi="宋体" w:cs="宋体"/>
                <w:color w:val="000000"/>
                <w:szCs w:val="21"/>
              </w:rPr>
            </w:pPr>
            <w:r>
              <w:rPr>
                <w:rFonts w:hint="eastAsia" w:ascii="宋体" w:hAnsi="宋体" w:cs="宋体"/>
                <w:color w:val="000000"/>
                <w:szCs w:val="21"/>
              </w:rPr>
              <w:t>通过这些形式，由业务人员掌握顾客信息，并作出分析和处理，开展实质性的业务工作。</w:t>
            </w:r>
          </w:p>
        </w:tc>
      </w:tr>
      <w:tr w14:paraId="75D2D1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4" w:hRule="atLeast"/>
        </w:trPr>
        <w:tc>
          <w:tcPr>
            <w:tcW w:w="1220" w:type="dxa"/>
            <w:vMerge w:val="continue"/>
            <w:noWrap/>
            <w:vAlign w:val="center"/>
          </w:tcPr>
          <w:p w14:paraId="1B1752D6">
            <w:pPr>
              <w:rPr>
                <w:rFonts w:ascii="宋体" w:hAnsi="宋体" w:cs="宋体"/>
                <w:color w:val="000000"/>
                <w:szCs w:val="21"/>
              </w:rPr>
            </w:pPr>
          </w:p>
        </w:tc>
        <w:tc>
          <w:tcPr>
            <w:tcW w:w="2047" w:type="dxa"/>
            <w:noWrap/>
            <w:vAlign w:val="center"/>
          </w:tcPr>
          <w:p w14:paraId="68D1AA7D">
            <w:pPr>
              <w:jc w:val="center"/>
              <w:rPr>
                <w:rFonts w:ascii="宋体" w:hAnsi="宋体" w:cs="宋体"/>
                <w:color w:val="000000"/>
                <w:szCs w:val="21"/>
              </w:rPr>
            </w:pPr>
            <w:r>
              <w:rPr>
                <w:rFonts w:hint="eastAsia" w:ascii="宋体" w:hAnsi="宋体" w:cs="宋体"/>
                <w:color w:val="000000"/>
                <w:szCs w:val="21"/>
              </w:rPr>
              <w:t>网页</w:t>
            </w:r>
          </w:p>
        </w:tc>
        <w:tc>
          <w:tcPr>
            <w:tcW w:w="3600" w:type="dxa"/>
            <w:noWrap/>
            <w:vAlign w:val="center"/>
          </w:tcPr>
          <w:p w14:paraId="4E8679F1">
            <w:pPr>
              <w:rPr>
                <w:rFonts w:ascii="宋体" w:hAnsi="宋体" w:cs="宋体"/>
                <w:color w:val="000000"/>
                <w:szCs w:val="21"/>
              </w:rPr>
            </w:pPr>
            <w:r>
              <w:rPr>
                <w:rFonts w:hint="eastAsia" w:ascii="宋体" w:hAnsi="宋体" w:cs="宋体"/>
                <w:color w:val="000000"/>
                <w:szCs w:val="21"/>
              </w:rPr>
              <w:t>让顾客更加了解公司及产品信息</w:t>
            </w:r>
          </w:p>
        </w:tc>
        <w:tc>
          <w:tcPr>
            <w:tcW w:w="2393" w:type="dxa"/>
            <w:vMerge w:val="continue"/>
            <w:noWrap/>
            <w:vAlign w:val="center"/>
          </w:tcPr>
          <w:p w14:paraId="1800E80C">
            <w:pPr>
              <w:rPr>
                <w:rFonts w:ascii="宋体" w:hAnsi="宋体" w:cs="宋体"/>
                <w:color w:val="000000"/>
                <w:sz w:val="18"/>
                <w:szCs w:val="18"/>
              </w:rPr>
            </w:pPr>
          </w:p>
        </w:tc>
      </w:tr>
      <w:tr w14:paraId="648825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5" w:hRule="atLeast"/>
        </w:trPr>
        <w:tc>
          <w:tcPr>
            <w:tcW w:w="1220" w:type="dxa"/>
            <w:vMerge w:val="continue"/>
            <w:noWrap/>
            <w:vAlign w:val="center"/>
          </w:tcPr>
          <w:p w14:paraId="33BBFDBB">
            <w:pPr>
              <w:rPr>
                <w:rFonts w:ascii="宋体" w:hAnsi="宋体" w:cs="宋体"/>
                <w:color w:val="000000"/>
                <w:szCs w:val="21"/>
              </w:rPr>
            </w:pPr>
          </w:p>
        </w:tc>
        <w:tc>
          <w:tcPr>
            <w:tcW w:w="2047" w:type="dxa"/>
            <w:noWrap/>
            <w:vAlign w:val="center"/>
          </w:tcPr>
          <w:p w14:paraId="4E01CDDE">
            <w:pPr>
              <w:jc w:val="center"/>
              <w:rPr>
                <w:rFonts w:ascii="宋体" w:hAnsi="宋体" w:cs="宋体"/>
                <w:color w:val="000000"/>
                <w:szCs w:val="21"/>
              </w:rPr>
            </w:pPr>
            <w:r>
              <w:rPr>
                <w:rFonts w:hint="eastAsia" w:ascii="宋体" w:hAnsi="宋体" w:cs="宋体"/>
                <w:color w:val="000000"/>
                <w:szCs w:val="21"/>
              </w:rPr>
              <w:t>各类宣传资料</w:t>
            </w:r>
          </w:p>
        </w:tc>
        <w:tc>
          <w:tcPr>
            <w:tcW w:w="3600" w:type="dxa"/>
            <w:noWrap/>
            <w:vAlign w:val="center"/>
          </w:tcPr>
          <w:p w14:paraId="36439CCF">
            <w:pPr>
              <w:rPr>
                <w:rFonts w:ascii="宋体" w:hAnsi="宋体" w:cs="宋体"/>
                <w:color w:val="000000"/>
                <w:szCs w:val="21"/>
              </w:rPr>
            </w:pPr>
            <w:r>
              <w:rPr>
                <w:rFonts w:hint="eastAsia" w:ascii="宋体" w:hAnsi="宋体" w:cs="宋体"/>
                <w:color w:val="000000"/>
                <w:szCs w:val="21"/>
              </w:rPr>
              <w:t>提供详尽的产品信息，以便顾客查询</w:t>
            </w:r>
          </w:p>
        </w:tc>
        <w:tc>
          <w:tcPr>
            <w:tcW w:w="2393" w:type="dxa"/>
            <w:vMerge w:val="continue"/>
            <w:noWrap/>
            <w:vAlign w:val="center"/>
          </w:tcPr>
          <w:p w14:paraId="5AE37EE6">
            <w:pPr>
              <w:rPr>
                <w:rFonts w:ascii="宋体" w:hAnsi="宋体" w:cs="宋体"/>
                <w:color w:val="000000"/>
                <w:sz w:val="18"/>
                <w:szCs w:val="18"/>
              </w:rPr>
            </w:pPr>
          </w:p>
        </w:tc>
      </w:tr>
      <w:tr w14:paraId="3E1423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5" w:hRule="atLeast"/>
        </w:trPr>
        <w:tc>
          <w:tcPr>
            <w:tcW w:w="1220" w:type="dxa"/>
            <w:vMerge w:val="continue"/>
            <w:noWrap/>
            <w:vAlign w:val="center"/>
          </w:tcPr>
          <w:p w14:paraId="560A1770">
            <w:pPr>
              <w:rPr>
                <w:rFonts w:ascii="宋体" w:hAnsi="宋体" w:cs="宋体"/>
                <w:color w:val="000000"/>
                <w:sz w:val="18"/>
                <w:szCs w:val="18"/>
              </w:rPr>
            </w:pPr>
          </w:p>
        </w:tc>
        <w:tc>
          <w:tcPr>
            <w:tcW w:w="2047" w:type="dxa"/>
            <w:noWrap/>
            <w:vAlign w:val="center"/>
          </w:tcPr>
          <w:p w14:paraId="5C3201F2">
            <w:pPr>
              <w:jc w:val="center"/>
              <w:rPr>
                <w:rFonts w:ascii="宋体" w:hAnsi="宋体" w:cs="宋体"/>
                <w:color w:val="000000"/>
                <w:szCs w:val="21"/>
              </w:rPr>
            </w:pPr>
            <w:r>
              <w:rPr>
                <w:rFonts w:hint="eastAsia" w:ascii="宋体" w:hAnsi="宋体" w:cs="宋体"/>
                <w:color w:val="000000"/>
                <w:szCs w:val="21"/>
              </w:rPr>
              <w:t>邮件</w:t>
            </w:r>
          </w:p>
        </w:tc>
        <w:tc>
          <w:tcPr>
            <w:tcW w:w="3600" w:type="dxa"/>
            <w:noWrap/>
            <w:vAlign w:val="center"/>
          </w:tcPr>
          <w:p w14:paraId="05818E17">
            <w:pPr>
              <w:jc w:val="center"/>
              <w:rPr>
                <w:rFonts w:ascii="宋体" w:hAnsi="宋体" w:cs="宋体"/>
                <w:color w:val="000000"/>
                <w:szCs w:val="21"/>
              </w:rPr>
            </w:pPr>
            <w:r>
              <w:rPr>
                <w:rFonts w:hint="eastAsia" w:ascii="宋体" w:hAnsi="宋体" w:cs="宋体"/>
                <w:color w:val="000000"/>
                <w:szCs w:val="21"/>
              </w:rPr>
              <w:t>24小时接收，并做到有效的回复</w:t>
            </w:r>
          </w:p>
        </w:tc>
        <w:tc>
          <w:tcPr>
            <w:tcW w:w="2393" w:type="dxa"/>
            <w:vMerge w:val="continue"/>
            <w:noWrap/>
            <w:vAlign w:val="center"/>
          </w:tcPr>
          <w:p w14:paraId="5634AE6B">
            <w:pPr>
              <w:rPr>
                <w:rFonts w:ascii="宋体" w:hAnsi="宋体" w:cs="宋体"/>
                <w:color w:val="000000"/>
                <w:szCs w:val="21"/>
              </w:rPr>
            </w:pPr>
          </w:p>
        </w:tc>
      </w:tr>
      <w:tr w14:paraId="31BD14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6" w:hRule="atLeast"/>
        </w:trPr>
        <w:tc>
          <w:tcPr>
            <w:tcW w:w="1220" w:type="dxa"/>
            <w:vMerge w:val="restart"/>
            <w:noWrap/>
            <w:vAlign w:val="center"/>
          </w:tcPr>
          <w:p w14:paraId="25973DAF">
            <w:pPr>
              <w:jc w:val="center"/>
              <w:rPr>
                <w:rFonts w:ascii="宋体" w:hAnsi="宋体" w:cs="宋体"/>
                <w:color w:val="000000"/>
                <w:szCs w:val="21"/>
              </w:rPr>
            </w:pPr>
            <w:r>
              <w:rPr>
                <w:rFonts w:hint="eastAsia" w:ascii="宋体" w:hAnsi="宋体" w:cs="宋体"/>
                <w:color w:val="000000"/>
                <w:szCs w:val="21"/>
              </w:rPr>
              <w:t>投诉方式</w:t>
            </w:r>
          </w:p>
        </w:tc>
        <w:tc>
          <w:tcPr>
            <w:tcW w:w="2047" w:type="dxa"/>
            <w:noWrap/>
            <w:vAlign w:val="center"/>
          </w:tcPr>
          <w:p w14:paraId="36263A77">
            <w:pPr>
              <w:jc w:val="center"/>
              <w:rPr>
                <w:rFonts w:ascii="宋体" w:hAnsi="宋体" w:cs="宋体"/>
                <w:color w:val="000000"/>
                <w:szCs w:val="21"/>
              </w:rPr>
            </w:pPr>
            <w:r>
              <w:rPr>
                <w:rFonts w:hint="eastAsia" w:ascii="宋体" w:hAnsi="宋体" w:cs="宋体"/>
                <w:color w:val="000000"/>
                <w:szCs w:val="21"/>
              </w:rPr>
              <w:t>电话</w:t>
            </w:r>
          </w:p>
        </w:tc>
        <w:tc>
          <w:tcPr>
            <w:tcW w:w="3600" w:type="dxa"/>
            <w:noWrap/>
            <w:vAlign w:val="center"/>
          </w:tcPr>
          <w:p w14:paraId="739DC38A">
            <w:pPr>
              <w:jc w:val="center"/>
              <w:rPr>
                <w:rFonts w:ascii="宋体" w:hAnsi="宋体" w:cs="宋体"/>
                <w:color w:val="000000"/>
                <w:szCs w:val="21"/>
              </w:rPr>
            </w:pPr>
            <w:r>
              <w:rPr>
                <w:rFonts w:hint="eastAsia" w:ascii="宋体" w:hAnsi="宋体" w:cs="宋体"/>
                <w:color w:val="000000"/>
                <w:szCs w:val="21"/>
              </w:rPr>
              <w:t>24小时接听</w:t>
            </w:r>
          </w:p>
        </w:tc>
        <w:tc>
          <w:tcPr>
            <w:tcW w:w="2393" w:type="dxa"/>
            <w:noWrap/>
            <w:vAlign w:val="center"/>
          </w:tcPr>
          <w:p w14:paraId="06637CF2">
            <w:pPr>
              <w:rPr>
                <w:rFonts w:ascii="宋体" w:hAnsi="宋体" w:cs="宋体"/>
                <w:color w:val="000000"/>
                <w:szCs w:val="21"/>
              </w:rPr>
            </w:pPr>
            <w:r>
              <w:rPr>
                <w:rFonts w:hint="eastAsia" w:ascii="宋体" w:hAnsi="宋体" w:cs="宋体"/>
                <w:color w:val="000000"/>
                <w:szCs w:val="21"/>
              </w:rPr>
              <w:t>由业务人员和相关部门沟通进行初步的投诉分析，了解投诉情况。</w:t>
            </w:r>
          </w:p>
        </w:tc>
      </w:tr>
      <w:tr w14:paraId="64E11F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220" w:type="dxa"/>
            <w:vMerge w:val="continue"/>
            <w:noWrap/>
            <w:vAlign w:val="center"/>
          </w:tcPr>
          <w:p w14:paraId="3DC74784">
            <w:pPr>
              <w:rPr>
                <w:rFonts w:ascii="宋体" w:hAnsi="宋体" w:cs="宋体"/>
                <w:color w:val="000000"/>
                <w:szCs w:val="21"/>
              </w:rPr>
            </w:pPr>
          </w:p>
        </w:tc>
        <w:tc>
          <w:tcPr>
            <w:tcW w:w="2047" w:type="dxa"/>
            <w:noWrap/>
            <w:vAlign w:val="center"/>
          </w:tcPr>
          <w:p w14:paraId="210F5976">
            <w:pPr>
              <w:jc w:val="center"/>
              <w:rPr>
                <w:rFonts w:ascii="宋体" w:hAnsi="宋体" w:cs="宋体"/>
                <w:color w:val="000000"/>
                <w:szCs w:val="21"/>
              </w:rPr>
            </w:pPr>
            <w:r>
              <w:rPr>
                <w:rFonts w:hint="eastAsia" w:ascii="宋体" w:hAnsi="宋体" w:cs="宋体"/>
                <w:color w:val="000000"/>
                <w:szCs w:val="21"/>
              </w:rPr>
              <w:t>顾客满意度调查</w:t>
            </w:r>
          </w:p>
        </w:tc>
        <w:tc>
          <w:tcPr>
            <w:tcW w:w="3600" w:type="dxa"/>
            <w:noWrap/>
            <w:vAlign w:val="center"/>
          </w:tcPr>
          <w:p w14:paraId="64E7DAC8">
            <w:pPr>
              <w:jc w:val="center"/>
              <w:rPr>
                <w:rFonts w:ascii="宋体" w:hAnsi="宋体" w:cs="宋体"/>
                <w:color w:val="000000"/>
                <w:szCs w:val="21"/>
              </w:rPr>
            </w:pPr>
            <w:r>
              <w:rPr>
                <w:rFonts w:hint="eastAsia" w:ascii="宋体" w:hAnsi="宋体" w:cs="宋体"/>
                <w:color w:val="000000"/>
                <w:szCs w:val="21"/>
              </w:rPr>
              <w:t>每年开展一次</w:t>
            </w:r>
          </w:p>
        </w:tc>
        <w:tc>
          <w:tcPr>
            <w:tcW w:w="2393" w:type="dxa"/>
            <w:noWrap/>
            <w:vAlign w:val="center"/>
          </w:tcPr>
          <w:p w14:paraId="2DC11F79">
            <w:pPr>
              <w:rPr>
                <w:rFonts w:ascii="宋体" w:hAnsi="宋体" w:cs="宋体"/>
                <w:color w:val="000000"/>
                <w:szCs w:val="21"/>
              </w:rPr>
            </w:pPr>
            <w:r>
              <w:rPr>
                <w:rFonts w:hint="eastAsia" w:ascii="宋体" w:hAnsi="宋体" w:cs="宋体"/>
                <w:color w:val="000000"/>
                <w:szCs w:val="21"/>
              </w:rPr>
              <w:t>形成调查报告传达到公司各部门。</w:t>
            </w:r>
          </w:p>
        </w:tc>
      </w:tr>
      <w:tr w14:paraId="167CE0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6" w:hRule="atLeast"/>
        </w:trPr>
        <w:tc>
          <w:tcPr>
            <w:tcW w:w="1220" w:type="dxa"/>
            <w:vMerge w:val="continue"/>
            <w:noWrap/>
            <w:vAlign w:val="center"/>
          </w:tcPr>
          <w:p w14:paraId="2B78C03B">
            <w:pPr>
              <w:rPr>
                <w:rFonts w:ascii="宋体" w:hAnsi="宋体" w:cs="宋体"/>
                <w:color w:val="000000"/>
                <w:szCs w:val="21"/>
              </w:rPr>
            </w:pPr>
          </w:p>
        </w:tc>
        <w:tc>
          <w:tcPr>
            <w:tcW w:w="2047" w:type="dxa"/>
            <w:noWrap/>
            <w:vAlign w:val="center"/>
          </w:tcPr>
          <w:p w14:paraId="52735313">
            <w:pPr>
              <w:jc w:val="center"/>
              <w:rPr>
                <w:rFonts w:ascii="宋体" w:hAnsi="宋体" w:cs="宋体"/>
                <w:color w:val="000000"/>
                <w:szCs w:val="21"/>
              </w:rPr>
            </w:pPr>
            <w:r>
              <w:rPr>
                <w:rFonts w:hint="eastAsia" w:ascii="宋体" w:hAnsi="宋体" w:cs="宋体"/>
                <w:color w:val="000000"/>
                <w:szCs w:val="21"/>
              </w:rPr>
              <w:t>照片</w:t>
            </w:r>
          </w:p>
        </w:tc>
        <w:tc>
          <w:tcPr>
            <w:tcW w:w="3600" w:type="dxa"/>
            <w:noWrap/>
            <w:vAlign w:val="center"/>
          </w:tcPr>
          <w:p w14:paraId="2D46F039">
            <w:pPr>
              <w:jc w:val="center"/>
              <w:rPr>
                <w:rFonts w:ascii="宋体" w:hAnsi="宋体" w:cs="宋体"/>
                <w:color w:val="000000"/>
                <w:szCs w:val="21"/>
              </w:rPr>
            </w:pPr>
            <w:r>
              <w:rPr>
                <w:rFonts w:hint="eastAsia" w:ascii="宋体" w:hAnsi="宋体" w:cs="宋体"/>
                <w:color w:val="000000"/>
                <w:szCs w:val="21"/>
              </w:rPr>
              <w:t>第一时间由顾客或业务人员采集</w:t>
            </w:r>
          </w:p>
        </w:tc>
        <w:tc>
          <w:tcPr>
            <w:tcW w:w="2393" w:type="dxa"/>
            <w:vMerge w:val="restart"/>
            <w:noWrap/>
            <w:vAlign w:val="center"/>
          </w:tcPr>
          <w:p w14:paraId="157A78E7">
            <w:pPr>
              <w:rPr>
                <w:rFonts w:ascii="宋体" w:hAnsi="宋体" w:cs="宋体"/>
                <w:color w:val="000000"/>
                <w:szCs w:val="21"/>
              </w:rPr>
            </w:pPr>
            <w:r>
              <w:rPr>
                <w:rFonts w:hint="eastAsia" w:ascii="宋体" w:hAnsi="宋体" w:cs="宋体"/>
                <w:color w:val="000000"/>
                <w:szCs w:val="21"/>
              </w:rPr>
              <w:t>取得与投诉产品有关的质量证据，进行分析研究投诉原因，确定投诉归责，以尽快回复顾客。</w:t>
            </w:r>
          </w:p>
        </w:tc>
      </w:tr>
      <w:tr w14:paraId="315050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1220" w:type="dxa"/>
            <w:vMerge w:val="continue"/>
            <w:noWrap/>
            <w:vAlign w:val="center"/>
          </w:tcPr>
          <w:p w14:paraId="4FB3E924">
            <w:pPr>
              <w:rPr>
                <w:rFonts w:ascii="宋体" w:hAnsi="宋体" w:cs="宋体"/>
                <w:color w:val="000000"/>
                <w:szCs w:val="21"/>
              </w:rPr>
            </w:pPr>
          </w:p>
        </w:tc>
        <w:tc>
          <w:tcPr>
            <w:tcW w:w="2047" w:type="dxa"/>
            <w:noWrap/>
            <w:vAlign w:val="center"/>
          </w:tcPr>
          <w:p w14:paraId="4403E784">
            <w:pPr>
              <w:jc w:val="center"/>
              <w:rPr>
                <w:rFonts w:ascii="宋体" w:hAnsi="宋体" w:cs="宋体"/>
                <w:color w:val="000000"/>
                <w:szCs w:val="21"/>
              </w:rPr>
            </w:pPr>
            <w:r>
              <w:rPr>
                <w:rFonts w:hint="eastAsia" w:ascii="宋体" w:hAnsi="宋体" w:cs="宋体"/>
                <w:color w:val="000000"/>
                <w:szCs w:val="21"/>
              </w:rPr>
              <w:t>样品</w:t>
            </w:r>
          </w:p>
        </w:tc>
        <w:tc>
          <w:tcPr>
            <w:tcW w:w="3600" w:type="dxa"/>
            <w:noWrap/>
            <w:vAlign w:val="center"/>
          </w:tcPr>
          <w:p w14:paraId="64D579D5">
            <w:pPr>
              <w:jc w:val="center"/>
              <w:rPr>
                <w:rFonts w:ascii="宋体" w:hAnsi="宋体" w:cs="宋体"/>
                <w:color w:val="000000"/>
                <w:szCs w:val="21"/>
              </w:rPr>
            </w:pPr>
            <w:r>
              <w:rPr>
                <w:rFonts w:hint="eastAsia" w:ascii="宋体" w:hAnsi="宋体" w:cs="宋体"/>
                <w:color w:val="000000"/>
                <w:szCs w:val="21"/>
              </w:rPr>
              <w:t>第一时间由顾客或业务人员采集</w:t>
            </w:r>
          </w:p>
        </w:tc>
        <w:tc>
          <w:tcPr>
            <w:tcW w:w="2393" w:type="dxa"/>
            <w:vMerge w:val="continue"/>
            <w:noWrap/>
            <w:vAlign w:val="center"/>
          </w:tcPr>
          <w:p w14:paraId="6CAFDA23">
            <w:pPr>
              <w:rPr>
                <w:rFonts w:ascii="宋体" w:hAnsi="宋体" w:cs="宋体"/>
                <w:color w:val="000000"/>
                <w:sz w:val="18"/>
                <w:szCs w:val="18"/>
              </w:rPr>
            </w:pPr>
          </w:p>
        </w:tc>
      </w:tr>
    </w:tbl>
    <w:p w14:paraId="713D5043">
      <w:pPr>
        <w:autoSpaceDE w:val="0"/>
        <w:autoSpaceDN w:val="0"/>
        <w:adjustRightInd w:val="0"/>
        <w:spacing w:line="360" w:lineRule="auto"/>
        <w:rPr>
          <w:rFonts w:ascii="宋体" w:hAnsi="宋体" w:cs="宋体"/>
          <w:b/>
        </w:rPr>
      </w:pPr>
    </w:p>
    <w:p w14:paraId="583D1512">
      <w:pPr>
        <w:autoSpaceDE w:val="0"/>
        <w:autoSpaceDN w:val="0"/>
        <w:adjustRightInd w:val="0"/>
        <w:spacing w:line="360" w:lineRule="auto"/>
        <w:rPr>
          <w:rFonts w:ascii="宋体" w:hAnsi="宋体" w:cs="宋体"/>
          <w:b/>
        </w:rPr>
      </w:pPr>
      <w:r>
        <w:rPr>
          <w:rFonts w:hint="eastAsia" w:ascii="宋体" w:hAnsi="宋体" w:cs="宋体"/>
          <w:b/>
        </w:rPr>
        <w:t>4.3.3.2.3顾客投诉管理</w:t>
      </w:r>
    </w:p>
    <w:p w14:paraId="3A5E41C2">
      <w:pPr>
        <w:autoSpaceDE w:val="0"/>
        <w:autoSpaceDN w:val="0"/>
        <w:adjustRightInd w:val="0"/>
        <w:spacing w:line="360" w:lineRule="auto"/>
        <w:ind w:firstLine="420"/>
        <w:rPr>
          <w:rFonts w:ascii="宋体" w:hAnsi="宋体" w:cs="宋体"/>
          <w:b/>
        </w:rPr>
      </w:pPr>
      <w:r>
        <w:rPr>
          <w:rFonts w:hint="eastAsia" w:ascii="宋体" w:hAnsi="宋体" w:cs="宋体"/>
          <w:b/>
        </w:rPr>
        <w:t>a）</w:t>
      </w:r>
      <w:r>
        <w:rPr>
          <w:rFonts w:hint="eastAsia" w:ascii="宋体" w:hAnsi="宋体"/>
          <w:b/>
        </w:rPr>
        <w:t>建立规范的顾客投诉管理程序</w:t>
      </w:r>
    </w:p>
    <w:p w14:paraId="4D0D90BC">
      <w:pPr>
        <w:spacing w:line="360" w:lineRule="auto"/>
        <w:ind w:firstLine="420"/>
      </w:pPr>
      <w:r>
        <w:rPr>
          <w:rFonts w:hint="eastAsia"/>
        </w:rPr>
        <w:t>公司使用规范的投诉管理系统来解决所有顾客的担忧、问题和抱怨。顾客的问题输入后,就开始信息处理。相关人员经过培训，以确保采取行动之前问题已经记录。建立了程序规范、反应快速的投诉管理流程。</w:t>
      </w:r>
    </w:p>
    <w:p w14:paraId="1C764D4C">
      <w:pPr>
        <w:spacing w:line="360" w:lineRule="auto"/>
        <w:ind w:firstLine="420"/>
        <w:rPr>
          <w:rFonts w:ascii="宋体" w:hAnsi="宋体"/>
          <w:b/>
        </w:rPr>
      </w:pPr>
      <w:r>
        <w:rPr>
          <w:rFonts w:hint="eastAsia" w:ascii="宋体" w:hAnsi="宋体"/>
          <w:b/>
        </w:rPr>
        <w:t>b）加强顾客投诉基础管理，缩短处理周期</w:t>
      </w:r>
    </w:p>
    <w:p w14:paraId="01801DA7">
      <w:pPr>
        <w:spacing w:line="360" w:lineRule="auto"/>
        <w:ind w:firstLine="420"/>
        <w:rPr>
          <w:rFonts w:ascii="宋体" w:hAnsi="宋体"/>
        </w:rPr>
      </w:pPr>
      <w:r>
        <w:rPr>
          <w:rFonts w:hint="eastAsia" w:ascii="宋体" w:hAnsi="宋体"/>
        </w:rPr>
        <w:t>公司建立了顾客投诉应急流程，加强顾客投诉基础管理，缩短处理周期</w:t>
      </w:r>
    </w:p>
    <w:p w14:paraId="2AFE3642">
      <w:pPr>
        <w:adjustRightInd w:val="0"/>
        <w:snapToGrid w:val="0"/>
        <w:spacing w:line="360" w:lineRule="auto"/>
        <w:jc w:val="center"/>
        <w:rPr>
          <w:rStyle w:val="29"/>
        </w:rPr>
      </w:pPr>
    </w:p>
    <w:p w14:paraId="75744A5B">
      <w:pPr>
        <w:adjustRightInd w:val="0"/>
        <w:snapToGrid w:val="0"/>
        <w:spacing w:line="360" w:lineRule="auto"/>
        <w:jc w:val="center"/>
      </w:pPr>
      <w:r>
        <w:rPr>
          <w:rStyle w:val="29"/>
          <w:rFonts w:hint="eastAsia"/>
        </w:rPr>
        <w:t>图4.3-2 顾客投诉处理流程</w:t>
      </w:r>
    </w:p>
    <w:tbl>
      <w:tblPr>
        <w:tblStyle w:val="22"/>
        <w:tblW w:w="79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7"/>
        <w:gridCol w:w="2124"/>
        <w:gridCol w:w="2158"/>
        <w:gridCol w:w="1793"/>
      </w:tblGrid>
      <w:tr w14:paraId="2F8BC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7902" w:type="dxa"/>
            <w:gridSpan w:val="4"/>
            <w:shd w:val="clear" w:color="auto" w:fill="757070"/>
            <w:noWrap/>
          </w:tcPr>
          <w:p w14:paraId="09557C3C">
            <w:pPr>
              <w:jc w:val="center"/>
              <w:rPr>
                <w:b/>
                <w:kern w:val="2"/>
                <w:szCs w:val="21"/>
              </w:rPr>
            </w:pPr>
            <w:r>
              <w:rPr>
                <w:rFonts w:hint="eastAsia"/>
                <w:b/>
                <w:kern w:val="2"/>
                <w:szCs w:val="21"/>
              </w:rPr>
              <w:t>投诉中心应急流程</w:t>
            </w:r>
          </w:p>
        </w:tc>
      </w:tr>
      <w:tr w14:paraId="2E976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827" w:type="dxa"/>
            <w:shd w:val="clear" w:color="auto" w:fill="757070"/>
            <w:noWrap/>
          </w:tcPr>
          <w:p w14:paraId="21391D76">
            <w:pPr>
              <w:ind w:firstLine="360"/>
              <w:rPr>
                <w:b/>
                <w:kern w:val="2"/>
                <w:szCs w:val="21"/>
              </w:rPr>
            </w:pPr>
            <w:r>
              <w:rPr>
                <w:rFonts w:hint="eastAsia"/>
                <w:b/>
                <w:kern w:val="2"/>
                <w:szCs w:val="21"/>
              </w:rPr>
              <w:t>顾客</w:t>
            </w:r>
          </w:p>
        </w:tc>
        <w:tc>
          <w:tcPr>
            <w:tcW w:w="2124" w:type="dxa"/>
            <w:shd w:val="clear" w:color="auto" w:fill="757070"/>
            <w:noWrap/>
          </w:tcPr>
          <w:p w14:paraId="272C0C50">
            <w:pPr>
              <w:jc w:val="center"/>
              <w:rPr>
                <w:b/>
                <w:kern w:val="2"/>
                <w:szCs w:val="21"/>
              </w:rPr>
            </w:pPr>
            <w:r>
              <w:rPr>
                <w:rFonts w:hint="eastAsia"/>
                <w:b/>
                <w:kern w:val="2"/>
                <w:szCs w:val="21"/>
              </w:rPr>
              <w:t>销售部</w:t>
            </w:r>
          </w:p>
        </w:tc>
        <w:tc>
          <w:tcPr>
            <w:tcW w:w="2158" w:type="dxa"/>
            <w:shd w:val="clear" w:color="auto" w:fill="757070"/>
            <w:noWrap/>
          </w:tcPr>
          <w:p w14:paraId="5FE127BC">
            <w:pPr>
              <w:jc w:val="center"/>
              <w:rPr>
                <w:b/>
                <w:kern w:val="2"/>
                <w:szCs w:val="21"/>
              </w:rPr>
            </w:pPr>
            <w:r>
              <w:rPr>
                <w:rFonts w:hint="eastAsia"/>
                <w:b/>
                <w:kern w:val="2"/>
                <w:szCs w:val="21"/>
              </w:rPr>
              <w:t>销售部</w:t>
            </w:r>
          </w:p>
        </w:tc>
        <w:tc>
          <w:tcPr>
            <w:tcW w:w="1793" w:type="dxa"/>
            <w:shd w:val="clear" w:color="auto" w:fill="757070"/>
            <w:noWrap/>
          </w:tcPr>
          <w:p w14:paraId="5BBE4CDC">
            <w:pPr>
              <w:ind w:firstLine="360"/>
              <w:rPr>
                <w:b/>
                <w:kern w:val="2"/>
                <w:szCs w:val="21"/>
              </w:rPr>
            </w:pPr>
            <w:r>
              <w:rPr>
                <w:rFonts w:hint="eastAsia"/>
                <w:b/>
                <w:kern w:val="2"/>
                <w:szCs w:val="21"/>
              </w:rPr>
              <w:t>分管领导</w:t>
            </w:r>
          </w:p>
        </w:tc>
      </w:tr>
      <w:tr w14:paraId="54745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9" w:hRule="atLeast"/>
          <w:jc w:val="center"/>
        </w:trPr>
        <w:tc>
          <w:tcPr>
            <w:tcW w:w="1827" w:type="dxa"/>
            <w:noWrap/>
          </w:tcPr>
          <w:p w14:paraId="025203E7">
            <w:pPr>
              <w:ind w:firstLine="360"/>
              <w:rPr>
                <w:kern w:val="2"/>
                <w:sz w:val="18"/>
              </w:rPr>
            </w:pPr>
            <w:r>
              <w:rPr>
                <w:kern w:val="2"/>
                <w:sz w:val="18"/>
              </w:rPr>
              <mc:AlternateContent>
                <mc:Choice Requires="wps">
                  <w:drawing>
                    <wp:anchor distT="0" distB="0" distL="114300" distR="114300" simplePos="0" relativeHeight="251788288" behindDoc="0" locked="0" layoutInCell="1" allowOverlap="1">
                      <wp:simplePos x="0" y="0"/>
                      <wp:positionH relativeFrom="column">
                        <wp:posOffset>461010</wp:posOffset>
                      </wp:positionH>
                      <wp:positionV relativeFrom="paragraph">
                        <wp:posOffset>283845</wp:posOffset>
                      </wp:positionV>
                      <wp:extent cx="819150" cy="0"/>
                      <wp:effectExtent l="0" t="4445" r="0" b="5080"/>
                      <wp:wrapNone/>
                      <wp:docPr id="41" name="直接连接符 41"/>
                      <wp:cNvGraphicFramePr/>
                      <a:graphic xmlns:a="http://schemas.openxmlformats.org/drawingml/2006/main">
                        <a:graphicData uri="http://schemas.microsoft.com/office/word/2010/wordprocessingShape">
                          <wps:wsp>
                            <wps:cNvCnPr/>
                            <wps:spPr>
                              <a:xfrm flipH="1">
                                <a:off x="0" y="0"/>
                                <a:ext cx="81915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flip:x;margin-left:36.3pt;margin-top:22.35pt;height:0pt;width:64.5pt;z-index:251788288;mso-width-relative:page;mso-height-relative:page;" filled="f" stroked="t" coordsize="21600,21600" o:gfxdata="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CE9NyLVAAAACAEAAA8AAAAAAAAAAQAgAAAAIgAAAGRycy9kb3ducmV2LnhtbFBL&#10;AQIUABQAAAAIAIdO4kB//Tfp+QEAAPEDAAAOAAAAAAAAAAEAIAAAACQBAABkcnMvZTJvRG9jLnht&#10;bFBLBQYAAAAABgAGAFkBAACPBQAAAAA=&#10;">
                      <v:fill on="f" focussize="0,0"/>
                      <v:stroke color="#000000" joinstyle="round"/>
                      <v:imagedata o:title=""/>
                      <o:lock v:ext="edit" aspectratio="f"/>
                    </v:line>
                  </w:pict>
                </mc:Fallback>
              </mc:AlternateContent>
            </w:r>
            <w:r>
              <w:rPr>
                <w:kern w:val="2"/>
                <w:sz w:val="18"/>
              </w:rPr>
              <mc:AlternateContent>
                <mc:Choice Requires="wps">
                  <w:drawing>
                    <wp:anchor distT="0" distB="0" distL="114300" distR="114300" simplePos="0" relativeHeight="251790336" behindDoc="0" locked="0" layoutInCell="1" allowOverlap="1">
                      <wp:simplePos x="0" y="0"/>
                      <wp:positionH relativeFrom="column">
                        <wp:posOffset>1146810</wp:posOffset>
                      </wp:positionH>
                      <wp:positionV relativeFrom="paragraph">
                        <wp:posOffset>977265</wp:posOffset>
                      </wp:positionV>
                      <wp:extent cx="238760" cy="0"/>
                      <wp:effectExtent l="0" t="38100" r="8890" b="38100"/>
                      <wp:wrapNone/>
                      <wp:docPr id="42" name="直接连接符 42"/>
                      <wp:cNvGraphicFramePr/>
                      <a:graphic xmlns:a="http://schemas.openxmlformats.org/drawingml/2006/main">
                        <a:graphicData uri="http://schemas.microsoft.com/office/word/2010/wordprocessingShape">
                          <wps:wsp>
                            <wps:cNvCnPr/>
                            <wps:spPr>
                              <a:xfrm flipV="1">
                                <a:off x="0" y="0"/>
                                <a:ext cx="238760" cy="0"/>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id="_x0000_s1026" o:spid="_x0000_s1026" o:spt="20" style="position:absolute;left:0pt;flip:y;margin-left:90.3pt;margin-top:76.95pt;height:0pt;width:18.8pt;z-index:251790336;mso-width-relative:page;mso-height-relative:page;" filled="f" stroked="t" coordsize="21600,21600" o:gfxdata="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Lx8FH7ZAAAACwEAAA8AAAAAAAAAAQAgAAAAIgAAAGRycy9k&#10;b3ducmV2LnhtbFBLAQIUABQAAAAIAIdO4kB7WB02AQIAAPUDAAAOAAAAAAAAAAEAIAAAACgBAABk&#10;cnMvZTJvRG9jLnhtbFBLBQYAAAAABgAGAFkBAACbBQAAAAA=&#10;">
                      <v:fill on="f" focussize="0,0"/>
                      <v:stroke color="#000000" joinstyle="round" endarrow="block"/>
                      <v:imagedata o:title=""/>
                      <o:lock v:ext="edit" aspectratio="f"/>
                    </v:line>
                  </w:pict>
                </mc:Fallback>
              </mc:AlternateContent>
            </w:r>
            <w:r>
              <w:rPr>
                <w:kern w:val="2"/>
                <w:sz w:val="18"/>
              </w:rPr>
              <mc:AlternateContent>
                <mc:Choice Requires="wps">
                  <w:drawing>
                    <wp:anchor distT="0" distB="0" distL="114300" distR="114300" simplePos="0" relativeHeight="251779072" behindDoc="0" locked="0" layoutInCell="1" allowOverlap="1">
                      <wp:simplePos x="0" y="0"/>
                      <wp:positionH relativeFrom="column">
                        <wp:posOffset>3810</wp:posOffset>
                      </wp:positionH>
                      <wp:positionV relativeFrom="paragraph">
                        <wp:posOffset>779145</wp:posOffset>
                      </wp:positionV>
                      <wp:extent cx="1143000" cy="396240"/>
                      <wp:effectExtent l="6985" t="4445" r="12065" b="18415"/>
                      <wp:wrapNone/>
                      <wp:docPr id="43" name="流程图: 准备 43"/>
                      <wp:cNvGraphicFramePr/>
                      <a:graphic xmlns:a="http://schemas.openxmlformats.org/drawingml/2006/main">
                        <a:graphicData uri="http://schemas.microsoft.com/office/word/2010/wordprocessingShape">
                          <wps:wsp>
                            <wps:cNvSpPr/>
                            <wps:spPr>
                              <a:xfrm>
                                <a:off x="0" y="0"/>
                                <a:ext cx="1143000" cy="396240"/>
                              </a:xfrm>
                              <a:prstGeom prst="flowChartPreparation">
                                <a:avLst/>
                              </a:prstGeom>
                              <a:solidFill>
                                <a:srgbClr val="FFFFFF"/>
                              </a:solidFill>
                              <a:ln w="9525" cap="flat" cmpd="sng">
                                <a:solidFill>
                                  <a:srgbClr val="000000"/>
                                </a:solidFill>
                                <a:prstDash val="solid"/>
                                <a:miter/>
                                <a:headEnd type="none" w="med" len="med"/>
                                <a:tailEnd type="none" w="med" len="med"/>
                              </a:ln>
                              <a:effectLst/>
                            </wps:spPr>
                            <wps:txbx>
                              <w:txbxContent>
                                <w:p w14:paraId="2BA0C4DF">
                                  <w:pPr>
                                    <w:ind w:firstLine="180" w:firstLineChars="100"/>
                                    <w:rPr>
                                      <w:sz w:val="18"/>
                                      <w:szCs w:val="18"/>
                                    </w:rPr>
                                  </w:pPr>
                                  <w:r>
                                    <w:rPr>
                                      <w:rFonts w:hint="eastAsia"/>
                                      <w:sz w:val="18"/>
                                      <w:szCs w:val="18"/>
                                    </w:rPr>
                                    <w:t>提出</w:t>
                                  </w:r>
                                </w:p>
                              </w:txbxContent>
                            </wps:txbx>
                            <wps:bodyPr wrap="square" upright="1"/>
                          </wps:wsp>
                        </a:graphicData>
                      </a:graphic>
                    </wp:anchor>
                  </w:drawing>
                </mc:Choice>
                <mc:Fallback>
                  <w:pict>
                    <v:shape id="_x0000_s1026" o:spid="_x0000_s1026" o:spt="117" type="#_x0000_t117" style="position:absolute;left:0pt;margin-left:0.3pt;margin-top:61.35pt;height:31.2pt;width:90pt;z-index:251779072;mso-width-relative:page;mso-height-relative:page;" fillcolor="#FFFFFF" filled="t" stroked="t" coordsize="21600,21600" o:gfxdata="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BdnWr1AAAAAgBAAAPAAAAAAAAAAEAIAAAACIAAABkcnMvZG93bnJldi54bWxQSwEC&#10;FAAUAAAACACHTuJA98jdETECAABiBAAADgAAAAAAAAABACAAAAAjAQAAZHJzL2Uyb0RvYy54bWxQ&#10;SwUGAAAAAAYABgBZAQAAxgUAAAAA&#10;">
                      <v:fill on="t" focussize="0,0"/>
                      <v:stroke color="#000000" joinstyle="miter"/>
                      <v:imagedata o:title=""/>
                      <o:lock v:ext="edit" aspectratio="f"/>
                      <v:textbox>
                        <w:txbxContent>
                          <w:p w14:paraId="2BA0C4DF">
                            <w:pPr>
                              <w:ind w:firstLine="180" w:firstLineChars="100"/>
                              <w:rPr>
                                <w:sz w:val="18"/>
                                <w:szCs w:val="18"/>
                              </w:rPr>
                            </w:pPr>
                            <w:r>
                              <w:rPr>
                                <w:rFonts w:hint="eastAsia"/>
                                <w:sz w:val="18"/>
                                <w:szCs w:val="18"/>
                              </w:rPr>
                              <w:t>提出</w:t>
                            </w:r>
                          </w:p>
                        </w:txbxContent>
                      </v:textbox>
                    </v:shape>
                  </w:pict>
                </mc:Fallback>
              </mc:AlternateContent>
            </w:r>
            <w:r>
              <w:rPr>
                <w:kern w:val="2"/>
                <w:sz w:val="18"/>
              </w:rPr>
              <mc:AlternateContent>
                <mc:Choice Requires="wps">
                  <w:drawing>
                    <wp:anchor distT="0" distB="0" distL="114300" distR="114300" simplePos="0" relativeHeight="251789312" behindDoc="0" locked="0" layoutInCell="1" allowOverlap="1">
                      <wp:simplePos x="0" y="0"/>
                      <wp:positionH relativeFrom="column">
                        <wp:posOffset>461010</wp:posOffset>
                      </wp:positionH>
                      <wp:positionV relativeFrom="paragraph">
                        <wp:posOffset>283845</wp:posOffset>
                      </wp:positionV>
                      <wp:extent cx="0" cy="495300"/>
                      <wp:effectExtent l="38100" t="0" r="38100" b="0"/>
                      <wp:wrapNone/>
                      <wp:docPr id="44" name="直接连接符 44"/>
                      <wp:cNvGraphicFramePr/>
                      <a:graphic xmlns:a="http://schemas.openxmlformats.org/drawingml/2006/main">
                        <a:graphicData uri="http://schemas.microsoft.com/office/word/2010/wordprocessingShape">
                          <wps:wsp>
                            <wps:cNvCnPr/>
                            <wps:spPr>
                              <a:xfrm>
                                <a:off x="0" y="0"/>
                                <a:ext cx="0" cy="495300"/>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id="_x0000_s1026" o:spid="_x0000_s1026" o:spt="20" style="position:absolute;left:0pt;margin-left:36.3pt;margin-top:22.35pt;height:39pt;width:0pt;z-index:251789312;mso-width-relative:page;mso-height-relative:page;" filled="f" stroked="t" coordsize="21600,21600" o:gfxdata="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HnpvzHYAAAACAEAAA8AAAAAAAAAAQAgAAAAIgAAAGRycy9kb3ducmV2Lnht&#10;bFBLAQIUABQAAAAIAIdO4kARV5Gc+QEAAOsDAAAOAAAAAAAAAAEAIAAAACcBAABkcnMvZTJvRG9j&#10;LnhtbFBLBQYAAAAABgAGAFkBAACSBQAAAAA=&#10;">
                      <v:fill on="f" focussize="0,0"/>
                      <v:stroke color="#000000" joinstyle="round" endarrow="block"/>
                      <v:imagedata o:title=""/>
                      <o:lock v:ext="edit" aspectratio="f"/>
                    </v:line>
                  </w:pict>
                </mc:Fallback>
              </mc:AlternateContent>
            </w:r>
          </w:p>
        </w:tc>
        <w:tc>
          <w:tcPr>
            <w:tcW w:w="2124" w:type="dxa"/>
            <w:noWrap/>
          </w:tcPr>
          <w:p w14:paraId="1F6C744F">
            <w:pPr>
              <w:ind w:firstLine="360"/>
              <w:rPr>
                <w:kern w:val="2"/>
                <w:sz w:val="18"/>
              </w:rPr>
            </w:pPr>
            <w:r>
              <w:rPr>
                <w:kern w:val="2"/>
                <w:sz w:val="18"/>
              </w:rPr>
              <mc:AlternateContent>
                <mc:Choice Requires="wps">
                  <w:drawing>
                    <wp:anchor distT="0" distB="0" distL="114300" distR="114300" simplePos="0" relativeHeight="251780096" behindDoc="0" locked="0" layoutInCell="1" allowOverlap="1">
                      <wp:simplePos x="0" y="0"/>
                      <wp:positionH relativeFrom="column">
                        <wp:posOffset>74295</wp:posOffset>
                      </wp:positionH>
                      <wp:positionV relativeFrom="paragraph">
                        <wp:posOffset>113030</wp:posOffset>
                      </wp:positionV>
                      <wp:extent cx="1146175" cy="439420"/>
                      <wp:effectExtent l="5080" t="4445" r="10795" b="13335"/>
                      <wp:wrapNone/>
                      <wp:docPr id="45" name="流程图: 终止 45"/>
                      <wp:cNvGraphicFramePr/>
                      <a:graphic xmlns:a="http://schemas.openxmlformats.org/drawingml/2006/main">
                        <a:graphicData uri="http://schemas.microsoft.com/office/word/2010/wordprocessingShape">
                          <wps:wsp>
                            <wps:cNvSpPr/>
                            <wps:spPr>
                              <a:xfrm>
                                <a:off x="0" y="0"/>
                                <a:ext cx="1146175" cy="439420"/>
                              </a:xfrm>
                              <a:prstGeom prst="flowChartTerminator">
                                <a:avLst/>
                              </a:prstGeom>
                              <a:solidFill>
                                <a:srgbClr val="FFFFFF"/>
                              </a:solidFill>
                              <a:ln w="9525" cap="flat" cmpd="sng">
                                <a:solidFill>
                                  <a:srgbClr val="000000"/>
                                </a:solidFill>
                                <a:prstDash val="solid"/>
                                <a:miter/>
                                <a:headEnd type="none" w="med" len="med"/>
                                <a:tailEnd type="none" w="med" len="med"/>
                              </a:ln>
                              <a:effectLst/>
                            </wps:spPr>
                            <wps:txbx>
                              <w:txbxContent>
                                <w:p w14:paraId="03813D39">
                                  <w:pPr>
                                    <w:jc w:val="center"/>
                                    <w:rPr>
                                      <w:sz w:val="18"/>
                                      <w:szCs w:val="18"/>
                                    </w:rPr>
                                  </w:pPr>
                                  <w:r>
                                    <w:rPr>
                                      <w:rFonts w:hint="eastAsia"/>
                                      <w:sz w:val="18"/>
                                      <w:szCs w:val="18"/>
                                    </w:rPr>
                                    <w:t>回复顾客</w:t>
                                  </w:r>
                                </w:p>
                              </w:txbxContent>
                            </wps:txbx>
                            <wps:bodyPr wrap="square" upright="1"/>
                          </wps:wsp>
                        </a:graphicData>
                      </a:graphic>
                    </wp:anchor>
                  </w:drawing>
                </mc:Choice>
                <mc:Fallback>
                  <w:pict>
                    <v:shape id="_x0000_s1026" o:spid="_x0000_s1026" o:spt="116" type="#_x0000_t116" style="position:absolute;left:0pt;margin-left:5.85pt;margin-top:8.9pt;height:34.6pt;width:90.25pt;z-index:251780096;mso-width-relative:page;mso-height-relative:page;" fillcolor="#FFFFFF" filled="t" stroked="t" coordsize="21600,21600" o:gfxdata="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3mXdd1wAAAAgBAAAPAAAAAAAAAAEAIAAAACIAAABkcnMvZG93bnJldi54bWxQ&#10;SwECFAAUAAAACACHTuJAodvEzjECAABhBAAADgAAAAAAAAABACAAAAAmAQAAZHJzL2Uyb0RvYy54&#10;bWxQSwUGAAAAAAYABgBZAQAAyQUAAAAA&#10;">
                      <v:fill on="t" focussize="0,0"/>
                      <v:stroke color="#000000" joinstyle="miter"/>
                      <v:imagedata o:title=""/>
                      <o:lock v:ext="edit" aspectratio="f"/>
                      <v:textbox>
                        <w:txbxContent>
                          <w:p w14:paraId="03813D39">
                            <w:pPr>
                              <w:jc w:val="center"/>
                              <w:rPr>
                                <w:sz w:val="18"/>
                                <w:szCs w:val="18"/>
                              </w:rPr>
                            </w:pPr>
                            <w:r>
                              <w:rPr>
                                <w:rFonts w:hint="eastAsia"/>
                                <w:sz w:val="18"/>
                                <w:szCs w:val="18"/>
                              </w:rPr>
                              <w:t>回复顾客</w:t>
                            </w:r>
                          </w:p>
                        </w:txbxContent>
                      </v:textbox>
                    </v:shape>
                  </w:pict>
                </mc:Fallback>
              </mc:AlternateContent>
            </w:r>
          </w:p>
          <w:p w14:paraId="1EB6C7CE">
            <w:pPr>
              <w:ind w:firstLine="360"/>
              <w:rPr>
                <w:kern w:val="2"/>
                <w:sz w:val="18"/>
              </w:rPr>
            </w:pPr>
            <w:r>
              <w:rPr>
                <w:kern w:val="2"/>
                <w:sz w:val="18"/>
              </w:rPr>
              <mc:AlternateContent>
                <mc:Choice Requires="wps">
                  <w:drawing>
                    <wp:anchor distT="0" distB="0" distL="114300" distR="114300" simplePos="0" relativeHeight="251787264" behindDoc="0" locked="0" layoutInCell="1" allowOverlap="1">
                      <wp:simplePos x="0" y="0"/>
                      <wp:positionH relativeFrom="column">
                        <wp:posOffset>1271905</wp:posOffset>
                      </wp:positionH>
                      <wp:positionV relativeFrom="paragraph">
                        <wp:posOffset>69850</wp:posOffset>
                      </wp:positionV>
                      <wp:extent cx="1943100" cy="0"/>
                      <wp:effectExtent l="0" t="38100" r="0" b="38100"/>
                      <wp:wrapNone/>
                      <wp:docPr id="46" name="直接连接符 46"/>
                      <wp:cNvGraphicFramePr/>
                      <a:graphic xmlns:a="http://schemas.openxmlformats.org/drawingml/2006/main">
                        <a:graphicData uri="http://schemas.microsoft.com/office/word/2010/wordprocessingShape">
                          <wps:wsp>
                            <wps:cNvCnPr/>
                            <wps:spPr>
                              <a:xfrm flipH="1" flipV="1">
                                <a:off x="0" y="0"/>
                                <a:ext cx="1943100" cy="0"/>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id="_x0000_s1026" o:spid="_x0000_s1026" o:spt="20" style="position:absolute;left:0pt;flip:x y;margin-left:100.15pt;margin-top:5.5pt;height:0pt;width:153pt;z-index:251787264;mso-width-relative:page;mso-height-relative:page;" filled="f" stroked="t" coordsize="21600,21600" o:gfxdata="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m15DNUAAAAJAQAADwAAAAAAAAABACAAAAAiAAAAZHJz&#10;L2Rvd25yZXYueG1sUEsBAhQAFAAAAAgAh07iQFO+q14HAgAAAAQAAA4AAAAAAAAAAQAgAAAAJAEA&#10;AGRycy9lMm9Eb2MueG1sUEsFBgAAAAAGAAYAWQEAAJ0FAAAAAA==&#10;">
                      <v:fill on="f" focussize="0,0"/>
                      <v:stroke color="#000000" joinstyle="round" endarrow="block"/>
                      <v:imagedata o:title=""/>
                      <o:lock v:ext="edit" aspectratio="f"/>
                    </v:line>
                  </w:pict>
                </mc:Fallback>
              </mc:AlternateContent>
            </w:r>
          </w:p>
          <w:p w14:paraId="651BF0CB">
            <w:pPr>
              <w:ind w:firstLine="360"/>
              <w:rPr>
                <w:kern w:val="2"/>
                <w:sz w:val="18"/>
              </w:rPr>
            </w:pPr>
          </w:p>
          <w:p w14:paraId="7BF1761B">
            <w:pPr>
              <w:ind w:firstLine="360"/>
              <w:rPr>
                <w:kern w:val="2"/>
                <w:sz w:val="18"/>
              </w:rPr>
            </w:pPr>
            <w:r>
              <w:rPr>
                <w:kern w:val="2"/>
                <w:sz w:val="18"/>
              </w:rPr>
              <mc:AlternateContent>
                <mc:Choice Requires="wps">
                  <w:drawing>
                    <wp:anchor distT="0" distB="0" distL="114300" distR="114300" simplePos="0" relativeHeight="251793408" behindDoc="0" locked="0" layoutInCell="1" allowOverlap="1">
                      <wp:simplePos x="0" y="0"/>
                      <wp:positionH relativeFrom="column">
                        <wp:posOffset>81915</wp:posOffset>
                      </wp:positionH>
                      <wp:positionV relativeFrom="paragraph">
                        <wp:posOffset>36195</wp:posOffset>
                      </wp:positionV>
                      <wp:extent cx="1138555" cy="454025"/>
                      <wp:effectExtent l="5080" t="4445" r="18415" b="17780"/>
                      <wp:wrapNone/>
                      <wp:docPr id="47" name="流程图: 终止 47"/>
                      <wp:cNvGraphicFramePr/>
                      <a:graphic xmlns:a="http://schemas.openxmlformats.org/drawingml/2006/main">
                        <a:graphicData uri="http://schemas.microsoft.com/office/word/2010/wordprocessingShape">
                          <wps:wsp>
                            <wps:cNvSpPr/>
                            <wps:spPr>
                              <a:xfrm>
                                <a:off x="0" y="0"/>
                                <a:ext cx="1138555" cy="454025"/>
                              </a:xfrm>
                              <a:prstGeom prst="flowChartTerminator">
                                <a:avLst/>
                              </a:prstGeom>
                              <a:solidFill>
                                <a:srgbClr val="FFFFFF"/>
                              </a:solidFill>
                              <a:ln w="9525" cap="flat" cmpd="sng">
                                <a:solidFill>
                                  <a:srgbClr val="000000"/>
                                </a:solidFill>
                                <a:prstDash val="solid"/>
                                <a:miter/>
                                <a:headEnd type="none" w="med" len="med"/>
                                <a:tailEnd type="none" w="med" len="med"/>
                              </a:ln>
                              <a:effectLst/>
                            </wps:spPr>
                            <wps:txbx>
                              <w:txbxContent>
                                <w:p w14:paraId="43A72898">
                                  <w:pPr>
                                    <w:jc w:val="center"/>
                                    <w:rPr>
                                      <w:sz w:val="18"/>
                                      <w:szCs w:val="18"/>
                                    </w:rPr>
                                  </w:pPr>
                                  <w:r>
                                    <w:rPr>
                                      <w:rFonts w:hint="eastAsia"/>
                                      <w:sz w:val="18"/>
                                      <w:szCs w:val="18"/>
                                    </w:rPr>
                                    <w:t>顾客反馈信息</w:t>
                                  </w:r>
                                </w:p>
                              </w:txbxContent>
                            </wps:txbx>
                            <wps:bodyPr wrap="square" upright="1"/>
                          </wps:wsp>
                        </a:graphicData>
                      </a:graphic>
                    </wp:anchor>
                  </w:drawing>
                </mc:Choice>
                <mc:Fallback>
                  <w:pict>
                    <v:shape id="_x0000_s1026" o:spid="_x0000_s1026" o:spt="116" type="#_x0000_t116" style="position:absolute;left:0pt;margin-left:6.45pt;margin-top:2.85pt;height:35.75pt;width:89.65pt;z-index:251793408;mso-width-relative:page;mso-height-relative:page;" fillcolor="#FFFFFF" filled="t" stroked="t" coordsize="21600,21600" o:gfxdata="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cVzla1gAAAAcBAAAPAAAAAAAAAAEAIAAAACIAAABkcnMvZG93bnJldi54bWxQSwEC&#10;FAAUAAAACACHTuJAVnswNC8CAABhBAAADgAAAAAAAAABACAAAAAlAQAAZHJzL2Uyb0RvYy54bWxQ&#10;SwUGAAAAAAYABgBZAQAAxgUAAAAA&#10;">
                      <v:fill on="t" focussize="0,0"/>
                      <v:stroke color="#000000" joinstyle="miter"/>
                      <v:imagedata o:title=""/>
                      <o:lock v:ext="edit" aspectratio="f"/>
                      <v:textbox>
                        <w:txbxContent>
                          <w:p w14:paraId="43A72898">
                            <w:pPr>
                              <w:jc w:val="center"/>
                              <w:rPr>
                                <w:sz w:val="18"/>
                                <w:szCs w:val="18"/>
                              </w:rPr>
                            </w:pPr>
                            <w:r>
                              <w:rPr>
                                <w:rFonts w:hint="eastAsia"/>
                                <w:sz w:val="18"/>
                                <w:szCs w:val="18"/>
                              </w:rPr>
                              <w:t>顾客反馈信息</w:t>
                            </w:r>
                          </w:p>
                        </w:txbxContent>
                      </v:textbox>
                    </v:shape>
                  </w:pict>
                </mc:Fallback>
              </mc:AlternateContent>
            </w:r>
          </w:p>
          <w:p w14:paraId="794CEC41">
            <w:pPr>
              <w:ind w:firstLine="360"/>
              <w:rPr>
                <w:kern w:val="2"/>
                <w:sz w:val="18"/>
              </w:rPr>
            </w:pPr>
          </w:p>
          <w:p w14:paraId="171082F6">
            <w:pPr>
              <w:ind w:firstLine="360"/>
              <w:rPr>
                <w:kern w:val="2"/>
                <w:sz w:val="18"/>
              </w:rPr>
            </w:pPr>
            <w:r>
              <w:rPr>
                <w:kern w:val="2"/>
                <w:sz w:val="18"/>
              </w:rPr>
              <mc:AlternateContent>
                <mc:Choice Requires="wps">
                  <w:drawing>
                    <wp:anchor distT="0" distB="0" distL="114300" distR="114300" simplePos="0" relativeHeight="251791360" behindDoc="0" locked="0" layoutInCell="1" allowOverlap="1">
                      <wp:simplePos x="0" y="0"/>
                      <wp:positionH relativeFrom="column">
                        <wp:posOffset>646430</wp:posOffset>
                      </wp:positionH>
                      <wp:positionV relativeFrom="paragraph">
                        <wp:posOffset>-5080</wp:posOffset>
                      </wp:positionV>
                      <wp:extent cx="0" cy="296545"/>
                      <wp:effectExtent l="38100" t="0" r="38100" b="8255"/>
                      <wp:wrapNone/>
                      <wp:docPr id="48" name="直接连接符 48"/>
                      <wp:cNvGraphicFramePr/>
                      <a:graphic xmlns:a="http://schemas.openxmlformats.org/drawingml/2006/main">
                        <a:graphicData uri="http://schemas.microsoft.com/office/word/2010/wordprocessingShape">
                          <wps:wsp>
                            <wps:cNvCnPr/>
                            <wps:spPr>
                              <a:xfrm>
                                <a:off x="0" y="0"/>
                                <a:ext cx="0" cy="296545"/>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id="_x0000_s1026" o:spid="_x0000_s1026" o:spt="20" style="position:absolute;left:0pt;margin-left:50.9pt;margin-top:-0.4pt;height:23.35pt;width:0pt;z-index:251791360;mso-width-relative:page;mso-height-relative:page;" filled="f" stroked="t" coordsize="21600,21600" o:gfxdata="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X5A0ytYAAAAIAQAADwAAAAAAAAABACAAAAAiAAAAZHJzL2Rvd25yZXYueG1sUEsB&#10;AhQAFAAAAAgAh07iQDm+bx/3AQAA6wMAAA4AAAAAAAAAAQAgAAAAJQEAAGRycy9lMm9Eb2MueG1s&#10;UEsFBgAAAAAGAAYAWQEAAI4FAAAAAA==&#10;">
                      <v:fill on="f" focussize="0,0"/>
                      <v:stroke color="#000000" joinstyle="round" endarrow="block"/>
                      <v:imagedata o:title=""/>
                      <o:lock v:ext="edit" aspectratio="f"/>
                    </v:line>
                  </w:pict>
                </mc:Fallback>
              </mc:AlternateContent>
            </w:r>
          </w:p>
          <w:p w14:paraId="6F7CC8E4">
            <w:pPr>
              <w:ind w:firstLine="360"/>
              <w:rPr>
                <w:kern w:val="2"/>
                <w:sz w:val="18"/>
              </w:rPr>
            </w:pPr>
            <w:r>
              <w:rPr>
                <w:kern w:val="2"/>
                <w:sz w:val="18"/>
              </w:rPr>
              <mc:AlternateContent>
                <mc:Choice Requires="wps">
                  <w:drawing>
                    <wp:anchor distT="0" distB="0" distL="114300" distR="114300" simplePos="0" relativeHeight="251794432" behindDoc="0" locked="0" layoutInCell="1" allowOverlap="1">
                      <wp:simplePos x="0" y="0"/>
                      <wp:positionH relativeFrom="column">
                        <wp:posOffset>74295</wp:posOffset>
                      </wp:positionH>
                      <wp:positionV relativeFrom="paragraph">
                        <wp:posOffset>71755</wp:posOffset>
                      </wp:positionV>
                      <wp:extent cx="1155065" cy="438785"/>
                      <wp:effectExtent l="5080" t="4445" r="20955" b="13970"/>
                      <wp:wrapNone/>
                      <wp:docPr id="49" name="流程图: 终止 49"/>
                      <wp:cNvGraphicFramePr/>
                      <a:graphic xmlns:a="http://schemas.openxmlformats.org/drawingml/2006/main">
                        <a:graphicData uri="http://schemas.microsoft.com/office/word/2010/wordprocessingShape">
                          <wps:wsp>
                            <wps:cNvSpPr/>
                            <wps:spPr>
                              <a:xfrm>
                                <a:off x="0" y="0"/>
                                <a:ext cx="1155065" cy="438785"/>
                              </a:xfrm>
                              <a:prstGeom prst="flowChartTerminator">
                                <a:avLst/>
                              </a:prstGeom>
                              <a:solidFill>
                                <a:srgbClr val="FFFFFF"/>
                              </a:solidFill>
                              <a:ln w="9525" cap="flat" cmpd="sng">
                                <a:solidFill>
                                  <a:srgbClr val="000000"/>
                                </a:solidFill>
                                <a:prstDash val="solid"/>
                                <a:miter/>
                                <a:headEnd type="none" w="med" len="med"/>
                                <a:tailEnd type="none" w="med" len="med"/>
                              </a:ln>
                              <a:effectLst/>
                            </wps:spPr>
                            <wps:txbx>
                              <w:txbxContent>
                                <w:p w14:paraId="213F6405">
                                  <w:pPr>
                                    <w:jc w:val="center"/>
                                    <w:rPr>
                                      <w:sz w:val="18"/>
                                      <w:szCs w:val="18"/>
                                    </w:rPr>
                                  </w:pPr>
                                  <w:r>
                                    <w:rPr>
                                      <w:rFonts w:hint="eastAsia"/>
                                      <w:sz w:val="18"/>
                                      <w:szCs w:val="18"/>
                                    </w:rPr>
                                    <w:t>应急对策表</w:t>
                                  </w:r>
                                </w:p>
                              </w:txbxContent>
                            </wps:txbx>
                            <wps:bodyPr wrap="square" upright="1"/>
                          </wps:wsp>
                        </a:graphicData>
                      </a:graphic>
                    </wp:anchor>
                  </w:drawing>
                </mc:Choice>
                <mc:Fallback>
                  <w:pict>
                    <v:shape id="_x0000_s1026" o:spid="_x0000_s1026" o:spt="116" type="#_x0000_t116" style="position:absolute;left:0pt;margin-left:5.85pt;margin-top:5.65pt;height:34.55pt;width:90.95pt;z-index:251794432;mso-width-relative:page;mso-height-relative:page;" fillcolor="#FFFFFF" filled="t" stroked="t" coordsize="21600,21600" o:gfxdata="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jhAtldcAAAAIAQAADwAAAAAAAAABACAAAAAiAAAAZHJzL2Rvd25yZXYueG1sUEsB&#10;AhQAFAAAAAgAh07iQJLOOzwvAgAAYQQAAA4AAAAAAAAAAQAgAAAAJgEAAGRycy9lMm9Eb2MueG1s&#10;UEsFBgAAAAAGAAYAWQEAAMcFAAAAAA==&#10;">
                      <v:fill on="t" focussize="0,0"/>
                      <v:stroke color="#000000" joinstyle="miter"/>
                      <v:imagedata o:title=""/>
                      <o:lock v:ext="edit" aspectratio="f"/>
                      <v:textbox>
                        <w:txbxContent>
                          <w:p w14:paraId="213F6405">
                            <w:pPr>
                              <w:jc w:val="center"/>
                              <w:rPr>
                                <w:sz w:val="18"/>
                                <w:szCs w:val="18"/>
                              </w:rPr>
                            </w:pPr>
                            <w:r>
                              <w:rPr>
                                <w:rFonts w:hint="eastAsia"/>
                                <w:sz w:val="18"/>
                                <w:szCs w:val="18"/>
                              </w:rPr>
                              <w:t>应急对策表</w:t>
                            </w:r>
                          </w:p>
                        </w:txbxContent>
                      </v:textbox>
                    </v:shape>
                  </w:pict>
                </mc:Fallback>
              </mc:AlternateContent>
            </w:r>
          </w:p>
          <w:p w14:paraId="2133D581">
            <w:pPr>
              <w:ind w:firstLine="360"/>
              <w:rPr>
                <w:kern w:val="2"/>
                <w:sz w:val="18"/>
              </w:rPr>
            </w:pPr>
          </w:p>
          <w:p w14:paraId="5C92874F">
            <w:pPr>
              <w:ind w:firstLine="360"/>
              <w:rPr>
                <w:kern w:val="2"/>
                <w:sz w:val="18"/>
              </w:rPr>
            </w:pPr>
            <w:r>
              <w:rPr>
                <w:kern w:val="2"/>
                <w:sz w:val="18"/>
              </w:rPr>
              <mc:AlternateContent>
                <mc:Choice Requires="wps">
                  <w:drawing>
                    <wp:anchor distT="0" distB="0" distL="114300" distR="114300" simplePos="0" relativeHeight="251792384" behindDoc="0" locked="0" layoutInCell="1" allowOverlap="1">
                      <wp:simplePos x="0" y="0"/>
                      <wp:positionH relativeFrom="column">
                        <wp:posOffset>646430</wp:posOffset>
                      </wp:positionH>
                      <wp:positionV relativeFrom="paragraph">
                        <wp:posOffset>15240</wp:posOffset>
                      </wp:positionV>
                      <wp:extent cx="0" cy="300990"/>
                      <wp:effectExtent l="38100" t="0" r="38100" b="3810"/>
                      <wp:wrapNone/>
                      <wp:docPr id="50" name="直接连接符 50"/>
                      <wp:cNvGraphicFramePr/>
                      <a:graphic xmlns:a="http://schemas.openxmlformats.org/drawingml/2006/main">
                        <a:graphicData uri="http://schemas.microsoft.com/office/word/2010/wordprocessingShape">
                          <wps:wsp>
                            <wps:cNvCnPr/>
                            <wps:spPr>
                              <a:xfrm>
                                <a:off x="0" y="0"/>
                                <a:ext cx="0" cy="300990"/>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id="_x0000_s1026" o:spid="_x0000_s1026" o:spt="20" style="position:absolute;left:0pt;margin-left:50.9pt;margin-top:1.2pt;height:23.7pt;width:0pt;z-index:251792384;mso-width-relative:page;mso-height-relative:page;" filled="f" stroked="t" coordsize="21600,21600" o:gfxdata="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ElcuAzWAAAACAEAAA8AAAAAAAAAAQAgAAAAIgAAAGRycy9kb3ducmV2LnhtbFBL&#10;AQIUABQAAAAIAIdO4kArcRcW+AEAAOsDAAAOAAAAAAAAAAEAIAAAACUBAABkcnMvZTJvRG9jLnht&#10;bFBLBQYAAAAABgAGAFkBAACPBQAAAAA=&#10;">
                      <v:fill on="f" focussize="0,0"/>
                      <v:stroke color="#000000" joinstyle="round" endarrow="block"/>
                      <v:imagedata o:title=""/>
                      <o:lock v:ext="edit" aspectratio="f"/>
                    </v:line>
                  </w:pict>
                </mc:Fallback>
              </mc:AlternateContent>
            </w:r>
          </w:p>
          <w:p w14:paraId="7C5DCC8B">
            <w:pPr>
              <w:ind w:firstLine="360"/>
              <w:rPr>
                <w:kern w:val="2"/>
                <w:sz w:val="18"/>
              </w:rPr>
            </w:pPr>
            <w:r>
              <w:rPr>
                <w:kern w:val="2"/>
                <w:sz w:val="18"/>
              </w:rPr>
              <mc:AlternateContent>
                <mc:Choice Requires="wps">
                  <w:drawing>
                    <wp:anchor distT="0" distB="0" distL="114300" distR="114300" simplePos="0" relativeHeight="251781120" behindDoc="0" locked="0" layoutInCell="1" allowOverlap="1">
                      <wp:simplePos x="0" y="0"/>
                      <wp:positionH relativeFrom="column">
                        <wp:posOffset>135255</wp:posOffset>
                      </wp:positionH>
                      <wp:positionV relativeFrom="paragraph">
                        <wp:posOffset>113030</wp:posOffset>
                      </wp:positionV>
                      <wp:extent cx="1028700" cy="396240"/>
                      <wp:effectExtent l="4445" t="4445" r="14605" b="18415"/>
                      <wp:wrapNone/>
                      <wp:docPr id="52" name="流程图: 过程 52"/>
                      <wp:cNvGraphicFramePr/>
                      <a:graphic xmlns:a="http://schemas.openxmlformats.org/drawingml/2006/main">
                        <a:graphicData uri="http://schemas.microsoft.com/office/word/2010/wordprocessingShape">
                          <wps:wsp>
                            <wps:cNvSpPr/>
                            <wps:spPr>
                              <a:xfrm>
                                <a:off x="0" y="0"/>
                                <a:ext cx="1028700" cy="396240"/>
                              </a:xfrm>
                              <a:prstGeom prst="flowChartProcess">
                                <a:avLst/>
                              </a:prstGeom>
                              <a:solidFill>
                                <a:srgbClr val="FFFFFF"/>
                              </a:solidFill>
                              <a:ln w="9525" cap="flat" cmpd="sng">
                                <a:solidFill>
                                  <a:srgbClr val="000000"/>
                                </a:solidFill>
                                <a:prstDash val="solid"/>
                                <a:miter/>
                                <a:headEnd type="none" w="med" len="med"/>
                                <a:tailEnd type="none" w="med" len="med"/>
                              </a:ln>
                              <a:effectLst/>
                            </wps:spPr>
                            <wps:txbx>
                              <w:txbxContent>
                                <w:p w14:paraId="71615D05">
                                  <w:pPr>
                                    <w:jc w:val="center"/>
                                    <w:rPr>
                                      <w:sz w:val="18"/>
                                      <w:szCs w:val="18"/>
                                    </w:rPr>
                                  </w:pPr>
                                  <w:r>
                                    <w:rPr>
                                      <w:rFonts w:hint="eastAsia"/>
                                      <w:sz w:val="18"/>
                                      <w:szCs w:val="18"/>
                                    </w:rPr>
                                    <w:t>经理批示</w:t>
                                  </w:r>
                                </w:p>
                              </w:txbxContent>
                            </wps:txbx>
                            <wps:bodyPr wrap="square" upright="1"/>
                          </wps:wsp>
                        </a:graphicData>
                      </a:graphic>
                    </wp:anchor>
                  </w:drawing>
                </mc:Choice>
                <mc:Fallback>
                  <w:pict>
                    <v:shape id="_x0000_s1026" o:spid="_x0000_s1026" o:spt="109" type="#_x0000_t109" style="position:absolute;left:0pt;margin-left:10.65pt;margin-top:8.9pt;height:31.2pt;width:81pt;z-index:251781120;mso-width-relative:page;mso-height-relative:page;" fillcolor="#FFFFFF" filled="t" stroked="t" coordsize="21600,21600" o:gfxdata="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MPUXWdYAAAAIAQAADwAAAAAAAAABACAAAAAiAAAAZHJzL2Rvd25yZXYueG1sUEsBAhQAFAAA&#10;AAgAh07iQEDPO0UqAgAAXgQAAA4AAAAAAAAAAQAgAAAAJQEAAGRycy9lMm9Eb2MueG1sUEsFBgAA&#10;AAAGAAYAWQEAAMEFAAAAAA==&#10;">
                      <v:fill on="t" focussize="0,0"/>
                      <v:stroke color="#000000" joinstyle="miter"/>
                      <v:imagedata o:title=""/>
                      <o:lock v:ext="edit" aspectratio="f"/>
                      <v:textbox>
                        <w:txbxContent>
                          <w:p w14:paraId="71615D05">
                            <w:pPr>
                              <w:jc w:val="center"/>
                              <w:rPr>
                                <w:sz w:val="18"/>
                                <w:szCs w:val="18"/>
                              </w:rPr>
                            </w:pPr>
                            <w:r>
                              <w:rPr>
                                <w:rFonts w:hint="eastAsia"/>
                                <w:sz w:val="18"/>
                                <w:szCs w:val="18"/>
                              </w:rPr>
                              <w:t>经理批示</w:t>
                            </w:r>
                          </w:p>
                        </w:txbxContent>
                      </v:textbox>
                    </v:shape>
                  </w:pict>
                </mc:Fallback>
              </mc:AlternateContent>
            </w:r>
          </w:p>
          <w:p w14:paraId="357CF173">
            <w:pPr>
              <w:ind w:firstLine="360"/>
              <w:rPr>
                <w:kern w:val="2"/>
                <w:sz w:val="18"/>
              </w:rPr>
            </w:pPr>
            <w:r>
              <w:rPr>
                <w:kern w:val="2"/>
                <w:sz w:val="18"/>
              </w:rPr>
              <mc:AlternateContent>
                <mc:Choice Requires="wps">
                  <w:drawing>
                    <wp:anchor distT="0" distB="0" distL="114300" distR="114300" simplePos="0" relativeHeight="251784192" behindDoc="0" locked="0" layoutInCell="1" allowOverlap="1">
                      <wp:simplePos x="0" y="0"/>
                      <wp:positionH relativeFrom="column">
                        <wp:posOffset>1163955</wp:posOffset>
                      </wp:positionH>
                      <wp:positionV relativeFrom="paragraph">
                        <wp:posOffset>39370</wp:posOffset>
                      </wp:positionV>
                      <wp:extent cx="292100" cy="0"/>
                      <wp:effectExtent l="0" t="38100" r="12700" b="38100"/>
                      <wp:wrapNone/>
                      <wp:docPr id="53" name="直接连接符 53"/>
                      <wp:cNvGraphicFramePr/>
                      <a:graphic xmlns:a="http://schemas.openxmlformats.org/drawingml/2006/main">
                        <a:graphicData uri="http://schemas.microsoft.com/office/word/2010/wordprocessingShape">
                          <wps:wsp>
                            <wps:cNvCnPr/>
                            <wps:spPr>
                              <a:xfrm>
                                <a:off x="0" y="0"/>
                                <a:ext cx="292100" cy="0"/>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id="_x0000_s1026" o:spid="_x0000_s1026" o:spt="20" style="position:absolute;left:0pt;margin-left:91.65pt;margin-top:3.1pt;height:0pt;width:23pt;z-index:251784192;mso-width-relative:page;mso-height-relative:page;" filled="f" stroked="t" coordsize="21600,21600" o:gfxdata="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K/1NZPVAAAABwEAAA8AAAAAAAAAAQAgAAAAIgAAAGRycy9kb3ducmV2LnhtbFBL&#10;AQIUABQAAAAIAIdO4kAPFcWo+QEAAOsDAAAOAAAAAAAAAAEAIAAAACQBAABkcnMvZTJvRG9jLnht&#10;bFBLBQYAAAAABgAGAFkBAACPBQAAAAA=&#10;">
                      <v:fill on="f" focussize="0,0"/>
                      <v:stroke color="#000000" joinstyle="round" endarrow="block"/>
                      <v:imagedata o:title=""/>
                      <o:lock v:ext="edit" aspectratio="f"/>
                    </v:line>
                  </w:pict>
                </mc:Fallback>
              </mc:AlternateContent>
            </w:r>
          </w:p>
        </w:tc>
        <w:tc>
          <w:tcPr>
            <w:tcW w:w="2158" w:type="dxa"/>
            <w:noWrap/>
          </w:tcPr>
          <w:p w14:paraId="1547937C">
            <w:pPr>
              <w:ind w:firstLine="360"/>
              <w:rPr>
                <w:kern w:val="2"/>
                <w:sz w:val="18"/>
              </w:rPr>
            </w:pPr>
            <w:r>
              <w:rPr>
                <w:kern w:val="2"/>
                <w:sz w:val="18"/>
              </w:rPr>
              <mc:AlternateContent>
                <mc:Choice Requires="wps">
                  <w:drawing>
                    <wp:anchor distT="0" distB="0" distL="114300" distR="114300" simplePos="0" relativeHeight="251782144" behindDoc="0" locked="0" layoutInCell="1" allowOverlap="1">
                      <wp:simplePos x="0" y="0"/>
                      <wp:positionH relativeFrom="column">
                        <wp:posOffset>151765</wp:posOffset>
                      </wp:positionH>
                      <wp:positionV relativeFrom="paragraph">
                        <wp:posOffset>2147570</wp:posOffset>
                      </wp:positionV>
                      <wp:extent cx="1028700" cy="594360"/>
                      <wp:effectExtent l="4445" t="4445" r="14605" b="10795"/>
                      <wp:wrapNone/>
                      <wp:docPr id="54" name="流程图: 过程 54"/>
                      <wp:cNvGraphicFramePr/>
                      <a:graphic xmlns:a="http://schemas.openxmlformats.org/drawingml/2006/main">
                        <a:graphicData uri="http://schemas.microsoft.com/office/word/2010/wordprocessingShape">
                          <wps:wsp>
                            <wps:cNvSpPr/>
                            <wps:spPr>
                              <a:xfrm>
                                <a:off x="0" y="0"/>
                                <a:ext cx="1028700" cy="594360"/>
                              </a:xfrm>
                              <a:prstGeom prst="flowChartProcess">
                                <a:avLst/>
                              </a:prstGeom>
                              <a:solidFill>
                                <a:srgbClr val="FFFFFF"/>
                              </a:solidFill>
                              <a:ln w="9525" cap="flat" cmpd="sng">
                                <a:solidFill>
                                  <a:srgbClr val="000000"/>
                                </a:solidFill>
                                <a:prstDash val="solid"/>
                                <a:miter/>
                                <a:headEnd type="none" w="med" len="med"/>
                                <a:tailEnd type="none" w="med" len="med"/>
                              </a:ln>
                              <a:effectLst/>
                            </wps:spPr>
                            <wps:txbx>
                              <w:txbxContent>
                                <w:p w14:paraId="41293346">
                                  <w:pPr>
                                    <w:rPr>
                                      <w:sz w:val="18"/>
                                      <w:szCs w:val="18"/>
                                    </w:rPr>
                                  </w:pPr>
                                  <w:r>
                                    <w:rPr>
                                      <w:rFonts w:hint="eastAsia"/>
                                      <w:sz w:val="18"/>
                                      <w:szCs w:val="18"/>
                                    </w:rPr>
                                    <w:t>针对顾客信息签署意见</w:t>
                                  </w:r>
                                </w:p>
                              </w:txbxContent>
                            </wps:txbx>
                            <wps:bodyPr wrap="square" upright="1"/>
                          </wps:wsp>
                        </a:graphicData>
                      </a:graphic>
                    </wp:anchor>
                  </w:drawing>
                </mc:Choice>
                <mc:Fallback>
                  <w:pict>
                    <v:shape id="_x0000_s1026" o:spid="_x0000_s1026" o:spt="109" type="#_x0000_t109" style="position:absolute;left:0pt;margin-left:11.95pt;margin-top:169.1pt;height:46.8pt;width:81pt;z-index:251782144;mso-width-relative:page;mso-height-relative:page;" fillcolor="#FFFFFF" filled="t" stroked="t" coordsize="21600,21600" o:gfxdata="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Ef6N1HZAAAACgEAAA8AAAAAAAAAAQAgAAAAIgAAAGRycy9kb3ducmV2LnhtbFBLAQIU&#10;ABQAAAAIAIdO4kBNQrGdKwIAAF4EAAAOAAAAAAAAAAEAIAAAACgBAABkcnMvZTJvRG9jLnhtbFBL&#10;BQYAAAAABgAGAFkBAADFBQAAAAA=&#10;">
                      <v:fill on="t" focussize="0,0"/>
                      <v:stroke color="#000000" joinstyle="miter"/>
                      <v:imagedata o:title=""/>
                      <o:lock v:ext="edit" aspectratio="f"/>
                      <v:textbox>
                        <w:txbxContent>
                          <w:p w14:paraId="41293346">
                            <w:pPr>
                              <w:rPr>
                                <w:sz w:val="18"/>
                                <w:szCs w:val="18"/>
                              </w:rPr>
                            </w:pPr>
                            <w:r>
                              <w:rPr>
                                <w:rFonts w:hint="eastAsia"/>
                                <w:sz w:val="18"/>
                                <w:szCs w:val="18"/>
                              </w:rPr>
                              <w:t>针对顾客信息签署意见</w:t>
                            </w:r>
                          </w:p>
                        </w:txbxContent>
                      </v:textbox>
                    </v:shape>
                  </w:pict>
                </mc:Fallback>
              </mc:AlternateContent>
            </w:r>
          </w:p>
        </w:tc>
        <w:tc>
          <w:tcPr>
            <w:tcW w:w="1793" w:type="dxa"/>
            <w:noWrap/>
          </w:tcPr>
          <w:p w14:paraId="75F1B331">
            <w:pPr>
              <w:ind w:firstLine="360"/>
              <w:rPr>
                <w:kern w:val="2"/>
                <w:sz w:val="18"/>
              </w:rPr>
            </w:pPr>
            <w:r>
              <w:rPr>
                <w:kern w:val="2"/>
                <w:sz w:val="18"/>
              </w:rPr>
              <mc:AlternateContent>
                <mc:Choice Requires="wps">
                  <w:drawing>
                    <wp:anchor distT="0" distB="0" distL="114300" distR="114300" simplePos="0" relativeHeight="251786240" behindDoc="0" locked="0" layoutInCell="1" allowOverlap="1">
                      <wp:simplePos x="0" y="0"/>
                      <wp:positionH relativeFrom="column">
                        <wp:posOffset>495935</wp:posOffset>
                      </wp:positionH>
                      <wp:positionV relativeFrom="paragraph">
                        <wp:posOffset>248920</wp:posOffset>
                      </wp:positionV>
                      <wp:extent cx="0" cy="2035175"/>
                      <wp:effectExtent l="4445" t="0" r="14605" b="3175"/>
                      <wp:wrapNone/>
                      <wp:docPr id="55" name="直接连接符 55"/>
                      <wp:cNvGraphicFramePr/>
                      <a:graphic xmlns:a="http://schemas.openxmlformats.org/drawingml/2006/main">
                        <a:graphicData uri="http://schemas.microsoft.com/office/word/2010/wordprocessingShape">
                          <wps:wsp>
                            <wps:cNvCnPr/>
                            <wps:spPr>
                              <a:xfrm>
                                <a:off x="0" y="0"/>
                                <a:ext cx="0" cy="203517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9.05pt;margin-top:19.6pt;height:160.25pt;width:0pt;z-index:251786240;mso-width-relative:page;mso-height-relative:page;" filled="f" stroked="t" coordsize="21600,21600" o:gfxdata="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yZ8f1dUAAAAIAQAADwAAAAAAAAABACAAAAAiAAAAZHJzL2Rvd25yZXYueG1sUEsBAhQAFAAA&#10;AAgAh07iQAM0nBnyAQAA6AMAAA4AAAAAAAAAAQAgAAAAJAEAAGRycy9lMm9Eb2MueG1sUEsFBgAA&#10;AAAGAAYAWQEAAIgFAAAAAA==&#10;">
                      <v:fill on="f" focussize="0,0"/>
                      <v:stroke color="#000000" joinstyle="round"/>
                      <v:imagedata o:title=""/>
                      <o:lock v:ext="edit" aspectratio="f"/>
                    </v:line>
                  </w:pict>
                </mc:Fallback>
              </mc:AlternateContent>
            </w:r>
            <w:r>
              <w:rPr>
                <w:kern w:val="2"/>
                <w:sz w:val="18"/>
              </w:rPr>
              <mc:AlternateContent>
                <mc:Choice Requires="wps">
                  <w:drawing>
                    <wp:anchor distT="0" distB="0" distL="114300" distR="114300" simplePos="0" relativeHeight="251785216" behindDoc="0" locked="0" layoutInCell="1" allowOverlap="1">
                      <wp:simplePos x="0" y="0"/>
                      <wp:positionH relativeFrom="column">
                        <wp:posOffset>-189230</wp:posOffset>
                      </wp:positionH>
                      <wp:positionV relativeFrom="paragraph">
                        <wp:posOffset>2529840</wp:posOffset>
                      </wp:positionV>
                      <wp:extent cx="288925" cy="0"/>
                      <wp:effectExtent l="0" t="38100" r="15875" b="38100"/>
                      <wp:wrapNone/>
                      <wp:docPr id="56" name="直接连接符 56"/>
                      <wp:cNvGraphicFramePr/>
                      <a:graphic xmlns:a="http://schemas.openxmlformats.org/drawingml/2006/main">
                        <a:graphicData uri="http://schemas.microsoft.com/office/word/2010/wordprocessingShape">
                          <wps:wsp>
                            <wps:cNvCnPr/>
                            <wps:spPr>
                              <a:xfrm>
                                <a:off x="0" y="0"/>
                                <a:ext cx="288925" cy="0"/>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id="_x0000_s1026" o:spid="_x0000_s1026" o:spt="20" style="position:absolute;left:0pt;margin-left:-14.9pt;margin-top:199.2pt;height:0pt;width:22.75pt;z-index:251785216;mso-width-relative:page;mso-height-relative:page;" filled="f" stroked="t" coordsize="21600,21600" o:gfxdata="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lw/U2gAAAAoBAAAPAAAAAAAAAAEAIAAAACIAAABkcnMvZG93bnJldi54&#10;bWxQSwECFAAUAAAACACHTuJAFsQAsvgBAADrAwAADgAAAAAAAAABACAAAAApAQAAZHJzL2Uyb0Rv&#10;Yy54bWxQSwUGAAAAAAYABgBZAQAAkwUAAAAA&#10;">
                      <v:fill on="f" focussize="0,0"/>
                      <v:stroke color="#000000" joinstyle="round" endarrow="block"/>
                      <v:imagedata o:title=""/>
                      <o:lock v:ext="edit" aspectratio="f"/>
                    </v:line>
                  </w:pict>
                </mc:Fallback>
              </mc:AlternateContent>
            </w:r>
            <w:r>
              <w:rPr>
                <w:kern w:val="2"/>
                <w:sz w:val="18"/>
              </w:rPr>
              <mc:AlternateContent>
                <mc:Choice Requires="wps">
                  <w:drawing>
                    <wp:anchor distT="0" distB="0" distL="114300" distR="114300" simplePos="0" relativeHeight="251783168" behindDoc="0" locked="0" layoutInCell="1" allowOverlap="1">
                      <wp:simplePos x="0" y="0"/>
                      <wp:positionH relativeFrom="column">
                        <wp:posOffset>45720</wp:posOffset>
                      </wp:positionH>
                      <wp:positionV relativeFrom="paragraph">
                        <wp:posOffset>2339340</wp:posOffset>
                      </wp:positionV>
                      <wp:extent cx="1028700" cy="396240"/>
                      <wp:effectExtent l="4445" t="4445" r="14605" b="18415"/>
                      <wp:wrapNone/>
                      <wp:docPr id="57" name="流程图: 过程 57"/>
                      <wp:cNvGraphicFramePr/>
                      <a:graphic xmlns:a="http://schemas.openxmlformats.org/drawingml/2006/main">
                        <a:graphicData uri="http://schemas.microsoft.com/office/word/2010/wordprocessingShape">
                          <wps:wsp>
                            <wps:cNvSpPr/>
                            <wps:spPr>
                              <a:xfrm>
                                <a:off x="0" y="0"/>
                                <a:ext cx="1028700" cy="396240"/>
                              </a:xfrm>
                              <a:prstGeom prst="flowChartProcess">
                                <a:avLst/>
                              </a:prstGeom>
                              <a:solidFill>
                                <a:srgbClr val="FFFFFF"/>
                              </a:solidFill>
                              <a:ln w="9525" cap="flat" cmpd="sng">
                                <a:solidFill>
                                  <a:srgbClr val="000000"/>
                                </a:solidFill>
                                <a:prstDash val="solid"/>
                                <a:miter/>
                                <a:headEnd type="none" w="med" len="med"/>
                                <a:tailEnd type="none" w="med" len="med"/>
                              </a:ln>
                              <a:effectLst/>
                            </wps:spPr>
                            <wps:txbx>
                              <w:txbxContent>
                                <w:p w14:paraId="0A95AD94">
                                  <w:pPr>
                                    <w:rPr>
                                      <w:sz w:val="18"/>
                                      <w:szCs w:val="18"/>
                                    </w:rPr>
                                  </w:pPr>
                                  <w:r>
                                    <w:rPr>
                                      <w:rFonts w:hint="eastAsia"/>
                                      <w:sz w:val="18"/>
                                      <w:szCs w:val="18"/>
                                    </w:rPr>
                                    <w:t>指示紧急回复</w:t>
                                  </w:r>
                                </w:p>
                              </w:txbxContent>
                            </wps:txbx>
                            <wps:bodyPr wrap="square" upright="1"/>
                          </wps:wsp>
                        </a:graphicData>
                      </a:graphic>
                    </wp:anchor>
                  </w:drawing>
                </mc:Choice>
                <mc:Fallback>
                  <w:pict>
                    <v:shape id="_x0000_s1026" o:spid="_x0000_s1026" o:spt="109" type="#_x0000_t109" style="position:absolute;left:0pt;margin-left:3.6pt;margin-top:184.2pt;height:31.2pt;width:81pt;z-index:251783168;mso-width-relative:page;mso-height-relative:page;" fillcolor="#FFFFFF" filled="t" stroked="t" coordsize="21600,21600" o:gfxdata="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OXTVVtkAAAAJAQAADwAAAAAAAAABACAAAAAiAAAAZHJzL2Rvd25yZXYueG1sUEsBAhQA&#10;FAAAAAgAh07iQFrFk7EqAgAAXgQAAA4AAAAAAAAAAQAgAAAAKAEAAGRycy9lMm9Eb2MueG1sUEsF&#10;BgAAAAAGAAYAWQEAAMQFAAAAAA==&#10;">
                      <v:fill on="t" focussize="0,0"/>
                      <v:stroke color="#000000" joinstyle="miter"/>
                      <v:imagedata o:title=""/>
                      <o:lock v:ext="edit" aspectratio="f"/>
                      <v:textbox>
                        <w:txbxContent>
                          <w:p w14:paraId="0A95AD94">
                            <w:pPr>
                              <w:rPr>
                                <w:sz w:val="18"/>
                                <w:szCs w:val="18"/>
                              </w:rPr>
                            </w:pPr>
                            <w:r>
                              <w:rPr>
                                <w:rFonts w:hint="eastAsia"/>
                                <w:sz w:val="18"/>
                                <w:szCs w:val="18"/>
                              </w:rPr>
                              <w:t>指示紧急回复</w:t>
                            </w:r>
                          </w:p>
                        </w:txbxContent>
                      </v:textbox>
                    </v:shape>
                  </w:pict>
                </mc:Fallback>
              </mc:AlternateContent>
            </w:r>
          </w:p>
        </w:tc>
      </w:tr>
    </w:tbl>
    <w:p w14:paraId="0DA18FCE">
      <w:pPr>
        <w:spacing w:line="240" w:lineRule="exact"/>
        <w:ind w:firstLine="420"/>
        <w:rPr>
          <w:rFonts w:ascii="宋体" w:hAnsi="宋体"/>
          <w:b/>
        </w:rPr>
      </w:pPr>
    </w:p>
    <w:p w14:paraId="0A169307">
      <w:pPr>
        <w:spacing w:line="360" w:lineRule="auto"/>
        <w:ind w:firstLine="420"/>
        <w:rPr>
          <w:rFonts w:ascii="宋体" w:hAnsi="宋体"/>
          <w:b/>
        </w:rPr>
      </w:pPr>
      <w:r>
        <w:rPr>
          <w:rFonts w:hint="eastAsia" w:ascii="宋体" w:hAnsi="宋体"/>
          <w:b/>
        </w:rPr>
        <w:t>c） 注重收集、整合和分析投诉信息，并将其用于公司及其合作伙伴的改进，不断研究、改进与顾客关系的建立方法。</w:t>
      </w:r>
    </w:p>
    <w:p w14:paraId="1F132812">
      <w:pPr>
        <w:spacing w:line="360" w:lineRule="auto"/>
        <w:ind w:firstLine="480" w:firstLineChars="200"/>
        <w:rPr>
          <w:rFonts w:ascii="宋体" w:hAnsi="宋体"/>
        </w:rPr>
      </w:pPr>
      <w:r>
        <w:rPr>
          <w:rFonts w:hint="eastAsia" w:ascii="宋体" w:hAnsi="宋体"/>
        </w:rPr>
        <w:t>投诉记录后，问题负责人必须在24小时内和顾客取得联系，确认已经知道了问题。问题负责人可尝试解决问题或与顾客另约时间以跟踪解决。问题负责人然后调查问题的日期。有些顾客要求即时的援助，另一些可能要求过些时候再解决。当采取正确的解决措施后，顾客被要求评估问题解决的满意度。这个信息会记录成为顾客资料中。</w:t>
      </w:r>
    </w:p>
    <w:p w14:paraId="3CF4FAAE">
      <w:pPr>
        <w:spacing w:line="360" w:lineRule="auto"/>
        <w:ind w:firstLine="420"/>
        <w:rPr>
          <w:rFonts w:ascii="宋体" w:hAnsi="宋体"/>
          <w:b/>
          <w:bCs/>
        </w:rPr>
      </w:pPr>
      <w:r>
        <w:rPr>
          <w:rFonts w:hint="eastAsia" w:ascii="宋体" w:hAnsi="宋体"/>
        </w:rPr>
        <w:t>投诉信息进行汇总，分析趋势,并且作为顾客满意度评审的一部分让上级管理部门进行评审，会引起步骤、过程、和组织重大变化的新的问题要进行归类。另外，严重的顾客问题——那些对顾客满意度有严重潜在影响的——要由职能部门经理进行评审。这些问题要列在顾客问题清单上，它要发到职能部门经理和销售部在内的全体组织成员手中。</w:t>
      </w:r>
    </w:p>
    <w:p w14:paraId="1D41AB45">
      <w:pPr>
        <w:spacing w:before="156" w:beforeLines="50" w:line="360" w:lineRule="auto"/>
        <w:rPr>
          <w:rFonts w:ascii="宋体" w:hAnsi="宋体"/>
          <w:b/>
          <w:bCs/>
        </w:rPr>
      </w:pPr>
      <w:r>
        <w:rPr>
          <w:rFonts w:hint="eastAsia" w:ascii="宋体" w:hAnsi="宋体"/>
          <w:b/>
          <w:bCs/>
        </w:rPr>
        <w:t>4.3.3.2.4评价建立维护顾客关系的方法，使其与经营战略相符合</w:t>
      </w:r>
    </w:p>
    <w:p w14:paraId="7B544989">
      <w:pPr>
        <w:spacing w:line="360" w:lineRule="auto"/>
        <w:ind w:firstLine="420"/>
      </w:pPr>
      <w:r>
        <w:rPr>
          <w:rFonts w:hint="eastAsia"/>
        </w:rPr>
        <w:t>公司建立关系以获得、维持并使顾客满意的方法有效促进了其总的扩张战略。同样，各种定期组织的总结会议，积极评审顾客关系建立以及营销方法的可行性，以确认当前顾客服务方法的有效性，并对这些方法归类以提高公司的绩效。</w:t>
      </w:r>
    </w:p>
    <w:p w14:paraId="6B95F3F2">
      <w:pPr>
        <w:spacing w:line="360" w:lineRule="auto"/>
        <w:ind w:firstLine="420"/>
      </w:pPr>
      <w:r>
        <w:rPr>
          <w:rFonts w:hint="eastAsia"/>
        </w:rPr>
        <w:t>按照市场与顾客相关的关键绩效指标的执行情况，组织有关部门召开专题座谈会，对顾客投诉进行分析，并对满意度调查结果使用分析，以决定在建立顾客关系和顾客接触方法方面的改进活动。由此列出行动方案的优先次序，从而使建立顾客关系和顾客接触的方法与企业的需要和发展方向保持一致。与顾客加强联系而收到的反馈促使公司和顾客形成伙伴关系。</w:t>
      </w:r>
    </w:p>
    <w:p w14:paraId="72BC6965">
      <w:pPr>
        <w:spacing w:before="156" w:beforeLines="50" w:line="360" w:lineRule="auto"/>
        <w:rPr>
          <w:rFonts w:ascii="宋体" w:hAnsi="宋体"/>
          <w:b/>
          <w:bCs/>
        </w:rPr>
      </w:pPr>
      <w:r>
        <w:rPr>
          <w:rFonts w:hint="eastAsia" w:ascii="宋体" w:hAnsi="宋体"/>
          <w:b/>
          <w:bCs/>
        </w:rPr>
        <w:t>4.3.3.3顾客满意的测量</w:t>
      </w:r>
    </w:p>
    <w:p w14:paraId="412449D8">
      <w:pPr>
        <w:spacing w:line="360" w:lineRule="auto"/>
        <w:rPr>
          <w:rFonts w:ascii="宋体" w:hAnsi="宋体"/>
          <w:b/>
          <w:bCs/>
        </w:rPr>
      </w:pPr>
      <w:r>
        <w:rPr>
          <w:rFonts w:hint="eastAsia" w:ascii="宋体" w:hAnsi="宋体"/>
          <w:b/>
          <w:bCs/>
        </w:rPr>
        <w:t>4.3.3.3.1顾客满意度测量</w:t>
      </w:r>
    </w:p>
    <w:p w14:paraId="2831AA94">
      <w:pPr>
        <w:spacing w:line="360" w:lineRule="auto"/>
        <w:ind w:firstLine="420"/>
        <w:rPr>
          <w:rFonts w:ascii="宋体" w:hAnsi="宋体"/>
        </w:rPr>
      </w:pPr>
      <w:r>
        <w:rPr>
          <w:rFonts w:hint="eastAsia" w:ascii="宋体" w:hAnsi="宋体"/>
        </w:rPr>
        <w:t>公司使用管理体系程序文件《顾客满意度的测量控制程序》进行顾客满意度的调查与测量。多年以来，坚持做到每年开展最少一次顾客满意度的测评。顾客满意度调查提高了公司的市场竞争能力。</w:t>
      </w:r>
    </w:p>
    <w:p w14:paraId="1469B1B5">
      <w:pPr>
        <w:spacing w:line="360" w:lineRule="auto"/>
        <w:ind w:firstLine="420"/>
        <w:rPr>
          <w:rFonts w:ascii="宋体" w:hAnsi="宋体"/>
        </w:rPr>
      </w:pPr>
      <w:r>
        <w:rPr>
          <w:rFonts w:hint="eastAsia" w:ascii="宋体" w:hAnsi="宋体"/>
        </w:rPr>
        <w:t>在确保数据收集的客观性和有效性的基础上，销售部会使用问卷等方法来确定影响满意度的因素。在测量方法上，公司由销售部进行不定期的回访以作为顾客满意度测量的补充。公司顾客满意度测量的调查项目涉及生产能力、交货期、产品价格和总体评价等方面。通过顾客满意度调查得出结论，作为公司管理评审重要输入资料之一，作为公司重点改善的方向。</w:t>
      </w:r>
    </w:p>
    <w:p w14:paraId="35D31A3D">
      <w:pPr>
        <w:spacing w:line="360" w:lineRule="auto"/>
        <w:ind w:firstLine="470" w:firstLineChars="196"/>
        <w:rPr>
          <w:rFonts w:ascii="宋体" w:hAnsi="宋体"/>
        </w:rPr>
      </w:pPr>
      <w:r>
        <w:rPr>
          <w:rFonts w:hint="eastAsia" w:ascii="宋体" w:hAnsi="宋体"/>
        </w:rPr>
        <w:t>销售部根据公司的总体布局，会定期走访顾客，了解顾客对公司的满意度情况。公司高层干部定期访问战略合作的顾客。访问时收集产品质量情况，听取顾客的意见，重点了解顾客对公司满意度情况，并编制出报告，必要时落实相关部门进行整改。销售部经常会对与顾客约定比例执行情况跟踪，发生约定比例执行下降时，就寻找造成的主要原因，采取措施进行改善。</w:t>
      </w:r>
    </w:p>
    <w:p w14:paraId="7EA25373">
      <w:pPr>
        <w:pStyle w:val="30"/>
        <w:spacing w:after="156"/>
        <w:rPr>
          <w:rFonts w:ascii="宋体" w:hAnsi="宋体"/>
        </w:rPr>
      </w:pPr>
      <w:r>
        <w:rPr>
          <w:rFonts w:hint="eastAsia" w:ascii="宋体" w:hAnsi="宋体"/>
        </w:rPr>
        <w:t>图4.3-3 顾客满意度调查流程图</w:t>
      </w:r>
    </w:p>
    <w:p w14:paraId="346852F2">
      <w:pPr>
        <w:pStyle w:val="13"/>
        <w:adjustRightInd w:val="0"/>
        <w:snapToGrid w:val="0"/>
        <w:ind w:left="0" w:leftChars="0" w:firstLine="480"/>
        <w:jc w:val="center"/>
      </w:pPr>
      <w:r>
        <w:object>
          <v:shape id="_x0000_i1025" o:spt="75" type="#_x0000_t75" style="height:161.3pt;width:267.9pt;" o:ole="t" filled="f" o:preferrelative="t" stroked="f" coordsize="21600,21600">
            <v:path/>
            <v:fill on="f" focussize="0,0"/>
            <v:stroke on="f" joinstyle="miter"/>
            <v:imagedata r:id="rId18" o:title=""/>
            <o:lock v:ext="edit" aspectratio="t"/>
            <w10:wrap type="none"/>
            <w10:anchorlock/>
          </v:shape>
          <o:OLEObject Type="Embed" ProgID="Visio.Drawing.11" ShapeID="_x0000_i1025" DrawAspect="Content" ObjectID="_1468075725" r:id="rId17">
            <o:LockedField>false</o:LockedField>
          </o:OLEObject>
        </w:object>
      </w:r>
    </w:p>
    <w:p w14:paraId="2142E49C">
      <w:pPr>
        <w:spacing w:before="156" w:beforeLines="50" w:line="360" w:lineRule="auto"/>
        <w:rPr>
          <w:rFonts w:ascii="宋体" w:hAnsi="宋体" w:cs="Arial"/>
          <w:b/>
          <w:bCs/>
        </w:rPr>
      </w:pPr>
      <w:r>
        <w:rPr>
          <w:rFonts w:hint="eastAsia" w:ascii="宋体" w:hAnsi="宋体" w:cs="Arial"/>
          <w:b/>
          <w:bCs/>
        </w:rPr>
        <w:t>4.3.3.3.2产品和服务质量的跟踪</w:t>
      </w:r>
    </w:p>
    <w:p w14:paraId="1E48EE38">
      <w:pPr>
        <w:spacing w:line="360" w:lineRule="auto"/>
        <w:ind w:firstLine="420"/>
        <w:rPr>
          <w:rFonts w:ascii="宋体" w:hAnsi="宋体"/>
        </w:rPr>
      </w:pPr>
      <w:r>
        <w:rPr>
          <w:rFonts w:hint="eastAsia" w:ascii="宋体" w:hAnsi="宋体"/>
        </w:rPr>
        <w:t>公司认识到不能坐等顾客满意度调查结果，而要确定问题是否已经得到关注。同样，也不能仅仅依靠顾客的投诉和服务要求作为顾客不满意度的指标，因为并不是所有的顾客都有投诉。在顾客购买产品后，业务人员有责任与顾客进行及时的售中、售后沟通。</w:t>
      </w:r>
    </w:p>
    <w:p w14:paraId="6EE7A100">
      <w:pPr>
        <w:spacing w:line="360" w:lineRule="auto"/>
        <w:ind w:firstLine="420"/>
        <w:rPr>
          <w:rFonts w:ascii="宋体" w:hAnsi="宋体"/>
        </w:rPr>
      </w:pPr>
      <w:r>
        <w:rPr>
          <w:rFonts w:ascii="宋体" w:hAnsi="宋体"/>
        </w:rPr>
        <w:t>在产品高度同质化的今天，制胜市场最终还得靠以服务为中心的知识营销。市场竞争虽然没有全面转向服务竞争，但能否提供包括售前服务在内的完善、优质的服务，将是企业能否赢得用户信任、制胜市场的关键。</w:t>
      </w:r>
      <w:r>
        <w:rPr>
          <w:rFonts w:hint="eastAsia" w:ascii="宋体" w:hAnsi="宋体"/>
        </w:rPr>
        <w:t>现产品</w:t>
      </w:r>
      <w:r>
        <w:rPr>
          <w:rFonts w:ascii="宋体" w:hAnsi="宋体"/>
        </w:rPr>
        <w:t>种类越来越多，先进科技的应用也较快，</w:t>
      </w:r>
      <w:r>
        <w:rPr>
          <w:rFonts w:hint="eastAsia" w:ascii="宋体" w:hAnsi="宋体"/>
        </w:rPr>
        <w:t>公司会及时地</w:t>
      </w:r>
      <w:r>
        <w:rPr>
          <w:rFonts w:ascii="宋体" w:hAnsi="宋体"/>
        </w:rPr>
        <w:t>提供各种</w:t>
      </w:r>
      <w:r>
        <w:rPr>
          <w:rFonts w:hint="eastAsia" w:ascii="宋体" w:hAnsi="宋体"/>
        </w:rPr>
        <w:t>咨询</w:t>
      </w:r>
      <w:r>
        <w:rPr>
          <w:rFonts w:ascii="宋体" w:hAnsi="宋体"/>
        </w:rPr>
        <w:t>，当好参谋，并提供有关资料。</w:t>
      </w:r>
      <w:r>
        <w:rPr>
          <w:rFonts w:hint="eastAsia" w:ascii="宋体" w:hAnsi="宋体"/>
        </w:rPr>
        <w:t>加强对顾客进行产品、服务质量跟踪。</w:t>
      </w:r>
    </w:p>
    <w:p w14:paraId="471861DA">
      <w:pPr>
        <w:spacing w:before="156" w:beforeLines="50" w:line="360" w:lineRule="auto"/>
        <w:rPr>
          <w:rFonts w:ascii="宋体" w:hAnsi="宋体" w:cs="Arial"/>
          <w:b/>
          <w:bCs/>
        </w:rPr>
      </w:pPr>
      <w:r>
        <w:rPr>
          <w:rFonts w:hint="eastAsia" w:ascii="宋体" w:hAnsi="宋体" w:cs="Arial"/>
          <w:b/>
          <w:bCs/>
        </w:rPr>
        <w:t>4.3.3.3.3竞争对手的顾客满意信息的获取和应用</w:t>
      </w:r>
    </w:p>
    <w:p w14:paraId="0D6ED4EB">
      <w:pPr>
        <w:spacing w:line="360" w:lineRule="auto"/>
        <w:ind w:firstLine="480" w:firstLineChars="200"/>
        <w:rPr>
          <w:rFonts w:ascii="宋体" w:hAnsi="宋体"/>
        </w:rPr>
      </w:pPr>
      <w:r>
        <w:rPr>
          <w:rFonts w:hint="eastAsia" w:ascii="宋体" w:hAnsi="宋体"/>
        </w:rPr>
        <w:t>公司采用满意度调查、电话询问、顾客走访、座谈会、各媒体、资料信息等方式，获得竞争对手及行业标杆的信息，以确定自身的优势和差距。</w:t>
      </w:r>
    </w:p>
    <w:p w14:paraId="6FEB0459">
      <w:pPr>
        <w:spacing w:line="360" w:lineRule="auto"/>
        <w:ind w:firstLine="420"/>
        <w:rPr>
          <w:rFonts w:ascii="宋体" w:hAnsi="宋体"/>
        </w:rPr>
      </w:pPr>
      <w:r>
        <w:rPr>
          <w:rFonts w:hint="eastAsia" w:ascii="宋体" w:hAnsi="宋体"/>
        </w:rPr>
        <w:t>销售部人员在与顾客沟通质量、价格、交货期和服务等方面时，有意识收集竞争对手信息。必要时取得对手的产品和资料，提交公司相关部门分析评价，确认对公司来说是否借鉴意义。公司了解竞争对手的优点，最近动态，以便公司整体营销策略的决策。公司每年一次顾客满意度调查，通过对顾客满意度的测量、产品和服务信息跟踪及顾客对竞争对手满意度收集，了解到公司不足方面，作为公司改进的方向。</w:t>
      </w:r>
    </w:p>
    <w:p w14:paraId="2612C764">
      <w:pPr>
        <w:spacing w:before="156" w:beforeLines="50" w:line="360" w:lineRule="auto"/>
        <w:rPr>
          <w:rFonts w:ascii="宋体" w:hAnsi="宋体" w:cs="Arial"/>
          <w:b/>
        </w:rPr>
      </w:pPr>
      <w:r>
        <w:rPr>
          <w:rFonts w:hint="eastAsia" w:ascii="宋体" w:hAnsi="宋体" w:cs="Arial"/>
          <w:b/>
          <w:bCs/>
        </w:rPr>
        <w:t>4.3.3.3.4</w:t>
      </w:r>
      <w:r>
        <w:rPr>
          <w:rFonts w:hint="eastAsia" w:ascii="宋体" w:hAnsi="宋体" w:cs="Arial"/>
          <w:b/>
        </w:rPr>
        <w:t>评价顾客满意程度方法的适宜性</w:t>
      </w:r>
    </w:p>
    <w:p w14:paraId="397800F3">
      <w:pPr>
        <w:spacing w:line="360" w:lineRule="auto"/>
        <w:ind w:firstLine="420"/>
        <w:rPr>
          <w:rFonts w:ascii="宋体" w:hAnsi="宋体"/>
        </w:rPr>
      </w:pPr>
      <w:r>
        <w:rPr>
          <w:rFonts w:hint="eastAsia" w:ascii="宋体" w:hAnsi="宋体"/>
        </w:rPr>
        <w:t>通过定时的测评，进一步完善了公司顾客</w:t>
      </w:r>
      <w:r>
        <w:rPr>
          <w:rFonts w:ascii="宋体" w:hAnsi="宋体"/>
        </w:rPr>
        <w:t>关系管理体系，提升</w:t>
      </w:r>
      <w:r>
        <w:rPr>
          <w:rFonts w:hint="eastAsia" w:ascii="宋体" w:hAnsi="宋体"/>
        </w:rPr>
        <w:t>了</w:t>
      </w:r>
      <w:r>
        <w:rPr>
          <w:rFonts w:ascii="宋体" w:hAnsi="宋体"/>
        </w:rPr>
        <w:t>服务质量，不断提高</w:t>
      </w:r>
      <w:r>
        <w:rPr>
          <w:rFonts w:hint="eastAsia" w:ascii="宋体" w:hAnsi="宋体"/>
        </w:rPr>
        <w:t>顾客</w:t>
      </w:r>
      <w:r>
        <w:rPr>
          <w:rFonts w:ascii="宋体" w:hAnsi="宋体"/>
        </w:rPr>
        <w:t>满意度。完善</w:t>
      </w:r>
      <w:r>
        <w:rPr>
          <w:rFonts w:hint="eastAsia" w:ascii="宋体" w:hAnsi="宋体"/>
        </w:rPr>
        <w:t>顾客</w:t>
      </w:r>
      <w:r>
        <w:rPr>
          <w:rFonts w:ascii="宋体" w:hAnsi="宋体"/>
        </w:rPr>
        <w:t>信息资料库以记录</w:t>
      </w:r>
      <w:r>
        <w:rPr>
          <w:rFonts w:hint="eastAsia" w:ascii="宋体" w:hAnsi="宋体"/>
        </w:rPr>
        <w:t>顾客</w:t>
      </w:r>
      <w:r>
        <w:rPr>
          <w:rFonts w:ascii="宋体" w:hAnsi="宋体"/>
        </w:rPr>
        <w:t>与公司之间每次的往来情况，将公司与</w:t>
      </w:r>
      <w:r>
        <w:rPr>
          <w:rFonts w:hint="eastAsia" w:ascii="宋体" w:hAnsi="宋体"/>
        </w:rPr>
        <w:t>顾客</w:t>
      </w:r>
      <w:r>
        <w:rPr>
          <w:rFonts w:ascii="宋体" w:hAnsi="宋体"/>
        </w:rPr>
        <w:t>接触时收集到的信息进行汇总并标准化，形成统一的数据库。然后对信息按</w:t>
      </w:r>
      <w:r>
        <w:rPr>
          <w:rFonts w:hint="eastAsia" w:ascii="宋体" w:hAnsi="宋体"/>
        </w:rPr>
        <w:t>顾客</w:t>
      </w:r>
      <w:r>
        <w:rPr>
          <w:rFonts w:ascii="宋体" w:hAnsi="宋体"/>
        </w:rPr>
        <w:t>进行分类整理并进行分析。从中</w:t>
      </w:r>
      <w:r>
        <w:rPr>
          <w:rFonts w:hint="eastAsia" w:ascii="宋体" w:hAnsi="宋体"/>
        </w:rPr>
        <w:t>获悉顾客</w:t>
      </w:r>
      <w:r>
        <w:rPr>
          <w:rFonts w:ascii="宋体" w:hAnsi="宋体"/>
        </w:rPr>
        <w:t>的需求和特点，以指导公司各项工作的开展。坚持以行业为区域服务、行业为区域补充的原则，互相配合，互相促进，充分有效挖掘了</w:t>
      </w:r>
      <w:r>
        <w:rPr>
          <w:rFonts w:hint="eastAsia" w:ascii="宋体" w:hAnsi="宋体"/>
        </w:rPr>
        <w:t>顾客</w:t>
      </w:r>
      <w:r>
        <w:rPr>
          <w:rFonts w:ascii="宋体" w:hAnsi="宋体"/>
        </w:rPr>
        <w:t>的价值，提高了市场份额。</w:t>
      </w:r>
    </w:p>
    <w:p w14:paraId="4BC937E7">
      <w:pPr>
        <w:spacing w:line="360" w:lineRule="auto"/>
        <w:ind w:firstLine="420"/>
        <w:rPr>
          <w:rFonts w:ascii="宋体" w:hAnsi="宋体"/>
        </w:rPr>
      </w:pPr>
      <w:r>
        <w:rPr>
          <w:rFonts w:hint="eastAsia" w:ascii="宋体" w:hAnsi="宋体"/>
        </w:rPr>
        <w:t>此外，公司还根据战略部署的需要，结合行业发展的形势，通过内部自审、流程诊断等方式对顾客满意测量方法的适应性、有效性进行评估，实施改进顾客满意测量方法，这为持续满足和超越顾客期望指明了方向。</w:t>
      </w:r>
    </w:p>
    <w:p w14:paraId="017279A8">
      <w:pPr>
        <w:pStyle w:val="40"/>
        <w:spacing w:before="156" w:line="360" w:lineRule="auto"/>
        <w:rPr>
          <w:rFonts w:ascii="宋体" w:hAnsi="宋体"/>
        </w:rPr>
      </w:pPr>
      <w:r>
        <w:rPr>
          <w:rFonts w:hint="eastAsia" w:ascii="宋体" w:hAnsi="宋体"/>
        </w:rPr>
        <w:t>表4.3-8  顾客满意度测量方法改进举例</w:t>
      </w:r>
    </w:p>
    <w:tbl>
      <w:tblPr>
        <w:tblStyle w:val="22"/>
        <w:tblW w:w="8749" w:type="dxa"/>
        <w:tblInd w:w="0"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1708"/>
        <w:gridCol w:w="2082"/>
        <w:gridCol w:w="2126"/>
        <w:gridCol w:w="2833"/>
      </w:tblGrid>
      <w:tr w14:paraId="266B3FB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16" w:hRule="atLeast"/>
        </w:trPr>
        <w:tc>
          <w:tcPr>
            <w:tcW w:w="1708" w:type="dxa"/>
            <w:tcBorders>
              <w:top w:val="single" w:color="auto" w:sz="12" w:space="0"/>
              <w:bottom w:val="single" w:color="auto" w:sz="2" w:space="0"/>
            </w:tcBorders>
            <w:shd w:val="clear" w:color="auto" w:fill="757070"/>
            <w:noWrap/>
            <w:vAlign w:val="center"/>
          </w:tcPr>
          <w:p w14:paraId="1FB1C241">
            <w:pPr>
              <w:jc w:val="center"/>
              <w:rPr>
                <w:rFonts w:ascii="宋体" w:hAnsi="宋体"/>
                <w:b/>
                <w:bCs/>
                <w:kern w:val="2"/>
                <w:szCs w:val="21"/>
              </w:rPr>
            </w:pPr>
            <w:r>
              <w:rPr>
                <w:rFonts w:hint="eastAsia" w:ascii="宋体" w:hAnsi="宋体"/>
                <w:b/>
                <w:bCs/>
                <w:kern w:val="2"/>
                <w:szCs w:val="21"/>
              </w:rPr>
              <w:t>改进点</w:t>
            </w:r>
          </w:p>
        </w:tc>
        <w:tc>
          <w:tcPr>
            <w:tcW w:w="2082" w:type="dxa"/>
            <w:tcBorders>
              <w:top w:val="single" w:color="auto" w:sz="12" w:space="0"/>
              <w:bottom w:val="single" w:color="auto" w:sz="2" w:space="0"/>
            </w:tcBorders>
            <w:shd w:val="clear" w:color="auto" w:fill="757070"/>
            <w:noWrap/>
            <w:vAlign w:val="center"/>
          </w:tcPr>
          <w:p w14:paraId="0175EF24">
            <w:pPr>
              <w:jc w:val="center"/>
              <w:rPr>
                <w:rFonts w:ascii="宋体" w:hAnsi="宋体"/>
                <w:b/>
                <w:bCs/>
                <w:kern w:val="2"/>
                <w:szCs w:val="21"/>
              </w:rPr>
            </w:pPr>
            <w:r>
              <w:rPr>
                <w:rFonts w:hint="eastAsia" w:ascii="宋体" w:hAnsi="宋体"/>
                <w:b/>
                <w:bCs/>
                <w:kern w:val="2"/>
                <w:szCs w:val="21"/>
              </w:rPr>
              <w:t>具体措施</w:t>
            </w:r>
          </w:p>
        </w:tc>
        <w:tc>
          <w:tcPr>
            <w:tcW w:w="2126" w:type="dxa"/>
            <w:tcBorders>
              <w:top w:val="single" w:color="auto" w:sz="12" w:space="0"/>
              <w:bottom w:val="single" w:color="auto" w:sz="2" w:space="0"/>
            </w:tcBorders>
            <w:shd w:val="clear" w:color="auto" w:fill="757070"/>
            <w:noWrap/>
            <w:vAlign w:val="center"/>
          </w:tcPr>
          <w:p w14:paraId="2463E78C">
            <w:pPr>
              <w:jc w:val="center"/>
              <w:rPr>
                <w:rFonts w:ascii="宋体" w:hAnsi="宋体"/>
                <w:b/>
                <w:bCs/>
                <w:kern w:val="2"/>
                <w:szCs w:val="21"/>
              </w:rPr>
            </w:pPr>
            <w:r>
              <w:rPr>
                <w:rFonts w:hint="eastAsia" w:ascii="宋体" w:hAnsi="宋体"/>
                <w:b/>
                <w:bCs/>
                <w:kern w:val="2"/>
                <w:szCs w:val="21"/>
              </w:rPr>
              <w:t>目的</w:t>
            </w:r>
          </w:p>
        </w:tc>
        <w:tc>
          <w:tcPr>
            <w:tcW w:w="2833" w:type="dxa"/>
            <w:tcBorders>
              <w:top w:val="single" w:color="auto" w:sz="12" w:space="0"/>
              <w:bottom w:val="single" w:color="auto" w:sz="2" w:space="0"/>
            </w:tcBorders>
            <w:shd w:val="clear" w:color="auto" w:fill="757070"/>
            <w:noWrap/>
            <w:vAlign w:val="center"/>
          </w:tcPr>
          <w:p w14:paraId="27B6AF2E">
            <w:pPr>
              <w:jc w:val="center"/>
              <w:rPr>
                <w:rFonts w:ascii="宋体" w:hAnsi="宋体"/>
                <w:b/>
                <w:bCs/>
                <w:kern w:val="2"/>
                <w:szCs w:val="21"/>
              </w:rPr>
            </w:pPr>
            <w:r>
              <w:rPr>
                <w:rFonts w:hint="eastAsia" w:ascii="宋体" w:hAnsi="宋体"/>
                <w:b/>
                <w:bCs/>
                <w:kern w:val="2"/>
                <w:szCs w:val="21"/>
              </w:rPr>
              <w:t>应用情况</w:t>
            </w:r>
          </w:p>
        </w:tc>
      </w:tr>
      <w:tr w14:paraId="18A436B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c>
          <w:tcPr>
            <w:tcW w:w="1708" w:type="dxa"/>
            <w:tcBorders>
              <w:top w:val="single" w:color="auto" w:sz="2" w:space="0"/>
            </w:tcBorders>
            <w:noWrap/>
            <w:vAlign w:val="center"/>
          </w:tcPr>
          <w:p w14:paraId="7B783EAC">
            <w:pPr>
              <w:rPr>
                <w:rFonts w:ascii="宋体" w:hAnsi="宋体"/>
                <w:bCs/>
                <w:kern w:val="2"/>
                <w:szCs w:val="21"/>
              </w:rPr>
            </w:pPr>
            <w:r>
              <w:rPr>
                <w:rFonts w:hint="eastAsia" w:ascii="宋体" w:hAnsi="宋体"/>
                <w:bCs/>
                <w:kern w:val="2"/>
                <w:szCs w:val="21"/>
              </w:rPr>
              <w:t>扩大测量对象范围</w:t>
            </w:r>
          </w:p>
        </w:tc>
        <w:tc>
          <w:tcPr>
            <w:tcW w:w="2082" w:type="dxa"/>
            <w:tcBorders>
              <w:top w:val="single" w:color="auto" w:sz="2" w:space="0"/>
            </w:tcBorders>
            <w:noWrap/>
            <w:vAlign w:val="center"/>
          </w:tcPr>
          <w:p w14:paraId="4F093B9A">
            <w:pPr>
              <w:rPr>
                <w:rFonts w:ascii="宋体" w:hAnsi="宋体"/>
                <w:kern w:val="2"/>
                <w:szCs w:val="21"/>
              </w:rPr>
            </w:pPr>
            <w:r>
              <w:rPr>
                <w:rFonts w:hint="eastAsia" w:ascii="宋体" w:hAnsi="宋体"/>
                <w:kern w:val="2"/>
                <w:szCs w:val="21"/>
              </w:rPr>
              <w:t>增加最终顾客调查比例</w:t>
            </w:r>
          </w:p>
        </w:tc>
        <w:tc>
          <w:tcPr>
            <w:tcW w:w="2126" w:type="dxa"/>
            <w:tcBorders>
              <w:top w:val="single" w:color="auto" w:sz="2" w:space="0"/>
            </w:tcBorders>
            <w:noWrap/>
            <w:vAlign w:val="center"/>
          </w:tcPr>
          <w:p w14:paraId="30406B2C">
            <w:pPr>
              <w:rPr>
                <w:rFonts w:ascii="宋体" w:hAnsi="宋体"/>
                <w:kern w:val="2"/>
                <w:szCs w:val="21"/>
              </w:rPr>
            </w:pPr>
            <w:r>
              <w:rPr>
                <w:rFonts w:hint="eastAsia" w:ascii="宋体" w:hAnsi="宋体"/>
                <w:kern w:val="2"/>
                <w:szCs w:val="21"/>
              </w:rPr>
              <w:t>适应公司做大市场的发展战略</w:t>
            </w:r>
          </w:p>
        </w:tc>
        <w:tc>
          <w:tcPr>
            <w:tcW w:w="2833" w:type="dxa"/>
            <w:tcBorders>
              <w:top w:val="single" w:color="auto" w:sz="2" w:space="0"/>
            </w:tcBorders>
            <w:noWrap/>
            <w:vAlign w:val="center"/>
          </w:tcPr>
          <w:p w14:paraId="325C43DD">
            <w:pPr>
              <w:rPr>
                <w:rFonts w:ascii="宋体" w:hAnsi="宋体"/>
                <w:kern w:val="2"/>
                <w:szCs w:val="21"/>
              </w:rPr>
            </w:pPr>
            <w:r>
              <w:rPr>
                <w:rFonts w:hint="eastAsia" w:ascii="宋体" w:hAnsi="宋体"/>
                <w:kern w:val="2"/>
                <w:szCs w:val="21"/>
              </w:rPr>
              <w:t>识别出最终顾客的需求和期望</w:t>
            </w:r>
          </w:p>
        </w:tc>
      </w:tr>
      <w:tr w14:paraId="7B61EC0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028" w:hRule="atLeast"/>
        </w:trPr>
        <w:tc>
          <w:tcPr>
            <w:tcW w:w="1708" w:type="dxa"/>
            <w:noWrap/>
            <w:vAlign w:val="center"/>
          </w:tcPr>
          <w:p w14:paraId="6ED33A74">
            <w:pPr>
              <w:rPr>
                <w:rFonts w:ascii="宋体" w:hAnsi="宋体"/>
                <w:bCs/>
                <w:kern w:val="2"/>
                <w:szCs w:val="21"/>
              </w:rPr>
            </w:pPr>
            <w:r>
              <w:rPr>
                <w:rFonts w:hint="eastAsia" w:ascii="宋体" w:hAnsi="宋体"/>
                <w:bCs/>
                <w:kern w:val="2"/>
                <w:szCs w:val="21"/>
              </w:rPr>
              <w:t>调整测量重心</w:t>
            </w:r>
          </w:p>
        </w:tc>
        <w:tc>
          <w:tcPr>
            <w:tcW w:w="2082" w:type="dxa"/>
            <w:noWrap/>
            <w:vAlign w:val="center"/>
          </w:tcPr>
          <w:p w14:paraId="387674A5">
            <w:pPr>
              <w:rPr>
                <w:rFonts w:ascii="宋体" w:hAnsi="宋体"/>
                <w:kern w:val="2"/>
                <w:szCs w:val="21"/>
              </w:rPr>
            </w:pPr>
            <w:r>
              <w:rPr>
                <w:rFonts w:hint="eastAsia" w:ascii="宋体" w:hAnsi="宋体"/>
                <w:kern w:val="2"/>
                <w:szCs w:val="21"/>
              </w:rPr>
              <w:t>对一次性顾客不发调查表，仅通过交易过程测量</w:t>
            </w:r>
          </w:p>
        </w:tc>
        <w:tc>
          <w:tcPr>
            <w:tcW w:w="2126" w:type="dxa"/>
            <w:noWrap/>
            <w:vAlign w:val="center"/>
          </w:tcPr>
          <w:p w14:paraId="3365A533">
            <w:pPr>
              <w:rPr>
                <w:rFonts w:ascii="宋体" w:hAnsi="宋体"/>
                <w:kern w:val="2"/>
                <w:szCs w:val="21"/>
              </w:rPr>
            </w:pPr>
            <w:r>
              <w:rPr>
                <w:rFonts w:hint="eastAsia" w:ascii="宋体" w:hAnsi="宋体"/>
                <w:kern w:val="2"/>
                <w:szCs w:val="21"/>
              </w:rPr>
              <w:t>在顾客满意度测量中更多关注长期客户的感受</w:t>
            </w:r>
          </w:p>
        </w:tc>
        <w:tc>
          <w:tcPr>
            <w:tcW w:w="2833" w:type="dxa"/>
            <w:noWrap/>
            <w:vAlign w:val="center"/>
          </w:tcPr>
          <w:p w14:paraId="5D7F6566">
            <w:pPr>
              <w:rPr>
                <w:rFonts w:ascii="宋体" w:hAnsi="宋体"/>
                <w:kern w:val="2"/>
                <w:szCs w:val="21"/>
              </w:rPr>
            </w:pPr>
            <w:r>
              <w:rPr>
                <w:rFonts w:hint="eastAsia" w:ascii="宋体" w:hAnsi="宋体"/>
                <w:kern w:val="2"/>
                <w:szCs w:val="21"/>
              </w:rPr>
              <w:t>提高顾客满意调查效率，节约资源</w:t>
            </w:r>
          </w:p>
        </w:tc>
      </w:tr>
      <w:tr w14:paraId="1815DDC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c>
          <w:tcPr>
            <w:tcW w:w="1708" w:type="dxa"/>
            <w:noWrap/>
            <w:vAlign w:val="center"/>
          </w:tcPr>
          <w:p w14:paraId="76A86038">
            <w:pPr>
              <w:rPr>
                <w:rFonts w:ascii="宋体" w:hAnsi="宋体"/>
                <w:bCs/>
                <w:kern w:val="2"/>
                <w:szCs w:val="21"/>
              </w:rPr>
            </w:pPr>
            <w:r>
              <w:rPr>
                <w:rFonts w:hint="eastAsia" w:ascii="宋体" w:hAnsi="宋体"/>
                <w:bCs/>
                <w:kern w:val="2"/>
                <w:szCs w:val="21"/>
              </w:rPr>
              <w:t>开展竞争对手顾客满意的了解</w:t>
            </w:r>
          </w:p>
        </w:tc>
        <w:tc>
          <w:tcPr>
            <w:tcW w:w="2082" w:type="dxa"/>
            <w:noWrap/>
            <w:vAlign w:val="center"/>
          </w:tcPr>
          <w:p w14:paraId="34802D78">
            <w:pPr>
              <w:rPr>
                <w:rFonts w:ascii="宋体" w:hAnsi="宋体"/>
                <w:kern w:val="2"/>
                <w:szCs w:val="21"/>
              </w:rPr>
            </w:pPr>
            <w:r>
              <w:rPr>
                <w:rFonts w:hint="eastAsia" w:ascii="宋体" w:hAnsi="宋体"/>
                <w:kern w:val="2"/>
                <w:szCs w:val="21"/>
              </w:rPr>
              <w:t>在调查本公司顾客满意的同时，了解竞争对手的顾客满意度</w:t>
            </w:r>
          </w:p>
        </w:tc>
        <w:tc>
          <w:tcPr>
            <w:tcW w:w="2126" w:type="dxa"/>
            <w:noWrap/>
            <w:vAlign w:val="center"/>
          </w:tcPr>
          <w:p w14:paraId="345D2871">
            <w:pPr>
              <w:rPr>
                <w:rFonts w:ascii="宋体" w:hAnsi="宋体"/>
                <w:kern w:val="2"/>
                <w:szCs w:val="21"/>
              </w:rPr>
            </w:pPr>
            <w:r>
              <w:rPr>
                <w:rFonts w:hint="eastAsia" w:ascii="宋体" w:hAnsi="宋体"/>
                <w:kern w:val="2"/>
                <w:szCs w:val="21"/>
              </w:rPr>
              <w:t>了解本公司产品在市场中所处的地位，寻找改进空间</w:t>
            </w:r>
          </w:p>
        </w:tc>
        <w:tc>
          <w:tcPr>
            <w:tcW w:w="2833" w:type="dxa"/>
            <w:noWrap/>
            <w:vAlign w:val="center"/>
          </w:tcPr>
          <w:p w14:paraId="74E53457">
            <w:pPr>
              <w:rPr>
                <w:rFonts w:ascii="宋体" w:hAnsi="宋体"/>
                <w:kern w:val="2"/>
                <w:szCs w:val="21"/>
              </w:rPr>
            </w:pPr>
            <w:r>
              <w:rPr>
                <w:rFonts w:hint="eastAsia" w:ascii="宋体" w:hAnsi="宋体"/>
                <w:kern w:val="2"/>
                <w:szCs w:val="21"/>
              </w:rPr>
              <w:t>实行高品质战略和灵活定价测量，以超值的性价比赢得顾客，抵消竞争对手的优势</w:t>
            </w:r>
          </w:p>
        </w:tc>
      </w:tr>
      <w:tr w14:paraId="77240B0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1" w:hRule="atLeast"/>
        </w:trPr>
        <w:tc>
          <w:tcPr>
            <w:tcW w:w="1708" w:type="dxa"/>
            <w:noWrap/>
            <w:vAlign w:val="center"/>
          </w:tcPr>
          <w:p w14:paraId="19E9CBA0">
            <w:pPr>
              <w:rPr>
                <w:rFonts w:ascii="宋体" w:hAnsi="宋体"/>
                <w:bCs/>
                <w:kern w:val="2"/>
                <w:szCs w:val="21"/>
              </w:rPr>
            </w:pPr>
            <w:r>
              <w:rPr>
                <w:rFonts w:hint="eastAsia" w:ascii="宋体" w:hAnsi="宋体"/>
                <w:bCs/>
                <w:kern w:val="2"/>
                <w:szCs w:val="21"/>
              </w:rPr>
              <w:t>增加调查视角</w:t>
            </w:r>
          </w:p>
        </w:tc>
        <w:tc>
          <w:tcPr>
            <w:tcW w:w="2082" w:type="dxa"/>
            <w:noWrap/>
            <w:vAlign w:val="center"/>
          </w:tcPr>
          <w:p w14:paraId="393572AC">
            <w:pPr>
              <w:rPr>
                <w:rFonts w:ascii="宋体" w:hAnsi="宋体"/>
                <w:kern w:val="2"/>
                <w:szCs w:val="21"/>
              </w:rPr>
            </w:pPr>
            <w:r>
              <w:rPr>
                <w:rFonts w:hint="eastAsia" w:ascii="宋体" w:hAnsi="宋体"/>
                <w:kern w:val="2"/>
                <w:szCs w:val="21"/>
              </w:rPr>
              <w:t>顾客满意度调查</w:t>
            </w:r>
          </w:p>
        </w:tc>
        <w:tc>
          <w:tcPr>
            <w:tcW w:w="2126" w:type="dxa"/>
            <w:noWrap/>
            <w:vAlign w:val="center"/>
          </w:tcPr>
          <w:p w14:paraId="527CF724">
            <w:pPr>
              <w:rPr>
                <w:rFonts w:ascii="宋体" w:hAnsi="宋体"/>
                <w:kern w:val="2"/>
                <w:szCs w:val="21"/>
              </w:rPr>
            </w:pPr>
            <w:r>
              <w:rPr>
                <w:rFonts w:hint="eastAsia" w:ascii="宋体" w:hAnsi="宋体"/>
                <w:kern w:val="2"/>
                <w:szCs w:val="21"/>
              </w:rPr>
              <w:t>确保调查结果的客观性准确性</w:t>
            </w:r>
          </w:p>
        </w:tc>
        <w:tc>
          <w:tcPr>
            <w:tcW w:w="2833" w:type="dxa"/>
            <w:noWrap/>
            <w:vAlign w:val="center"/>
          </w:tcPr>
          <w:p w14:paraId="1F2204EF">
            <w:pPr>
              <w:rPr>
                <w:rFonts w:ascii="宋体" w:hAnsi="宋体"/>
                <w:kern w:val="2"/>
                <w:szCs w:val="21"/>
              </w:rPr>
            </w:pPr>
            <w:r>
              <w:rPr>
                <w:rFonts w:hint="eastAsia" w:ascii="宋体" w:hAnsi="宋体"/>
                <w:kern w:val="2"/>
                <w:szCs w:val="21"/>
              </w:rPr>
              <w:t>客观审视产品质量和价格满足顾客的程度，持续改进服务</w:t>
            </w:r>
          </w:p>
        </w:tc>
      </w:tr>
    </w:tbl>
    <w:p w14:paraId="3CC81350">
      <w:pPr>
        <w:pStyle w:val="42"/>
        <w:ind w:firstLine="0" w:firstLineChars="0"/>
        <w:sectPr>
          <w:pgSz w:w="11906" w:h="16838"/>
          <w:pgMar w:top="1440" w:right="1466" w:bottom="1440" w:left="1800" w:header="851" w:footer="992" w:gutter="0"/>
          <w:cols w:space="720" w:num="1"/>
          <w:docGrid w:type="lines" w:linePitch="312" w:charSpace="0"/>
        </w:sectPr>
      </w:pPr>
    </w:p>
    <w:p w14:paraId="6299C2FF">
      <w:pPr>
        <w:pStyle w:val="3"/>
        <w:jc w:val="center"/>
      </w:pPr>
      <w:bookmarkStart w:id="35" w:name="_Toc99720424"/>
      <w:r>
        <w:t>4.4</w:t>
      </w:r>
      <w:r>
        <w:rPr>
          <w:rFonts w:hint="eastAsia"/>
        </w:rPr>
        <w:t>资源</w:t>
      </w:r>
      <w:bookmarkEnd w:id="35"/>
      <w:bookmarkStart w:id="36" w:name="_Toc401871380"/>
      <w:bookmarkStart w:id="37" w:name="_Toc339617471"/>
    </w:p>
    <w:bookmarkEnd w:id="36"/>
    <w:bookmarkEnd w:id="37"/>
    <w:p w14:paraId="3FDA8FCC">
      <w:pPr>
        <w:pStyle w:val="32"/>
        <w:spacing w:before="312" w:beforeLines="100" w:after="156" w:afterLines="50" w:line="460" w:lineRule="exact"/>
        <w:rPr>
          <w:rFonts w:ascii="Times New Roman" w:eastAsia="宋体"/>
        </w:rPr>
      </w:pPr>
      <w:bookmarkStart w:id="38" w:name="_Toc99720425"/>
      <w:bookmarkStart w:id="39" w:name="_Toc339617472"/>
      <w:bookmarkStart w:id="40" w:name="_Toc401871381"/>
      <w:r>
        <w:rPr>
          <w:rFonts w:hint="eastAsia" w:ascii="Times New Roman" w:eastAsia="宋体"/>
        </w:rPr>
        <w:t>4.4.1总则</w:t>
      </w:r>
      <w:bookmarkEnd w:id="38"/>
    </w:p>
    <w:p w14:paraId="3ECB52CF">
      <w:pPr>
        <w:spacing w:line="460" w:lineRule="exact"/>
        <w:ind w:firstLine="480" w:firstLineChars="200"/>
        <w:rPr>
          <w:szCs w:val="32"/>
        </w:rPr>
      </w:pPr>
      <w:r>
        <w:rPr>
          <w:rFonts w:hint="eastAsia"/>
          <w:szCs w:val="32"/>
        </w:rPr>
        <w:t>公司制定的五年发展规划，明确了公司的长短期发展方向。为确保公司战略规划和目标的实现，公司根据所确定的价值创造过程和支持过程，合理调配各种资源。公司紧密围绕战略规划，配置和管理人力、财务、基础设施、信息、技术、相关方等资源，为公司运营过程的高效实施和战略目标的实现提供保障。</w:t>
      </w:r>
    </w:p>
    <w:p w14:paraId="1934B6E7">
      <w:pPr>
        <w:pStyle w:val="4"/>
      </w:pPr>
      <w:bookmarkStart w:id="41" w:name="_Toc99720426"/>
      <w:r>
        <w:t>4.4.</w:t>
      </w:r>
      <w:r>
        <w:rPr>
          <w:rFonts w:hint="eastAsia"/>
        </w:rPr>
        <w:t>2人力资源</w:t>
      </w:r>
      <w:bookmarkEnd w:id="39"/>
      <w:bookmarkEnd w:id="40"/>
      <w:bookmarkEnd w:id="41"/>
    </w:p>
    <w:p w14:paraId="16597E62">
      <w:pPr>
        <w:autoSpaceDE w:val="0"/>
        <w:autoSpaceDN w:val="0"/>
        <w:adjustRightInd w:val="0"/>
        <w:spacing w:line="360" w:lineRule="auto"/>
        <w:ind w:firstLine="480" w:firstLineChars="200"/>
        <w:rPr>
          <w:rFonts w:ascii="宋体" w:hAnsi="宋体"/>
          <w:szCs w:val="32"/>
        </w:rPr>
      </w:pPr>
      <w:r>
        <w:rPr>
          <w:rFonts w:hint="eastAsia" w:ascii="宋体" w:hAnsi="宋体"/>
          <w:szCs w:val="32"/>
        </w:rPr>
        <w:t>对职位设置与管理，公司坚持科学的“以事定岗，以岗定人”的原则，实行动态职务分析与动态定员法，灵活调整职位设置与人员配置。目前已建立了《人力资源控制程序》，明确了各层次的职能、职责、任职资格、工作权限划分及组织关系，促进组织的授权。</w:t>
      </w:r>
    </w:p>
    <w:p w14:paraId="02522D81">
      <w:pPr>
        <w:pStyle w:val="36"/>
        <w:spacing w:line="400" w:lineRule="exact"/>
        <w:ind w:firstLine="0" w:firstLineChars="0"/>
        <w:jc w:val="center"/>
        <w:rPr>
          <w:rFonts w:ascii="黑体" w:hAnsi="黑体" w:eastAsia="黑体"/>
          <w:b/>
          <w:bCs/>
          <w:color w:val="auto"/>
          <w:sz w:val="21"/>
          <w:szCs w:val="21"/>
        </w:rPr>
      </w:pPr>
      <w:r>
        <w:rPr>
          <w:rFonts w:hint="eastAsia" w:ascii="黑体" w:hAnsi="黑体" w:eastAsia="黑体"/>
          <w:b/>
          <w:bCs/>
          <w:color w:val="auto"/>
          <w:sz w:val="21"/>
          <w:szCs w:val="21"/>
        </w:rPr>
        <w:t>图4.4.2-1 人力资源管理系统</w:t>
      </w:r>
    </w:p>
    <w:p w14:paraId="25A84E4F">
      <w:pPr>
        <w:autoSpaceDE w:val="0"/>
        <w:autoSpaceDN w:val="0"/>
        <w:adjustRightInd w:val="0"/>
        <w:spacing w:line="360" w:lineRule="auto"/>
        <w:jc w:val="center"/>
        <w:rPr>
          <w:rFonts w:ascii="宋体" w:hAnsi="宋体"/>
        </w:rPr>
      </w:pPr>
      <w:r>
        <w:rPr>
          <w:rFonts w:ascii="宋体" w:hAnsi="宋体"/>
        </w:rPr>
        <w:drawing>
          <wp:inline distT="0" distB="0" distL="114300" distR="114300">
            <wp:extent cx="6096000" cy="3590925"/>
            <wp:effectExtent l="0" t="0" r="0" b="0"/>
            <wp:docPr id="9" name="图片 9" descr="杨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杨2"/>
                    <pic:cNvPicPr>
                      <a:picLocks noChangeAspect="1"/>
                    </pic:cNvPicPr>
                  </pic:nvPicPr>
                  <pic:blipFill>
                    <a:blip r:embed="rId19"/>
                    <a:srcRect t="53485"/>
                    <a:stretch>
                      <a:fillRect/>
                    </a:stretch>
                  </pic:blipFill>
                  <pic:spPr>
                    <a:xfrm>
                      <a:off x="0" y="0"/>
                      <a:ext cx="6096000" cy="3590925"/>
                    </a:xfrm>
                    <a:prstGeom prst="rect">
                      <a:avLst/>
                    </a:prstGeom>
                    <a:noFill/>
                    <a:ln>
                      <a:noFill/>
                    </a:ln>
                  </pic:spPr>
                </pic:pic>
              </a:graphicData>
            </a:graphic>
          </wp:inline>
        </w:drawing>
      </w:r>
    </w:p>
    <w:p w14:paraId="44D0F921">
      <w:pPr>
        <w:autoSpaceDE w:val="0"/>
        <w:autoSpaceDN w:val="0"/>
        <w:adjustRightInd w:val="0"/>
        <w:spacing w:line="360" w:lineRule="auto"/>
        <w:jc w:val="center"/>
        <w:rPr>
          <w:rFonts w:ascii="宋体" w:hAnsi="宋体"/>
        </w:rPr>
      </w:pPr>
    </w:p>
    <w:p w14:paraId="1FF23BF6">
      <w:pPr>
        <w:autoSpaceDE w:val="0"/>
        <w:autoSpaceDN w:val="0"/>
        <w:adjustRightInd w:val="0"/>
        <w:spacing w:line="360" w:lineRule="auto"/>
        <w:jc w:val="center"/>
        <w:rPr>
          <w:rFonts w:ascii="宋体" w:hAnsi="宋体"/>
        </w:rPr>
      </w:pPr>
    </w:p>
    <w:p w14:paraId="2AF2FF18">
      <w:pPr>
        <w:autoSpaceDE w:val="0"/>
        <w:autoSpaceDN w:val="0"/>
        <w:adjustRightInd w:val="0"/>
        <w:spacing w:line="360" w:lineRule="auto"/>
        <w:jc w:val="center"/>
        <w:rPr>
          <w:rFonts w:ascii="宋体" w:hAnsi="宋体"/>
        </w:rPr>
      </w:pPr>
    </w:p>
    <w:p w14:paraId="4731146F">
      <w:pPr>
        <w:autoSpaceDE w:val="0"/>
        <w:autoSpaceDN w:val="0"/>
        <w:adjustRightInd w:val="0"/>
        <w:spacing w:line="360" w:lineRule="auto"/>
        <w:jc w:val="center"/>
        <w:rPr>
          <w:rFonts w:ascii="宋体" w:hAnsi="宋体"/>
        </w:rPr>
      </w:pPr>
    </w:p>
    <w:p w14:paraId="40E9C290">
      <w:pPr>
        <w:pStyle w:val="5"/>
        <w:spacing w:before="0" w:after="0" w:line="360" w:lineRule="auto"/>
      </w:pPr>
      <w:r>
        <w:rPr>
          <w:rFonts w:hint="eastAsia"/>
        </w:rPr>
        <w:t>4.4.</w:t>
      </w:r>
      <w:r>
        <w:t>2.</w:t>
      </w:r>
      <w:r>
        <w:rPr>
          <w:rFonts w:hint="eastAsia"/>
        </w:rPr>
        <w:t>1</w:t>
      </w:r>
      <w:r>
        <w:rPr>
          <w:rFonts w:hint="eastAsia" w:ascii="Times New Roman" w:hAnsi="Times New Roman"/>
        </w:rPr>
        <w:t>工作的组织与管理</w:t>
      </w:r>
    </w:p>
    <w:p w14:paraId="62D9D8CA">
      <w:pPr>
        <w:pStyle w:val="6"/>
        <w:rPr>
          <w:sz w:val="24"/>
          <w:szCs w:val="24"/>
        </w:rPr>
      </w:pPr>
      <w:r>
        <w:rPr>
          <w:rFonts w:hint="eastAsia"/>
          <w:sz w:val="24"/>
          <w:szCs w:val="24"/>
        </w:rPr>
        <w:t>4.4.2.1.1工作和职位的组织、管理</w:t>
      </w:r>
    </w:p>
    <w:p w14:paraId="5A5EAC5A">
      <w:pPr>
        <w:spacing w:line="460" w:lineRule="exact"/>
        <w:rPr>
          <w:rFonts w:ascii="宋体" w:hAnsi="宋体"/>
          <w:szCs w:val="32"/>
        </w:rPr>
      </w:pPr>
      <w:r>
        <w:rPr>
          <w:rFonts w:hint="eastAsia" w:ascii="宋体" w:hAnsi="宋体"/>
          <w:szCs w:val="32"/>
        </w:rPr>
        <w:t xml:space="preserve">    公司构建了扁平化的组织结构，合理减少管理层次，缩短纵向沟通距离，提高工作效率。在横向，公司设立了责任链机制即每个岗位要承担本职工作100%的责任，又要承担上游岗位工作30%的责任，岗位责任环环相扣，促进上下工序员工之间的沟通与合作，最大限度提高组织的运作效率。</w:t>
      </w:r>
    </w:p>
    <w:p w14:paraId="7D06D2E8">
      <w:pPr>
        <w:pStyle w:val="36"/>
        <w:spacing w:line="360" w:lineRule="auto"/>
        <w:ind w:firstLine="0" w:firstLineChars="0"/>
        <w:jc w:val="center"/>
        <w:rPr>
          <w:rFonts w:ascii="黑体" w:hAnsi="黑体" w:eastAsia="黑体"/>
          <w:b/>
          <w:bCs/>
          <w:color w:val="auto"/>
          <w:sz w:val="21"/>
          <w:szCs w:val="21"/>
        </w:rPr>
      </w:pPr>
      <w:r>
        <w:rPr>
          <w:rFonts w:hint="eastAsia" w:ascii="黑体" w:hAnsi="黑体" w:eastAsia="黑体"/>
          <w:b/>
          <w:bCs/>
          <w:color w:val="auto"/>
          <w:sz w:val="21"/>
          <w:szCs w:val="21"/>
        </w:rPr>
        <w:t>图4.4.2-2 组织架构图</w:t>
      </w:r>
    </w:p>
    <w:p w14:paraId="09D602CC">
      <w:pPr>
        <w:autoSpaceDE w:val="0"/>
        <w:autoSpaceDN w:val="0"/>
        <w:adjustRightInd w:val="0"/>
        <w:spacing w:line="360" w:lineRule="auto"/>
        <w:jc w:val="center"/>
        <w:rPr>
          <w:rFonts w:ascii="宋体" w:hAnsi="宋体"/>
          <w:szCs w:val="32"/>
        </w:rPr>
      </w:pPr>
      <w:r>
        <w:drawing>
          <wp:inline distT="0" distB="0" distL="114300" distR="114300">
            <wp:extent cx="5943600" cy="1779905"/>
            <wp:effectExtent l="0" t="0" r="0" b="10795"/>
            <wp:docPr id="3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5"/>
                    <pic:cNvPicPr>
                      <a:picLocks noChangeAspect="1"/>
                    </pic:cNvPicPr>
                  </pic:nvPicPr>
                  <pic:blipFill>
                    <a:blip r:embed="rId20"/>
                    <a:stretch>
                      <a:fillRect/>
                    </a:stretch>
                  </pic:blipFill>
                  <pic:spPr>
                    <a:xfrm>
                      <a:off x="0" y="0"/>
                      <a:ext cx="5943600" cy="1779905"/>
                    </a:xfrm>
                    <a:prstGeom prst="rect">
                      <a:avLst/>
                    </a:prstGeom>
                    <a:noFill/>
                    <a:ln>
                      <a:noFill/>
                    </a:ln>
                  </pic:spPr>
                </pic:pic>
              </a:graphicData>
            </a:graphic>
          </wp:inline>
        </w:drawing>
      </w:r>
    </w:p>
    <w:p w14:paraId="723610F7">
      <w:pPr>
        <w:pStyle w:val="6"/>
        <w:spacing w:before="156" w:beforeLines="50" w:line="360" w:lineRule="auto"/>
        <w:rPr>
          <w:sz w:val="24"/>
          <w:szCs w:val="24"/>
        </w:rPr>
      </w:pPr>
      <w:r>
        <w:rPr>
          <w:rFonts w:hint="eastAsia"/>
          <w:sz w:val="24"/>
          <w:szCs w:val="24"/>
        </w:rPr>
        <w:t>4.4.2.1.2.确定员工类型和数量需求</w:t>
      </w:r>
    </w:p>
    <w:p w14:paraId="1F35D12A">
      <w:pPr>
        <w:pStyle w:val="39"/>
        <w:spacing w:before="312" w:beforeLines="100" w:beforeAutospacing="0" w:after="0" w:afterAutospacing="0" w:line="360" w:lineRule="auto"/>
        <w:rPr>
          <w:rFonts w:hint="default"/>
          <w:kern w:val="2"/>
          <w:szCs w:val="24"/>
        </w:rPr>
      </w:pPr>
      <w:r>
        <w:rPr>
          <w:kern w:val="2"/>
          <w:szCs w:val="24"/>
        </w:rPr>
        <w:t>公司用人部门提出需求计划，行政部根据人力资源规划以及研究评估岗位空缺情况之后经过审批，与用人部门沟通起草招聘要求。对于不同的招聘对象，公司采取不同的招聘渠道，尽最大可能的招募到符合企业发展、具备企业要求能力的人才。</w:t>
      </w:r>
    </w:p>
    <w:p w14:paraId="5D7864E3">
      <w:pPr>
        <w:pStyle w:val="6"/>
        <w:rPr>
          <w:rFonts w:cs="宋体"/>
          <w:bCs/>
          <w:sz w:val="24"/>
          <w:szCs w:val="24"/>
        </w:rPr>
      </w:pPr>
      <w:r>
        <w:rPr>
          <w:rFonts w:hint="eastAsia"/>
          <w:sz w:val="24"/>
          <w:szCs w:val="24"/>
        </w:rPr>
        <w:t>4.4.2.1.3多渠道沟通，合理采纳员工建议</w:t>
      </w:r>
    </w:p>
    <w:p w14:paraId="6EC33DFD">
      <w:pPr>
        <w:autoSpaceDE w:val="0"/>
        <w:autoSpaceDN w:val="0"/>
        <w:adjustRightInd w:val="0"/>
        <w:spacing w:line="360" w:lineRule="auto"/>
        <w:ind w:firstLine="480" w:firstLineChars="200"/>
        <w:rPr>
          <w:rFonts w:ascii="宋体" w:hAnsi="宋体"/>
          <w:szCs w:val="32"/>
        </w:rPr>
      </w:pPr>
      <w:r>
        <w:rPr>
          <w:rFonts w:hint="eastAsia" w:ascii="宋体" w:hAnsi="宋体"/>
          <w:szCs w:val="32"/>
        </w:rPr>
        <w:t>公司强调领导、员工、合作伙伴之间的双向沟通，建立具有</w:t>
      </w:r>
      <w:r>
        <w:rPr>
          <w:rFonts w:hint="eastAsia" w:ascii="宋体" w:hAnsi="宋体"/>
          <w:szCs w:val="32"/>
          <w:lang w:eastAsia="zh-CN"/>
        </w:rPr>
        <w:t>中凯涂料</w:t>
      </w:r>
      <w:r>
        <w:rPr>
          <w:rFonts w:hint="eastAsia" w:ascii="宋体" w:hAnsi="宋体"/>
          <w:szCs w:val="32"/>
        </w:rPr>
        <w:t>特色的多种沟通方式，积极听取各种意见和建议，并制订了《信息交流控制程序》，对被采纳的意见或建议，给予奖励。</w:t>
      </w:r>
    </w:p>
    <w:p w14:paraId="532E17D5">
      <w:pPr>
        <w:autoSpaceDE w:val="0"/>
        <w:autoSpaceDN w:val="0"/>
        <w:adjustRightInd w:val="0"/>
        <w:spacing w:line="360" w:lineRule="auto"/>
        <w:ind w:firstLine="480" w:firstLineChars="200"/>
        <w:rPr>
          <w:rFonts w:ascii="宋体" w:hAnsi="宋体"/>
          <w:szCs w:val="32"/>
        </w:rPr>
      </w:pPr>
      <w:r>
        <w:rPr>
          <w:rFonts w:hint="eastAsia" w:ascii="宋体" w:hAnsi="宋体"/>
          <w:szCs w:val="32"/>
        </w:rPr>
        <w:t>① 公司总经理班子巡视制：对各单位每月进行一次巡视，认真听取各部门在工作中存在的难点、疑点问题及建议，经班子评审后，在规定时间内提出解决措施，提高公司管理效率。</w:t>
      </w:r>
    </w:p>
    <w:p w14:paraId="2A552936">
      <w:pPr>
        <w:autoSpaceDE w:val="0"/>
        <w:autoSpaceDN w:val="0"/>
        <w:adjustRightInd w:val="0"/>
        <w:spacing w:line="360" w:lineRule="auto"/>
        <w:ind w:firstLine="480" w:firstLineChars="200"/>
        <w:rPr>
          <w:rFonts w:ascii="宋体" w:hAnsi="宋体"/>
          <w:szCs w:val="32"/>
        </w:rPr>
      </w:pPr>
      <w:r>
        <w:rPr>
          <w:rFonts w:hint="eastAsia" w:ascii="宋体" w:hAnsi="宋体"/>
          <w:szCs w:val="32"/>
        </w:rPr>
        <w:t>② 绩效面谈：上级对下级下达工作任务时，通过与员工面谈，听取员工的合理建议，共同制订下级的绩效目标、任务与计划。实施过程中，上级对工作实施情况进行检查与面对面的沟通，了解工作进度，听取下属意见，提供支持；工作结束，对绩效验收，与下属面谈沟通，提出持续改进措施和方向。</w:t>
      </w:r>
    </w:p>
    <w:p w14:paraId="201AC680">
      <w:pPr>
        <w:autoSpaceDE w:val="0"/>
        <w:autoSpaceDN w:val="0"/>
        <w:adjustRightInd w:val="0"/>
        <w:spacing w:line="360" w:lineRule="auto"/>
        <w:ind w:firstLine="480" w:firstLineChars="200"/>
        <w:rPr>
          <w:rFonts w:ascii="黑体" w:hAnsi="黑体" w:eastAsia="黑体"/>
          <w:b/>
          <w:bCs/>
          <w:sz w:val="21"/>
          <w:szCs w:val="21"/>
        </w:rPr>
      </w:pPr>
      <w:r>
        <w:rPr>
          <w:rFonts w:hint="eastAsia" w:ascii="宋体" w:hAnsi="宋体"/>
          <w:szCs w:val="32"/>
        </w:rPr>
        <w:t>除此外，公司还有很多其它听取和采纳员工建议的渠道，见表 4.4.2-2。</w:t>
      </w:r>
    </w:p>
    <w:p w14:paraId="3E3DD3B9">
      <w:pPr>
        <w:pStyle w:val="36"/>
        <w:spacing w:line="360" w:lineRule="auto"/>
        <w:ind w:firstLine="0" w:firstLineChars="0"/>
        <w:jc w:val="center"/>
        <w:rPr>
          <w:rFonts w:ascii="黑体" w:hAnsi="黑体" w:eastAsia="黑体"/>
          <w:b/>
          <w:bCs/>
          <w:color w:val="auto"/>
          <w:sz w:val="21"/>
          <w:szCs w:val="21"/>
        </w:rPr>
      </w:pPr>
      <w:r>
        <w:rPr>
          <w:rFonts w:ascii="黑体" w:hAnsi="黑体" w:eastAsia="黑体"/>
          <w:b/>
          <w:bCs/>
          <w:color w:val="auto"/>
          <w:sz w:val="21"/>
          <w:szCs w:val="21"/>
        </w:rPr>
        <w:t>表4.4.2-</w:t>
      </w:r>
      <w:r>
        <w:rPr>
          <w:rFonts w:hint="eastAsia" w:ascii="黑体" w:hAnsi="黑体" w:eastAsia="黑体"/>
          <w:b/>
          <w:bCs/>
          <w:color w:val="auto"/>
          <w:sz w:val="21"/>
          <w:szCs w:val="21"/>
        </w:rPr>
        <w:t>2听取和采纳员工、顾客意见和建议渠道</w:t>
      </w:r>
    </w:p>
    <w:tbl>
      <w:tblPr>
        <w:tblStyle w:val="22"/>
        <w:tblW w:w="87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5"/>
        <w:gridCol w:w="1160"/>
        <w:gridCol w:w="2809"/>
        <w:gridCol w:w="1636"/>
        <w:gridCol w:w="2019"/>
      </w:tblGrid>
      <w:tr w14:paraId="2453D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45" w:type="dxa"/>
            <w:tcBorders>
              <w:top w:val="double" w:color="auto" w:sz="4" w:space="0"/>
              <w:left w:val="double" w:color="auto" w:sz="4" w:space="0"/>
            </w:tcBorders>
            <w:shd w:val="clear" w:color="auto" w:fill="938953"/>
            <w:vAlign w:val="center"/>
          </w:tcPr>
          <w:p w14:paraId="64F03506">
            <w:pPr>
              <w:pStyle w:val="31"/>
              <w:widowControl w:val="0"/>
              <w:rPr>
                <w:rFonts w:ascii="宋体" w:hAnsi="宋体" w:eastAsia="宋体"/>
                <w:b/>
                <w:color w:val="FFFFFF"/>
                <w:kern w:val="2"/>
              </w:rPr>
            </w:pPr>
            <w:r>
              <w:rPr>
                <w:rFonts w:hint="eastAsia" w:ascii="宋体" w:hAnsi="宋体" w:eastAsia="宋体"/>
                <w:b/>
                <w:color w:val="FFFFFF"/>
                <w:kern w:val="2"/>
              </w:rPr>
              <w:t>分类</w:t>
            </w:r>
          </w:p>
        </w:tc>
        <w:tc>
          <w:tcPr>
            <w:tcW w:w="1160" w:type="dxa"/>
            <w:tcBorders>
              <w:top w:val="double" w:color="auto" w:sz="4" w:space="0"/>
            </w:tcBorders>
            <w:shd w:val="clear" w:color="auto" w:fill="938953"/>
            <w:vAlign w:val="center"/>
          </w:tcPr>
          <w:p w14:paraId="6E2F18B2">
            <w:pPr>
              <w:pStyle w:val="31"/>
              <w:widowControl w:val="0"/>
              <w:rPr>
                <w:rFonts w:ascii="宋体" w:hAnsi="宋体" w:eastAsia="宋体"/>
                <w:b/>
                <w:color w:val="FFFFFF"/>
                <w:kern w:val="2"/>
              </w:rPr>
            </w:pPr>
            <w:r>
              <w:rPr>
                <w:rFonts w:hint="eastAsia" w:ascii="宋体" w:hAnsi="宋体" w:eastAsia="宋体"/>
                <w:b/>
                <w:color w:val="FFFFFF"/>
                <w:kern w:val="2"/>
              </w:rPr>
              <w:t>对象</w:t>
            </w:r>
          </w:p>
        </w:tc>
        <w:tc>
          <w:tcPr>
            <w:tcW w:w="2809" w:type="dxa"/>
            <w:tcBorders>
              <w:top w:val="double" w:color="auto" w:sz="4" w:space="0"/>
            </w:tcBorders>
            <w:shd w:val="clear" w:color="auto" w:fill="938953"/>
            <w:vAlign w:val="center"/>
          </w:tcPr>
          <w:p w14:paraId="1FD345A0">
            <w:pPr>
              <w:pStyle w:val="31"/>
              <w:widowControl w:val="0"/>
              <w:rPr>
                <w:rFonts w:ascii="宋体" w:hAnsi="宋体" w:eastAsia="宋体"/>
                <w:b/>
                <w:color w:val="FFFFFF"/>
                <w:kern w:val="2"/>
              </w:rPr>
            </w:pPr>
            <w:r>
              <w:rPr>
                <w:rFonts w:hint="eastAsia" w:ascii="宋体" w:hAnsi="宋体" w:eastAsia="宋体"/>
                <w:b/>
                <w:color w:val="FFFFFF"/>
                <w:kern w:val="2"/>
              </w:rPr>
              <w:t>渠道</w:t>
            </w:r>
          </w:p>
        </w:tc>
        <w:tc>
          <w:tcPr>
            <w:tcW w:w="1636" w:type="dxa"/>
            <w:tcBorders>
              <w:top w:val="double" w:color="auto" w:sz="4" w:space="0"/>
            </w:tcBorders>
            <w:shd w:val="clear" w:color="auto" w:fill="938953"/>
            <w:vAlign w:val="center"/>
          </w:tcPr>
          <w:p w14:paraId="0722C067">
            <w:pPr>
              <w:pStyle w:val="31"/>
              <w:widowControl w:val="0"/>
              <w:rPr>
                <w:rFonts w:ascii="宋体" w:hAnsi="宋体" w:eastAsia="宋体"/>
                <w:b/>
                <w:color w:val="FFFFFF"/>
                <w:kern w:val="2"/>
              </w:rPr>
            </w:pPr>
            <w:r>
              <w:rPr>
                <w:rFonts w:hint="eastAsia" w:ascii="宋体" w:hAnsi="宋体" w:eastAsia="宋体"/>
                <w:b/>
                <w:color w:val="FFFFFF"/>
                <w:kern w:val="2"/>
              </w:rPr>
              <w:t>责任单位</w:t>
            </w:r>
          </w:p>
        </w:tc>
        <w:tc>
          <w:tcPr>
            <w:tcW w:w="2019" w:type="dxa"/>
            <w:tcBorders>
              <w:top w:val="double" w:color="auto" w:sz="4" w:space="0"/>
              <w:right w:val="double" w:color="auto" w:sz="4" w:space="0"/>
            </w:tcBorders>
            <w:shd w:val="clear" w:color="auto" w:fill="938953"/>
            <w:vAlign w:val="center"/>
          </w:tcPr>
          <w:p w14:paraId="5B3BE883">
            <w:pPr>
              <w:pStyle w:val="31"/>
              <w:widowControl w:val="0"/>
              <w:rPr>
                <w:rFonts w:ascii="宋体" w:hAnsi="宋体" w:eastAsia="宋体"/>
                <w:b/>
                <w:color w:val="FFFFFF"/>
                <w:kern w:val="2"/>
              </w:rPr>
            </w:pPr>
            <w:r>
              <w:rPr>
                <w:rFonts w:hint="eastAsia" w:ascii="宋体" w:hAnsi="宋体" w:eastAsia="宋体"/>
                <w:b/>
                <w:color w:val="FFFFFF"/>
                <w:kern w:val="2"/>
              </w:rPr>
              <w:t>频次</w:t>
            </w:r>
          </w:p>
        </w:tc>
      </w:tr>
      <w:tr w14:paraId="6DF8F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145" w:type="dxa"/>
            <w:vMerge w:val="restart"/>
            <w:tcBorders>
              <w:left w:val="double" w:color="auto" w:sz="4" w:space="0"/>
            </w:tcBorders>
            <w:vAlign w:val="center"/>
          </w:tcPr>
          <w:p w14:paraId="3ED8C97A">
            <w:pPr>
              <w:pStyle w:val="31"/>
              <w:widowControl w:val="0"/>
              <w:rPr>
                <w:rFonts w:ascii="宋体" w:hAnsi="宋体" w:eastAsia="宋体"/>
                <w:kern w:val="2"/>
                <w:sz w:val="21"/>
                <w:szCs w:val="21"/>
              </w:rPr>
            </w:pPr>
            <w:r>
              <w:rPr>
                <w:rFonts w:hint="eastAsia" w:ascii="宋体" w:hAnsi="宋体" w:eastAsia="宋体"/>
                <w:kern w:val="2"/>
                <w:sz w:val="21"/>
                <w:szCs w:val="21"/>
              </w:rPr>
              <w:t>内部系统</w:t>
            </w:r>
          </w:p>
        </w:tc>
        <w:tc>
          <w:tcPr>
            <w:tcW w:w="1160" w:type="dxa"/>
            <w:vMerge w:val="restart"/>
            <w:vAlign w:val="center"/>
          </w:tcPr>
          <w:p w14:paraId="1DB61148">
            <w:pPr>
              <w:pStyle w:val="31"/>
              <w:widowControl w:val="0"/>
              <w:rPr>
                <w:rFonts w:ascii="宋体" w:hAnsi="宋体" w:eastAsia="宋体"/>
                <w:kern w:val="2"/>
                <w:sz w:val="21"/>
                <w:szCs w:val="21"/>
              </w:rPr>
            </w:pPr>
            <w:r>
              <w:rPr>
                <w:rFonts w:hint="eastAsia" w:ascii="宋体" w:hAnsi="宋体" w:eastAsia="宋体"/>
                <w:kern w:val="2"/>
                <w:sz w:val="21"/>
                <w:szCs w:val="21"/>
              </w:rPr>
              <w:t>内部员工</w:t>
            </w:r>
          </w:p>
        </w:tc>
        <w:tc>
          <w:tcPr>
            <w:tcW w:w="2809" w:type="dxa"/>
            <w:vAlign w:val="center"/>
          </w:tcPr>
          <w:p w14:paraId="6CC1C754">
            <w:pPr>
              <w:pStyle w:val="31"/>
              <w:widowControl w:val="0"/>
              <w:rPr>
                <w:rFonts w:ascii="宋体" w:hAnsi="宋体" w:eastAsia="宋体"/>
                <w:kern w:val="2"/>
                <w:sz w:val="21"/>
                <w:szCs w:val="21"/>
              </w:rPr>
            </w:pPr>
            <w:r>
              <w:rPr>
                <w:rFonts w:hint="eastAsia" w:ascii="宋体" w:hAnsi="宋体" w:eastAsia="宋体"/>
                <w:kern w:val="2"/>
                <w:sz w:val="21"/>
                <w:szCs w:val="21"/>
              </w:rPr>
              <w:t>满意度调查</w:t>
            </w:r>
          </w:p>
        </w:tc>
        <w:tc>
          <w:tcPr>
            <w:tcW w:w="1636" w:type="dxa"/>
            <w:vAlign w:val="center"/>
          </w:tcPr>
          <w:p w14:paraId="6108C8FD">
            <w:pPr>
              <w:pStyle w:val="31"/>
              <w:widowControl w:val="0"/>
              <w:rPr>
                <w:rFonts w:ascii="宋体" w:hAnsi="宋体" w:eastAsia="宋体"/>
                <w:kern w:val="2"/>
                <w:sz w:val="21"/>
                <w:szCs w:val="21"/>
              </w:rPr>
            </w:pPr>
            <w:r>
              <w:rPr>
                <w:rFonts w:hint="eastAsia" w:ascii="宋体" w:hAnsi="宋体" w:eastAsia="宋体"/>
                <w:kern w:val="2"/>
                <w:sz w:val="21"/>
                <w:szCs w:val="21"/>
              </w:rPr>
              <w:t>行政部</w:t>
            </w:r>
          </w:p>
        </w:tc>
        <w:tc>
          <w:tcPr>
            <w:tcW w:w="2019" w:type="dxa"/>
            <w:tcBorders>
              <w:right w:val="double" w:color="auto" w:sz="4" w:space="0"/>
            </w:tcBorders>
            <w:vAlign w:val="center"/>
          </w:tcPr>
          <w:p w14:paraId="29138C45">
            <w:pPr>
              <w:pStyle w:val="31"/>
              <w:widowControl w:val="0"/>
              <w:rPr>
                <w:rFonts w:ascii="宋体" w:hAnsi="宋体" w:eastAsia="宋体"/>
                <w:kern w:val="2"/>
                <w:sz w:val="21"/>
                <w:szCs w:val="21"/>
              </w:rPr>
            </w:pPr>
            <w:r>
              <w:rPr>
                <w:rFonts w:hint="eastAsia" w:ascii="宋体" w:hAnsi="宋体" w:eastAsia="宋体"/>
                <w:kern w:val="2"/>
                <w:sz w:val="21"/>
                <w:szCs w:val="21"/>
              </w:rPr>
              <w:t>每年一次</w:t>
            </w:r>
          </w:p>
        </w:tc>
      </w:tr>
      <w:tr w14:paraId="1DFC4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1145" w:type="dxa"/>
            <w:vMerge w:val="continue"/>
            <w:tcBorders>
              <w:left w:val="double" w:color="auto" w:sz="4" w:space="0"/>
            </w:tcBorders>
            <w:vAlign w:val="center"/>
          </w:tcPr>
          <w:p w14:paraId="04406B2D">
            <w:pPr>
              <w:pStyle w:val="31"/>
              <w:widowControl w:val="0"/>
              <w:rPr>
                <w:rFonts w:ascii="宋体" w:hAnsi="宋体" w:eastAsia="宋体"/>
                <w:kern w:val="2"/>
                <w:sz w:val="21"/>
                <w:szCs w:val="21"/>
              </w:rPr>
            </w:pPr>
          </w:p>
        </w:tc>
        <w:tc>
          <w:tcPr>
            <w:tcW w:w="1160" w:type="dxa"/>
            <w:vMerge w:val="continue"/>
            <w:vAlign w:val="center"/>
          </w:tcPr>
          <w:p w14:paraId="365C4E6D">
            <w:pPr>
              <w:pStyle w:val="31"/>
              <w:widowControl w:val="0"/>
              <w:rPr>
                <w:rFonts w:ascii="宋体" w:hAnsi="宋体" w:eastAsia="宋体"/>
                <w:kern w:val="2"/>
                <w:sz w:val="21"/>
                <w:szCs w:val="21"/>
              </w:rPr>
            </w:pPr>
          </w:p>
        </w:tc>
        <w:tc>
          <w:tcPr>
            <w:tcW w:w="2809" w:type="dxa"/>
            <w:vAlign w:val="center"/>
          </w:tcPr>
          <w:p w14:paraId="0E398477">
            <w:pPr>
              <w:pStyle w:val="31"/>
              <w:widowControl w:val="0"/>
              <w:rPr>
                <w:rFonts w:ascii="宋体" w:hAnsi="宋体" w:eastAsia="宋体"/>
                <w:kern w:val="2"/>
                <w:sz w:val="21"/>
                <w:szCs w:val="21"/>
              </w:rPr>
            </w:pPr>
            <w:r>
              <w:rPr>
                <w:rFonts w:hint="eastAsia" w:ascii="宋体" w:hAnsi="宋体" w:eastAsia="宋体"/>
                <w:kern w:val="2"/>
                <w:sz w:val="21"/>
                <w:szCs w:val="21"/>
              </w:rPr>
              <w:t>工作例会</w:t>
            </w:r>
          </w:p>
        </w:tc>
        <w:tc>
          <w:tcPr>
            <w:tcW w:w="1636" w:type="dxa"/>
            <w:vAlign w:val="center"/>
          </w:tcPr>
          <w:p w14:paraId="4F9B8D0A">
            <w:pPr>
              <w:pStyle w:val="31"/>
              <w:widowControl w:val="0"/>
              <w:rPr>
                <w:rFonts w:ascii="宋体" w:hAnsi="宋体" w:eastAsia="宋体"/>
                <w:kern w:val="2"/>
                <w:sz w:val="21"/>
                <w:szCs w:val="21"/>
              </w:rPr>
            </w:pPr>
            <w:r>
              <w:rPr>
                <w:rFonts w:hint="eastAsia" w:ascii="宋体" w:hAnsi="宋体" w:eastAsia="宋体"/>
                <w:kern w:val="2"/>
                <w:sz w:val="21"/>
                <w:szCs w:val="21"/>
              </w:rPr>
              <w:t>各单位</w:t>
            </w:r>
          </w:p>
        </w:tc>
        <w:tc>
          <w:tcPr>
            <w:tcW w:w="2019" w:type="dxa"/>
            <w:tcBorders>
              <w:right w:val="double" w:color="auto" w:sz="4" w:space="0"/>
            </w:tcBorders>
            <w:vAlign w:val="center"/>
          </w:tcPr>
          <w:p w14:paraId="1D7EA13C">
            <w:pPr>
              <w:pStyle w:val="31"/>
              <w:widowControl w:val="0"/>
              <w:rPr>
                <w:rFonts w:ascii="宋体" w:hAnsi="宋体" w:eastAsia="宋体"/>
                <w:kern w:val="2"/>
                <w:sz w:val="21"/>
                <w:szCs w:val="21"/>
              </w:rPr>
            </w:pPr>
            <w:r>
              <w:rPr>
                <w:rFonts w:hint="eastAsia" w:ascii="宋体" w:hAnsi="宋体" w:eastAsia="宋体"/>
                <w:kern w:val="2"/>
                <w:sz w:val="21"/>
                <w:szCs w:val="21"/>
              </w:rPr>
              <w:t>每月或每周一次</w:t>
            </w:r>
          </w:p>
        </w:tc>
      </w:tr>
      <w:tr w14:paraId="3861E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145" w:type="dxa"/>
            <w:vMerge w:val="continue"/>
            <w:tcBorders>
              <w:left w:val="double" w:color="auto" w:sz="4" w:space="0"/>
            </w:tcBorders>
            <w:vAlign w:val="center"/>
          </w:tcPr>
          <w:p w14:paraId="71CF5F56">
            <w:pPr>
              <w:pStyle w:val="31"/>
              <w:widowControl w:val="0"/>
              <w:rPr>
                <w:rFonts w:ascii="宋体" w:hAnsi="宋体" w:eastAsia="宋体"/>
                <w:kern w:val="2"/>
                <w:sz w:val="21"/>
                <w:szCs w:val="21"/>
              </w:rPr>
            </w:pPr>
          </w:p>
        </w:tc>
        <w:tc>
          <w:tcPr>
            <w:tcW w:w="1160" w:type="dxa"/>
            <w:vMerge w:val="continue"/>
            <w:vAlign w:val="center"/>
          </w:tcPr>
          <w:p w14:paraId="3B8957E9">
            <w:pPr>
              <w:pStyle w:val="31"/>
              <w:widowControl w:val="0"/>
              <w:rPr>
                <w:rFonts w:ascii="宋体" w:hAnsi="宋体" w:eastAsia="宋体"/>
                <w:kern w:val="2"/>
                <w:sz w:val="21"/>
                <w:szCs w:val="21"/>
              </w:rPr>
            </w:pPr>
          </w:p>
        </w:tc>
        <w:tc>
          <w:tcPr>
            <w:tcW w:w="2809" w:type="dxa"/>
            <w:vAlign w:val="center"/>
          </w:tcPr>
          <w:p w14:paraId="1EFE4E41">
            <w:pPr>
              <w:pStyle w:val="31"/>
              <w:widowControl w:val="0"/>
              <w:rPr>
                <w:rFonts w:ascii="宋体" w:hAnsi="宋体" w:eastAsia="宋体"/>
                <w:kern w:val="2"/>
                <w:sz w:val="21"/>
                <w:szCs w:val="21"/>
              </w:rPr>
            </w:pPr>
            <w:r>
              <w:rPr>
                <w:rFonts w:hint="eastAsia" w:ascii="宋体" w:hAnsi="宋体" w:eastAsia="宋体"/>
                <w:kern w:val="2"/>
                <w:sz w:val="21"/>
                <w:szCs w:val="21"/>
              </w:rPr>
              <w:t>合理化建议</w:t>
            </w:r>
          </w:p>
        </w:tc>
        <w:tc>
          <w:tcPr>
            <w:tcW w:w="1636" w:type="dxa"/>
            <w:vAlign w:val="center"/>
          </w:tcPr>
          <w:p w14:paraId="1D0CC777">
            <w:pPr>
              <w:pStyle w:val="31"/>
              <w:widowControl w:val="0"/>
              <w:rPr>
                <w:rFonts w:ascii="宋体" w:hAnsi="宋体" w:eastAsia="宋体"/>
                <w:kern w:val="2"/>
                <w:sz w:val="21"/>
                <w:szCs w:val="21"/>
              </w:rPr>
            </w:pPr>
            <w:r>
              <w:rPr>
                <w:rFonts w:hint="eastAsia" w:ascii="宋体" w:hAnsi="宋体" w:eastAsia="宋体"/>
                <w:kern w:val="2"/>
                <w:sz w:val="21"/>
                <w:szCs w:val="21"/>
              </w:rPr>
              <w:t>全体员工</w:t>
            </w:r>
          </w:p>
        </w:tc>
        <w:tc>
          <w:tcPr>
            <w:tcW w:w="2019" w:type="dxa"/>
            <w:tcBorders>
              <w:right w:val="double" w:color="auto" w:sz="4" w:space="0"/>
            </w:tcBorders>
            <w:vAlign w:val="center"/>
          </w:tcPr>
          <w:p w14:paraId="0E4CEE62">
            <w:pPr>
              <w:pStyle w:val="31"/>
              <w:widowControl w:val="0"/>
              <w:rPr>
                <w:rFonts w:ascii="宋体" w:hAnsi="宋体" w:eastAsia="宋体"/>
                <w:kern w:val="2"/>
                <w:sz w:val="21"/>
                <w:szCs w:val="21"/>
              </w:rPr>
            </w:pPr>
            <w:r>
              <w:rPr>
                <w:rFonts w:hint="eastAsia" w:ascii="宋体" w:hAnsi="宋体" w:eastAsia="宋体"/>
                <w:kern w:val="2"/>
                <w:sz w:val="21"/>
                <w:szCs w:val="21"/>
              </w:rPr>
              <w:t>随时</w:t>
            </w:r>
          </w:p>
        </w:tc>
      </w:tr>
      <w:tr w14:paraId="74DED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145" w:type="dxa"/>
            <w:vMerge w:val="restart"/>
            <w:tcBorders>
              <w:left w:val="double" w:color="auto" w:sz="4" w:space="0"/>
            </w:tcBorders>
            <w:vAlign w:val="center"/>
          </w:tcPr>
          <w:p w14:paraId="1F69A811">
            <w:pPr>
              <w:pStyle w:val="31"/>
              <w:widowControl w:val="0"/>
              <w:rPr>
                <w:rFonts w:ascii="宋体" w:hAnsi="宋体" w:eastAsia="宋体"/>
                <w:kern w:val="2"/>
                <w:sz w:val="21"/>
                <w:szCs w:val="21"/>
              </w:rPr>
            </w:pPr>
            <w:r>
              <w:rPr>
                <w:rFonts w:hint="eastAsia" w:ascii="宋体" w:hAnsi="宋体" w:eastAsia="宋体"/>
                <w:kern w:val="2"/>
                <w:sz w:val="21"/>
                <w:szCs w:val="21"/>
              </w:rPr>
              <w:t>外部系统</w:t>
            </w:r>
          </w:p>
        </w:tc>
        <w:tc>
          <w:tcPr>
            <w:tcW w:w="1160" w:type="dxa"/>
            <w:vMerge w:val="restart"/>
            <w:vAlign w:val="center"/>
          </w:tcPr>
          <w:p w14:paraId="33614E52">
            <w:pPr>
              <w:pStyle w:val="31"/>
              <w:widowControl w:val="0"/>
              <w:rPr>
                <w:rFonts w:ascii="宋体" w:hAnsi="宋体" w:eastAsia="宋体"/>
                <w:kern w:val="2"/>
                <w:sz w:val="21"/>
                <w:szCs w:val="21"/>
              </w:rPr>
            </w:pPr>
            <w:r>
              <w:rPr>
                <w:rFonts w:hint="eastAsia" w:ascii="宋体" w:hAnsi="宋体" w:eastAsia="宋体"/>
                <w:kern w:val="2"/>
                <w:sz w:val="21"/>
                <w:szCs w:val="21"/>
              </w:rPr>
              <w:t>供应商</w:t>
            </w:r>
          </w:p>
        </w:tc>
        <w:tc>
          <w:tcPr>
            <w:tcW w:w="2809" w:type="dxa"/>
            <w:vAlign w:val="center"/>
          </w:tcPr>
          <w:p w14:paraId="370677D5">
            <w:pPr>
              <w:pStyle w:val="31"/>
              <w:widowControl w:val="0"/>
              <w:rPr>
                <w:rFonts w:ascii="宋体" w:hAnsi="宋体" w:eastAsia="宋体"/>
                <w:kern w:val="2"/>
                <w:sz w:val="21"/>
                <w:szCs w:val="21"/>
              </w:rPr>
            </w:pPr>
            <w:r>
              <w:rPr>
                <w:rFonts w:hint="eastAsia" w:ascii="宋体" w:hAnsi="宋体" w:eastAsia="宋体"/>
                <w:kern w:val="2"/>
                <w:sz w:val="21"/>
                <w:szCs w:val="21"/>
              </w:rPr>
              <w:t>走访供应商和高层领导互访</w:t>
            </w:r>
          </w:p>
        </w:tc>
        <w:tc>
          <w:tcPr>
            <w:tcW w:w="1636" w:type="dxa"/>
            <w:vAlign w:val="center"/>
          </w:tcPr>
          <w:p w14:paraId="0E2FEA44">
            <w:pPr>
              <w:pStyle w:val="31"/>
              <w:widowControl w:val="0"/>
              <w:rPr>
                <w:rFonts w:ascii="宋体" w:hAnsi="宋体" w:eastAsia="宋体"/>
                <w:kern w:val="2"/>
                <w:sz w:val="21"/>
                <w:szCs w:val="21"/>
              </w:rPr>
            </w:pPr>
            <w:r>
              <w:rPr>
                <w:rFonts w:hint="eastAsia" w:ascii="宋体" w:hAnsi="宋体" w:eastAsia="宋体"/>
                <w:kern w:val="2"/>
                <w:sz w:val="21"/>
                <w:szCs w:val="21"/>
              </w:rPr>
              <w:t>总经理班子</w:t>
            </w:r>
          </w:p>
        </w:tc>
        <w:tc>
          <w:tcPr>
            <w:tcW w:w="2019" w:type="dxa"/>
            <w:tcBorders>
              <w:right w:val="double" w:color="auto" w:sz="4" w:space="0"/>
            </w:tcBorders>
            <w:vAlign w:val="center"/>
          </w:tcPr>
          <w:p w14:paraId="5F3AFBE8">
            <w:pPr>
              <w:pStyle w:val="31"/>
              <w:widowControl w:val="0"/>
              <w:rPr>
                <w:rFonts w:ascii="宋体" w:hAnsi="宋体" w:eastAsia="宋体"/>
                <w:kern w:val="2"/>
                <w:sz w:val="21"/>
                <w:szCs w:val="21"/>
              </w:rPr>
            </w:pPr>
            <w:r>
              <w:rPr>
                <w:rFonts w:hint="eastAsia" w:ascii="宋体" w:hAnsi="宋体" w:eastAsia="宋体"/>
                <w:kern w:val="2"/>
                <w:sz w:val="21"/>
                <w:szCs w:val="21"/>
              </w:rPr>
              <w:t>一年一次及以上</w:t>
            </w:r>
          </w:p>
        </w:tc>
      </w:tr>
      <w:tr w14:paraId="5A2FF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145" w:type="dxa"/>
            <w:vMerge w:val="continue"/>
            <w:tcBorders>
              <w:left w:val="double" w:color="auto" w:sz="4" w:space="0"/>
            </w:tcBorders>
            <w:vAlign w:val="center"/>
          </w:tcPr>
          <w:p w14:paraId="25193149">
            <w:pPr>
              <w:pStyle w:val="31"/>
              <w:widowControl w:val="0"/>
              <w:rPr>
                <w:rFonts w:ascii="宋体" w:hAnsi="宋体" w:eastAsia="宋体"/>
                <w:kern w:val="2"/>
                <w:sz w:val="21"/>
                <w:szCs w:val="21"/>
              </w:rPr>
            </w:pPr>
          </w:p>
        </w:tc>
        <w:tc>
          <w:tcPr>
            <w:tcW w:w="1160" w:type="dxa"/>
            <w:vMerge w:val="continue"/>
            <w:vAlign w:val="center"/>
          </w:tcPr>
          <w:p w14:paraId="52848560">
            <w:pPr>
              <w:pStyle w:val="31"/>
              <w:widowControl w:val="0"/>
              <w:rPr>
                <w:rFonts w:ascii="宋体" w:hAnsi="宋体" w:eastAsia="宋体"/>
                <w:kern w:val="2"/>
                <w:sz w:val="21"/>
                <w:szCs w:val="21"/>
              </w:rPr>
            </w:pPr>
          </w:p>
        </w:tc>
        <w:tc>
          <w:tcPr>
            <w:tcW w:w="2809" w:type="dxa"/>
            <w:vAlign w:val="center"/>
          </w:tcPr>
          <w:p w14:paraId="40FD9522">
            <w:pPr>
              <w:pStyle w:val="31"/>
              <w:widowControl w:val="0"/>
              <w:rPr>
                <w:rFonts w:ascii="宋体" w:hAnsi="宋体" w:eastAsia="宋体"/>
                <w:kern w:val="2"/>
                <w:sz w:val="21"/>
                <w:szCs w:val="21"/>
              </w:rPr>
            </w:pPr>
            <w:r>
              <w:rPr>
                <w:rFonts w:hint="eastAsia" w:ascii="宋体" w:hAnsi="宋体" w:eastAsia="宋体"/>
                <w:kern w:val="2"/>
                <w:sz w:val="21"/>
                <w:szCs w:val="21"/>
              </w:rPr>
              <w:t>商务配套会议</w:t>
            </w:r>
          </w:p>
        </w:tc>
        <w:tc>
          <w:tcPr>
            <w:tcW w:w="1636" w:type="dxa"/>
            <w:vAlign w:val="center"/>
          </w:tcPr>
          <w:p w14:paraId="5B4F0A59">
            <w:pPr>
              <w:pStyle w:val="31"/>
              <w:widowControl w:val="0"/>
              <w:rPr>
                <w:rFonts w:ascii="宋体" w:hAnsi="宋体" w:eastAsia="宋体"/>
                <w:kern w:val="2"/>
                <w:sz w:val="21"/>
                <w:szCs w:val="21"/>
              </w:rPr>
            </w:pPr>
            <w:r>
              <w:rPr>
                <w:rFonts w:hint="eastAsia" w:ascii="宋体" w:hAnsi="宋体" w:eastAsia="宋体"/>
                <w:kern w:val="2"/>
                <w:sz w:val="21"/>
                <w:szCs w:val="21"/>
              </w:rPr>
              <w:t>物控部</w:t>
            </w:r>
          </w:p>
        </w:tc>
        <w:tc>
          <w:tcPr>
            <w:tcW w:w="2019" w:type="dxa"/>
            <w:tcBorders>
              <w:right w:val="double" w:color="auto" w:sz="4" w:space="0"/>
            </w:tcBorders>
            <w:vAlign w:val="center"/>
          </w:tcPr>
          <w:p w14:paraId="024CDFBD">
            <w:pPr>
              <w:pStyle w:val="31"/>
              <w:widowControl w:val="0"/>
              <w:rPr>
                <w:rFonts w:ascii="宋体" w:hAnsi="宋体" w:eastAsia="宋体"/>
                <w:kern w:val="2"/>
                <w:sz w:val="21"/>
                <w:szCs w:val="21"/>
              </w:rPr>
            </w:pPr>
            <w:r>
              <w:rPr>
                <w:rFonts w:hint="eastAsia" w:ascii="宋体" w:hAnsi="宋体" w:eastAsia="宋体"/>
                <w:kern w:val="2"/>
                <w:sz w:val="21"/>
                <w:szCs w:val="21"/>
              </w:rPr>
              <w:t>不定期</w:t>
            </w:r>
          </w:p>
        </w:tc>
      </w:tr>
      <w:tr w14:paraId="66108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145" w:type="dxa"/>
            <w:vMerge w:val="continue"/>
            <w:tcBorders>
              <w:left w:val="double" w:color="auto" w:sz="4" w:space="0"/>
            </w:tcBorders>
            <w:vAlign w:val="center"/>
          </w:tcPr>
          <w:p w14:paraId="7DECEBA1">
            <w:pPr>
              <w:pStyle w:val="31"/>
              <w:widowControl w:val="0"/>
              <w:rPr>
                <w:rFonts w:ascii="宋体" w:hAnsi="宋体" w:eastAsia="宋体"/>
                <w:kern w:val="2"/>
                <w:sz w:val="21"/>
                <w:szCs w:val="21"/>
              </w:rPr>
            </w:pPr>
          </w:p>
        </w:tc>
        <w:tc>
          <w:tcPr>
            <w:tcW w:w="1160" w:type="dxa"/>
            <w:vMerge w:val="continue"/>
            <w:vAlign w:val="center"/>
          </w:tcPr>
          <w:p w14:paraId="0518822B">
            <w:pPr>
              <w:pStyle w:val="31"/>
              <w:widowControl w:val="0"/>
              <w:rPr>
                <w:rFonts w:ascii="宋体" w:hAnsi="宋体" w:eastAsia="宋体"/>
                <w:kern w:val="2"/>
                <w:sz w:val="21"/>
                <w:szCs w:val="21"/>
              </w:rPr>
            </w:pPr>
          </w:p>
        </w:tc>
        <w:tc>
          <w:tcPr>
            <w:tcW w:w="2809" w:type="dxa"/>
            <w:vAlign w:val="center"/>
          </w:tcPr>
          <w:p w14:paraId="184656B5">
            <w:pPr>
              <w:pStyle w:val="31"/>
              <w:widowControl w:val="0"/>
              <w:rPr>
                <w:rFonts w:ascii="宋体" w:hAnsi="宋体" w:eastAsia="宋体"/>
                <w:kern w:val="2"/>
                <w:sz w:val="21"/>
                <w:szCs w:val="21"/>
              </w:rPr>
            </w:pPr>
            <w:r>
              <w:rPr>
                <w:rFonts w:hint="eastAsia" w:ascii="宋体" w:hAnsi="宋体" w:eastAsia="宋体"/>
                <w:kern w:val="2"/>
                <w:sz w:val="21"/>
                <w:szCs w:val="21"/>
              </w:rPr>
              <w:t>对供应商技术指导和咨询</w:t>
            </w:r>
          </w:p>
        </w:tc>
        <w:tc>
          <w:tcPr>
            <w:tcW w:w="1636" w:type="dxa"/>
            <w:vAlign w:val="center"/>
          </w:tcPr>
          <w:p w14:paraId="5D79223D">
            <w:pPr>
              <w:pStyle w:val="31"/>
              <w:widowControl w:val="0"/>
              <w:rPr>
                <w:rFonts w:ascii="宋体" w:hAnsi="宋体" w:eastAsia="宋体"/>
                <w:kern w:val="2"/>
                <w:sz w:val="21"/>
                <w:szCs w:val="21"/>
              </w:rPr>
            </w:pPr>
            <w:r>
              <w:rPr>
                <w:rFonts w:hint="eastAsia" w:ascii="宋体" w:hAnsi="宋体" w:eastAsia="宋体"/>
                <w:kern w:val="2"/>
                <w:sz w:val="21"/>
                <w:szCs w:val="21"/>
              </w:rPr>
              <w:t>物控部</w:t>
            </w:r>
          </w:p>
        </w:tc>
        <w:tc>
          <w:tcPr>
            <w:tcW w:w="2019" w:type="dxa"/>
            <w:tcBorders>
              <w:right w:val="double" w:color="auto" w:sz="4" w:space="0"/>
            </w:tcBorders>
            <w:vAlign w:val="center"/>
          </w:tcPr>
          <w:p w14:paraId="0B2358C1">
            <w:pPr>
              <w:pStyle w:val="31"/>
              <w:widowControl w:val="0"/>
              <w:rPr>
                <w:rFonts w:ascii="宋体" w:hAnsi="宋体" w:eastAsia="宋体"/>
                <w:kern w:val="2"/>
                <w:sz w:val="21"/>
                <w:szCs w:val="21"/>
              </w:rPr>
            </w:pPr>
            <w:r>
              <w:rPr>
                <w:rFonts w:hint="eastAsia" w:ascii="宋体" w:hAnsi="宋体" w:eastAsia="宋体"/>
                <w:kern w:val="2"/>
                <w:sz w:val="21"/>
                <w:szCs w:val="21"/>
              </w:rPr>
              <w:t>不定期</w:t>
            </w:r>
          </w:p>
        </w:tc>
      </w:tr>
      <w:tr w14:paraId="45B30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145" w:type="dxa"/>
            <w:vMerge w:val="continue"/>
            <w:tcBorders>
              <w:left w:val="double" w:color="auto" w:sz="4" w:space="0"/>
              <w:bottom w:val="double" w:color="auto" w:sz="4" w:space="0"/>
            </w:tcBorders>
            <w:vAlign w:val="center"/>
          </w:tcPr>
          <w:p w14:paraId="234CC7C8">
            <w:pPr>
              <w:pStyle w:val="31"/>
              <w:widowControl w:val="0"/>
              <w:rPr>
                <w:rFonts w:ascii="宋体" w:hAnsi="宋体" w:eastAsia="宋体"/>
                <w:kern w:val="2"/>
                <w:sz w:val="21"/>
                <w:szCs w:val="21"/>
              </w:rPr>
            </w:pPr>
          </w:p>
        </w:tc>
        <w:tc>
          <w:tcPr>
            <w:tcW w:w="1160" w:type="dxa"/>
            <w:tcBorders>
              <w:bottom w:val="double" w:color="auto" w:sz="4" w:space="0"/>
            </w:tcBorders>
            <w:vAlign w:val="center"/>
          </w:tcPr>
          <w:p w14:paraId="539915A0">
            <w:pPr>
              <w:pStyle w:val="31"/>
              <w:widowControl w:val="0"/>
              <w:rPr>
                <w:rFonts w:ascii="宋体" w:hAnsi="宋体" w:eastAsia="宋体"/>
                <w:kern w:val="2"/>
                <w:sz w:val="21"/>
                <w:szCs w:val="21"/>
              </w:rPr>
            </w:pPr>
            <w:r>
              <w:rPr>
                <w:rFonts w:hint="eastAsia" w:ascii="宋体" w:hAnsi="宋体" w:eastAsia="宋体"/>
                <w:kern w:val="2"/>
                <w:sz w:val="21"/>
                <w:szCs w:val="21"/>
              </w:rPr>
              <w:t>顾客</w:t>
            </w:r>
          </w:p>
        </w:tc>
        <w:tc>
          <w:tcPr>
            <w:tcW w:w="6464" w:type="dxa"/>
            <w:gridSpan w:val="3"/>
            <w:tcBorders>
              <w:bottom w:val="double" w:color="auto" w:sz="4" w:space="0"/>
              <w:right w:val="double" w:color="auto" w:sz="4" w:space="0"/>
            </w:tcBorders>
            <w:vAlign w:val="center"/>
          </w:tcPr>
          <w:p w14:paraId="32DF9064">
            <w:pPr>
              <w:pStyle w:val="31"/>
              <w:widowControl w:val="0"/>
              <w:rPr>
                <w:rFonts w:ascii="宋体" w:hAnsi="宋体" w:eastAsia="宋体"/>
                <w:kern w:val="2"/>
                <w:sz w:val="21"/>
                <w:szCs w:val="21"/>
              </w:rPr>
            </w:pPr>
            <w:r>
              <w:rPr>
                <w:rFonts w:hint="eastAsia" w:ascii="宋体" w:hAnsi="宋体" w:eastAsia="宋体"/>
                <w:kern w:val="2"/>
                <w:sz w:val="21"/>
                <w:szCs w:val="21"/>
              </w:rPr>
              <w:t>见“4.3 顾客与市场”章节</w:t>
            </w:r>
          </w:p>
        </w:tc>
      </w:tr>
    </w:tbl>
    <w:p w14:paraId="009621CB">
      <w:pPr>
        <w:pStyle w:val="44"/>
        <w:spacing w:before="156" w:line="360" w:lineRule="auto"/>
        <w:ind w:firstLine="0" w:firstLineChars="0"/>
        <w:rPr>
          <w:rFonts w:ascii="宋体" w:hAnsi="宋体" w:eastAsia="宋体" w:cs="宋体"/>
          <w:bCs/>
        </w:rPr>
      </w:pPr>
      <w:r>
        <w:rPr>
          <w:rFonts w:hint="eastAsia" w:ascii="宋体" w:hAnsi="宋体" w:eastAsia="宋体" w:cs="宋体"/>
          <w:bCs/>
        </w:rPr>
        <w:t>（3）沟通与知识、技能共享形式</w:t>
      </w:r>
    </w:p>
    <w:p w14:paraId="1A9B26A4">
      <w:pPr>
        <w:autoSpaceDE w:val="0"/>
        <w:autoSpaceDN w:val="0"/>
        <w:adjustRightInd w:val="0"/>
        <w:spacing w:line="360" w:lineRule="auto"/>
        <w:ind w:firstLine="480" w:firstLineChars="200"/>
        <w:rPr>
          <w:rFonts w:ascii="宋体" w:hAnsi="宋体"/>
          <w:color w:val="FF0000"/>
          <w:szCs w:val="32"/>
        </w:rPr>
      </w:pPr>
      <w:r>
        <w:rPr>
          <w:rFonts w:hint="eastAsia" w:ascii="宋体" w:hAnsi="宋体"/>
          <w:szCs w:val="32"/>
        </w:rPr>
        <w:t>利用</w:t>
      </w:r>
      <w:r>
        <w:rPr>
          <w:rFonts w:hint="eastAsia" w:ascii="宋体" w:hAnsi="宋体"/>
          <w:szCs w:val="32"/>
          <w:lang w:eastAsia="zh-CN"/>
        </w:rPr>
        <w:t>财物管理</w:t>
      </w:r>
      <w:r>
        <w:rPr>
          <w:rFonts w:hint="eastAsia" w:ascii="宋体" w:hAnsi="宋体"/>
          <w:szCs w:val="32"/>
        </w:rPr>
        <w:t>系统，建立多形式、多层次的沟通与知识技能共享平台，</w:t>
      </w:r>
      <w:r>
        <w:rPr>
          <w:rFonts w:hint="eastAsia" w:ascii="宋体" w:hAnsi="宋体"/>
          <w:color w:val="000000"/>
          <w:szCs w:val="32"/>
        </w:rPr>
        <w:t>见表4.4.2-3。</w:t>
      </w:r>
    </w:p>
    <w:p w14:paraId="4D261667">
      <w:pPr>
        <w:pStyle w:val="36"/>
        <w:spacing w:line="360" w:lineRule="auto"/>
        <w:ind w:firstLine="0" w:firstLineChars="0"/>
        <w:jc w:val="center"/>
        <w:rPr>
          <w:rFonts w:ascii="黑体" w:hAnsi="黑体" w:eastAsia="黑体"/>
          <w:b/>
          <w:bCs/>
          <w:color w:val="auto"/>
          <w:sz w:val="21"/>
          <w:szCs w:val="21"/>
        </w:rPr>
      </w:pPr>
      <w:r>
        <w:rPr>
          <w:rFonts w:ascii="黑体" w:hAnsi="黑体" w:eastAsia="黑体"/>
          <w:b/>
          <w:bCs/>
          <w:color w:val="auto"/>
          <w:sz w:val="21"/>
          <w:szCs w:val="21"/>
        </w:rPr>
        <w:t>表4.4.2-</w:t>
      </w:r>
      <w:r>
        <w:rPr>
          <w:rFonts w:hint="eastAsia" w:ascii="黑体" w:hAnsi="黑体" w:eastAsia="黑体"/>
          <w:b/>
          <w:bCs/>
          <w:color w:val="auto"/>
          <w:sz w:val="21"/>
          <w:szCs w:val="21"/>
        </w:rPr>
        <w:t>3沟通与知识、技能共享一览表</w:t>
      </w:r>
    </w:p>
    <w:tbl>
      <w:tblPr>
        <w:tblStyle w:val="22"/>
        <w:tblW w:w="8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07"/>
        <w:gridCol w:w="4648"/>
      </w:tblGrid>
      <w:tr w14:paraId="757D4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3707" w:type="dxa"/>
            <w:tcBorders>
              <w:top w:val="double" w:color="auto" w:sz="4" w:space="0"/>
              <w:left w:val="double" w:color="auto" w:sz="4" w:space="0"/>
            </w:tcBorders>
            <w:shd w:val="clear" w:color="auto" w:fill="938953"/>
            <w:vAlign w:val="center"/>
          </w:tcPr>
          <w:p w14:paraId="493654EE">
            <w:pPr>
              <w:pStyle w:val="31"/>
              <w:widowControl w:val="0"/>
              <w:rPr>
                <w:rFonts w:ascii="宋体" w:hAnsi="宋体" w:eastAsia="宋体"/>
                <w:b/>
                <w:color w:val="FFFFFF"/>
                <w:kern w:val="2"/>
              </w:rPr>
            </w:pPr>
            <w:r>
              <w:rPr>
                <w:rFonts w:hint="eastAsia" w:ascii="宋体" w:hAnsi="宋体" w:eastAsia="宋体"/>
                <w:b/>
                <w:color w:val="FFFFFF"/>
                <w:kern w:val="2"/>
              </w:rPr>
              <w:t>沟通与共享形式</w:t>
            </w:r>
          </w:p>
        </w:tc>
        <w:tc>
          <w:tcPr>
            <w:tcW w:w="4648" w:type="dxa"/>
            <w:tcBorders>
              <w:top w:val="double" w:color="auto" w:sz="4" w:space="0"/>
              <w:right w:val="double" w:color="auto" w:sz="4" w:space="0"/>
            </w:tcBorders>
            <w:shd w:val="clear" w:color="auto" w:fill="938953"/>
            <w:vAlign w:val="center"/>
          </w:tcPr>
          <w:p w14:paraId="44651902">
            <w:pPr>
              <w:pStyle w:val="31"/>
              <w:widowControl w:val="0"/>
              <w:rPr>
                <w:rFonts w:ascii="宋体" w:hAnsi="宋体" w:eastAsia="宋体"/>
                <w:b/>
                <w:color w:val="FFFFFF"/>
                <w:kern w:val="2"/>
              </w:rPr>
            </w:pPr>
            <w:r>
              <w:rPr>
                <w:rFonts w:hint="eastAsia" w:ascii="宋体" w:hAnsi="宋体" w:eastAsia="宋体"/>
                <w:b/>
                <w:color w:val="FFFFFF"/>
                <w:kern w:val="2"/>
              </w:rPr>
              <w:t>共享内容</w:t>
            </w:r>
          </w:p>
        </w:tc>
      </w:tr>
      <w:tr w14:paraId="4B62A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jc w:val="center"/>
        </w:trPr>
        <w:tc>
          <w:tcPr>
            <w:tcW w:w="3707" w:type="dxa"/>
            <w:tcBorders>
              <w:left w:val="double" w:color="auto" w:sz="4" w:space="0"/>
            </w:tcBorders>
            <w:vAlign w:val="center"/>
          </w:tcPr>
          <w:p w14:paraId="621227F2">
            <w:pPr>
              <w:pStyle w:val="31"/>
              <w:widowControl w:val="0"/>
              <w:jc w:val="both"/>
              <w:rPr>
                <w:rFonts w:ascii="宋体" w:hAnsi="宋体" w:eastAsia="宋体"/>
                <w:bCs/>
                <w:color w:val="auto"/>
                <w:kern w:val="2"/>
                <w:sz w:val="21"/>
                <w:szCs w:val="21"/>
              </w:rPr>
            </w:pPr>
            <w:r>
              <w:rPr>
                <w:rFonts w:hint="eastAsia" w:ascii="宋体" w:hAnsi="宋体" w:eastAsia="宋体"/>
                <w:bCs/>
                <w:color w:val="auto"/>
                <w:kern w:val="2"/>
                <w:sz w:val="21"/>
                <w:szCs w:val="21"/>
                <w:lang w:eastAsia="zh-CN"/>
              </w:rPr>
              <w:t>财物管理</w:t>
            </w:r>
            <w:r>
              <w:rPr>
                <w:rFonts w:hint="eastAsia" w:ascii="宋体" w:hAnsi="宋体" w:eastAsia="宋体"/>
                <w:bCs/>
                <w:color w:val="auto"/>
                <w:kern w:val="2"/>
                <w:sz w:val="21"/>
                <w:szCs w:val="21"/>
              </w:rPr>
              <w:t>系统、各子信息系统，跨部门工作会议</w:t>
            </w:r>
          </w:p>
        </w:tc>
        <w:tc>
          <w:tcPr>
            <w:tcW w:w="4648" w:type="dxa"/>
            <w:tcBorders>
              <w:right w:val="double" w:color="auto" w:sz="4" w:space="0"/>
            </w:tcBorders>
            <w:vAlign w:val="center"/>
          </w:tcPr>
          <w:p w14:paraId="6D936A52">
            <w:pPr>
              <w:pStyle w:val="31"/>
              <w:widowControl w:val="0"/>
              <w:jc w:val="both"/>
              <w:rPr>
                <w:rFonts w:ascii="宋体" w:hAnsi="宋体" w:eastAsia="宋体"/>
                <w:bCs/>
                <w:color w:val="auto"/>
                <w:kern w:val="2"/>
                <w:sz w:val="21"/>
                <w:szCs w:val="21"/>
              </w:rPr>
            </w:pPr>
            <w:r>
              <w:rPr>
                <w:rFonts w:hint="eastAsia" w:ascii="宋体" w:hAnsi="宋体" w:eastAsia="宋体"/>
                <w:bCs/>
                <w:color w:val="auto"/>
                <w:kern w:val="2"/>
                <w:sz w:val="21"/>
                <w:szCs w:val="21"/>
              </w:rPr>
              <w:t>内部工作，生产管理动向，管理知识、市场信息、竞争对手动向，管理制度、国家法律法规等</w:t>
            </w:r>
          </w:p>
        </w:tc>
      </w:tr>
      <w:tr w14:paraId="5E7E1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jc w:val="center"/>
        </w:trPr>
        <w:tc>
          <w:tcPr>
            <w:tcW w:w="3707" w:type="dxa"/>
            <w:tcBorders>
              <w:left w:val="double" w:color="auto" w:sz="4" w:space="0"/>
            </w:tcBorders>
            <w:vAlign w:val="center"/>
          </w:tcPr>
          <w:p w14:paraId="23677894">
            <w:pPr>
              <w:pStyle w:val="31"/>
              <w:widowControl w:val="0"/>
              <w:jc w:val="both"/>
              <w:rPr>
                <w:rFonts w:ascii="宋体" w:hAnsi="宋体" w:eastAsia="宋体"/>
                <w:bCs/>
                <w:color w:val="auto"/>
                <w:kern w:val="2"/>
                <w:sz w:val="21"/>
                <w:szCs w:val="21"/>
              </w:rPr>
            </w:pPr>
            <w:r>
              <w:rPr>
                <w:rFonts w:hint="eastAsia" w:ascii="宋体" w:hAnsi="宋体" w:eastAsia="宋体"/>
                <w:bCs/>
                <w:color w:val="auto"/>
                <w:kern w:val="2"/>
                <w:sz w:val="21"/>
                <w:szCs w:val="21"/>
              </w:rPr>
              <w:t>工作例会、师带徒，技术、管理骨干配助手，质量、安全、设备事故案例讲解，绩效面谈等</w:t>
            </w:r>
          </w:p>
        </w:tc>
        <w:tc>
          <w:tcPr>
            <w:tcW w:w="4648" w:type="dxa"/>
            <w:tcBorders>
              <w:right w:val="double" w:color="auto" w:sz="4" w:space="0"/>
            </w:tcBorders>
            <w:vAlign w:val="center"/>
          </w:tcPr>
          <w:p w14:paraId="538989F3">
            <w:pPr>
              <w:pStyle w:val="31"/>
              <w:widowControl w:val="0"/>
              <w:jc w:val="both"/>
              <w:rPr>
                <w:rFonts w:ascii="宋体" w:hAnsi="宋体" w:eastAsia="宋体"/>
                <w:bCs/>
                <w:color w:val="auto"/>
                <w:kern w:val="2"/>
                <w:sz w:val="21"/>
                <w:szCs w:val="21"/>
              </w:rPr>
            </w:pPr>
            <w:r>
              <w:rPr>
                <w:rFonts w:hint="eastAsia" w:ascii="宋体" w:hAnsi="宋体" w:eastAsia="宋体"/>
                <w:bCs/>
                <w:color w:val="auto"/>
                <w:kern w:val="2"/>
                <w:sz w:val="21"/>
                <w:szCs w:val="21"/>
              </w:rPr>
              <w:t>操作技能、业务知识、工作经验、工作技巧，事故原因、防范、改进方法与措施等</w:t>
            </w:r>
          </w:p>
        </w:tc>
      </w:tr>
      <w:tr w14:paraId="0033D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3707" w:type="dxa"/>
            <w:tcBorders>
              <w:left w:val="double" w:color="auto" w:sz="4" w:space="0"/>
              <w:bottom w:val="double" w:color="auto" w:sz="4" w:space="0"/>
            </w:tcBorders>
            <w:vAlign w:val="center"/>
          </w:tcPr>
          <w:p w14:paraId="25DFC22C">
            <w:pPr>
              <w:pStyle w:val="31"/>
              <w:widowControl w:val="0"/>
              <w:jc w:val="both"/>
              <w:rPr>
                <w:rFonts w:ascii="宋体" w:hAnsi="宋体" w:eastAsia="宋体"/>
                <w:bCs/>
                <w:color w:val="auto"/>
                <w:kern w:val="2"/>
                <w:sz w:val="21"/>
                <w:szCs w:val="21"/>
              </w:rPr>
            </w:pPr>
            <w:r>
              <w:rPr>
                <w:rFonts w:hint="eastAsia" w:ascii="宋体" w:hAnsi="宋体" w:eastAsia="宋体"/>
                <w:bCs/>
                <w:color w:val="auto"/>
                <w:kern w:val="2"/>
                <w:sz w:val="21"/>
                <w:szCs w:val="21"/>
              </w:rPr>
              <w:t>局域网、电话、技术交流，服务活动、服务人员培训，供应商技术支持</w:t>
            </w:r>
          </w:p>
        </w:tc>
        <w:tc>
          <w:tcPr>
            <w:tcW w:w="4648" w:type="dxa"/>
            <w:tcBorders>
              <w:bottom w:val="double" w:color="auto" w:sz="4" w:space="0"/>
              <w:right w:val="double" w:color="auto" w:sz="4" w:space="0"/>
            </w:tcBorders>
            <w:vAlign w:val="center"/>
          </w:tcPr>
          <w:p w14:paraId="1428E708">
            <w:pPr>
              <w:pStyle w:val="31"/>
              <w:widowControl w:val="0"/>
              <w:jc w:val="both"/>
              <w:rPr>
                <w:rFonts w:ascii="宋体" w:hAnsi="宋体" w:eastAsia="宋体"/>
                <w:bCs/>
                <w:color w:val="auto"/>
                <w:kern w:val="2"/>
                <w:sz w:val="21"/>
                <w:szCs w:val="21"/>
              </w:rPr>
            </w:pPr>
            <w:r>
              <w:rPr>
                <w:rFonts w:hint="eastAsia" w:ascii="宋体" w:hAnsi="宋体" w:eastAsia="宋体"/>
                <w:bCs/>
                <w:color w:val="auto"/>
                <w:kern w:val="2"/>
                <w:sz w:val="21"/>
                <w:szCs w:val="21"/>
              </w:rPr>
              <w:t>市场信息、</w:t>
            </w:r>
            <w:r>
              <w:rPr>
                <w:rFonts w:hint="eastAsia" w:ascii="宋体" w:hAnsi="宋体" w:eastAsia="宋体"/>
                <w:bCs/>
                <w:color w:val="auto"/>
                <w:kern w:val="2"/>
                <w:sz w:val="21"/>
                <w:szCs w:val="21"/>
                <w:lang w:eastAsia="zh-CN"/>
              </w:rPr>
              <w:t>涂料</w:t>
            </w:r>
            <w:r>
              <w:rPr>
                <w:rFonts w:hint="eastAsia" w:ascii="宋体" w:hAnsi="宋体" w:eastAsia="宋体"/>
                <w:bCs/>
                <w:color w:val="auto"/>
                <w:kern w:val="2"/>
                <w:sz w:val="21"/>
                <w:szCs w:val="21"/>
              </w:rPr>
              <w:t>生产工艺技术、</w:t>
            </w:r>
            <w:r>
              <w:rPr>
                <w:rFonts w:hint="eastAsia" w:ascii="宋体" w:hAnsi="宋体" w:eastAsia="宋体"/>
                <w:bCs/>
                <w:color w:val="auto"/>
                <w:kern w:val="2"/>
                <w:sz w:val="21"/>
                <w:szCs w:val="21"/>
                <w:lang w:eastAsia="zh-CN"/>
              </w:rPr>
              <w:t>中凯涂料</w:t>
            </w:r>
            <w:r>
              <w:rPr>
                <w:rFonts w:hint="eastAsia" w:ascii="宋体" w:hAnsi="宋体" w:eastAsia="宋体"/>
                <w:bCs/>
                <w:color w:val="auto"/>
                <w:kern w:val="2"/>
                <w:sz w:val="21"/>
                <w:szCs w:val="21"/>
              </w:rPr>
              <w:t>理念、专业知识等</w:t>
            </w:r>
          </w:p>
        </w:tc>
      </w:tr>
    </w:tbl>
    <w:p w14:paraId="5FE3038A">
      <w:pPr>
        <w:pStyle w:val="5"/>
        <w:spacing w:after="50" w:line="377" w:lineRule="auto"/>
      </w:pPr>
      <w:r>
        <w:t>4.4.2.</w:t>
      </w:r>
      <w:r>
        <w:rPr>
          <w:rFonts w:hint="eastAsia"/>
        </w:rPr>
        <w:t>2员工绩效管理</w:t>
      </w:r>
    </w:p>
    <w:p w14:paraId="230BA1BF">
      <w:pPr>
        <w:autoSpaceDE w:val="0"/>
        <w:autoSpaceDN w:val="0"/>
        <w:adjustRightInd w:val="0"/>
        <w:spacing w:line="360" w:lineRule="auto"/>
        <w:ind w:firstLine="480" w:firstLineChars="200"/>
        <w:rPr>
          <w:rFonts w:ascii="宋体" w:hAnsi="宋体"/>
          <w:szCs w:val="32"/>
        </w:rPr>
      </w:pPr>
      <w:r>
        <w:rPr>
          <w:rFonts w:hint="eastAsia" w:ascii="宋体" w:hAnsi="宋体"/>
          <w:szCs w:val="32"/>
        </w:rPr>
        <w:t>公司绩效管理系统包括绩效评价体系和薪酬激励体系。绩效管理模型见图4.4.2-3。</w:t>
      </w:r>
    </w:p>
    <w:p w14:paraId="1048F1BC">
      <w:pPr>
        <w:pStyle w:val="36"/>
        <w:spacing w:line="400" w:lineRule="exact"/>
        <w:ind w:firstLine="0" w:firstLineChars="0"/>
        <w:jc w:val="center"/>
        <w:rPr>
          <w:rFonts w:ascii="黑体" w:hAnsi="黑体" w:eastAsia="黑体"/>
          <w:b/>
          <w:bCs/>
          <w:color w:val="auto"/>
          <w:sz w:val="21"/>
          <w:szCs w:val="21"/>
        </w:rPr>
      </w:pPr>
      <w:r>
        <w:rPr>
          <w:rFonts w:hint="eastAsia" w:ascii="黑体" w:hAnsi="黑体" w:eastAsia="黑体"/>
          <w:b/>
          <w:bCs/>
          <w:color w:val="auto"/>
          <w:sz w:val="21"/>
          <w:szCs w:val="21"/>
        </w:rPr>
        <w:t>图4.4.2-3 公司绩效管理模型</w:t>
      </w:r>
    </w:p>
    <w:p w14:paraId="596E6880">
      <w:pPr>
        <w:spacing w:line="360" w:lineRule="auto"/>
        <w:ind w:firstLine="482" w:firstLineChars="200"/>
        <w:jc w:val="center"/>
        <w:rPr>
          <w:rFonts w:ascii="宋体" w:hAnsi="宋体"/>
          <w:b/>
          <w:bCs/>
        </w:rPr>
      </w:pPr>
      <w:r>
        <w:rPr>
          <w:rFonts w:ascii="宋体" w:hAnsi="宋体"/>
          <w:b/>
          <w:bCs/>
        </w:rPr>
        <w:drawing>
          <wp:inline distT="0" distB="0" distL="114300" distR="114300">
            <wp:extent cx="4762500" cy="2390775"/>
            <wp:effectExtent l="0" t="0" r="0" b="9525"/>
            <wp:docPr id="11" name="图片 10" descr="TIM图片20170909170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descr="TIM图片20170909170530"/>
                    <pic:cNvPicPr>
                      <a:picLocks noChangeAspect="1"/>
                    </pic:cNvPicPr>
                  </pic:nvPicPr>
                  <pic:blipFill>
                    <a:blip r:embed="rId21"/>
                    <a:stretch>
                      <a:fillRect/>
                    </a:stretch>
                  </pic:blipFill>
                  <pic:spPr>
                    <a:xfrm>
                      <a:off x="0" y="0"/>
                      <a:ext cx="4762500" cy="2390775"/>
                    </a:xfrm>
                    <a:prstGeom prst="rect">
                      <a:avLst/>
                    </a:prstGeom>
                    <a:noFill/>
                    <a:ln>
                      <a:noFill/>
                    </a:ln>
                  </pic:spPr>
                </pic:pic>
              </a:graphicData>
            </a:graphic>
          </wp:inline>
        </w:drawing>
      </w:r>
    </w:p>
    <w:p w14:paraId="7BABE0F8">
      <w:pPr>
        <w:pStyle w:val="44"/>
        <w:spacing w:beforeLines="0" w:line="360" w:lineRule="auto"/>
        <w:ind w:firstLine="0" w:firstLineChars="0"/>
        <w:rPr>
          <w:rFonts w:ascii="宋体" w:hAnsi="宋体" w:eastAsia="宋体" w:cs="宋体"/>
          <w:bCs/>
        </w:rPr>
      </w:pPr>
      <w:r>
        <w:rPr>
          <w:rFonts w:hint="eastAsia" w:ascii="宋体" w:hAnsi="宋体" w:eastAsia="宋体" w:cs="宋体"/>
          <w:bCs/>
        </w:rPr>
        <w:t>(1) 建立以KPI指标为主的绩效评估体系。</w:t>
      </w:r>
    </w:p>
    <w:p w14:paraId="0BE28E92">
      <w:pPr>
        <w:spacing w:line="360" w:lineRule="auto"/>
        <w:ind w:firstLine="480" w:firstLineChars="200"/>
        <w:rPr>
          <w:rFonts w:ascii="宋体" w:hAnsi="宋体"/>
        </w:rPr>
      </w:pPr>
      <w:r>
        <w:rPr>
          <w:rFonts w:hint="eastAsia" w:ascii="宋体" w:hAnsi="宋体"/>
        </w:rPr>
        <w:t>① 依据公司战略与单位责任，制订各单位的KPI指标</w:t>
      </w:r>
    </w:p>
    <w:p w14:paraId="0D842FEA">
      <w:pPr>
        <w:spacing w:line="360" w:lineRule="auto"/>
        <w:ind w:firstLine="480" w:firstLineChars="200"/>
        <w:rPr>
          <w:rFonts w:ascii="宋体" w:hAnsi="宋体"/>
        </w:rPr>
      </w:pPr>
      <w:r>
        <w:rPr>
          <w:rFonts w:hint="eastAsia" w:ascii="宋体" w:hAnsi="宋体"/>
        </w:rPr>
        <w:t>综合管理部组织制定和分解公司级的KPI指标，并分解为部门的KPI指标；部门KPI指标通过月度计划任务分解方式落实到人，形成员工KPI指标。员工绩效的完成直接支持了部门及公司绩效目标的实现。</w:t>
      </w:r>
    </w:p>
    <w:p w14:paraId="232ED251">
      <w:pPr>
        <w:spacing w:line="360" w:lineRule="auto"/>
        <w:ind w:firstLine="480" w:firstLineChars="200"/>
        <w:rPr>
          <w:rFonts w:ascii="宋体" w:hAnsi="宋体"/>
        </w:rPr>
      </w:pPr>
      <w:r>
        <w:rPr>
          <w:rFonts w:hint="eastAsia" w:ascii="宋体" w:hAnsi="宋体"/>
        </w:rPr>
        <w:t>② 按管理层次，制订高层职员目标责任制、中层动态量化考评办法、员工绩效考评规定，用于各层次KPI指标评价并及时把评价结果反馈给相关责任人，以便于绩效的改进。</w:t>
      </w:r>
    </w:p>
    <w:p w14:paraId="56472AA4">
      <w:pPr>
        <w:spacing w:line="360" w:lineRule="auto"/>
        <w:ind w:firstLine="480" w:firstLineChars="200"/>
        <w:rPr>
          <w:rFonts w:ascii="宋体" w:hAnsi="宋体"/>
        </w:rPr>
      </w:pPr>
      <w:r>
        <w:rPr>
          <w:rFonts w:hint="eastAsia" w:ascii="宋体" w:hAnsi="宋体"/>
        </w:rPr>
        <w:t>为确保公司绩效目标的实现，公司制订了生产、质量、安全等过程考核办法，监控公司绩效目标实现过程各因素，体现过程管理与目标成效并重的绩效考评原则。</w:t>
      </w:r>
    </w:p>
    <w:p w14:paraId="033BBEC8">
      <w:pPr>
        <w:pStyle w:val="44"/>
        <w:spacing w:beforeLines="0" w:line="360" w:lineRule="auto"/>
        <w:ind w:firstLine="0" w:firstLineChars="0"/>
        <w:rPr>
          <w:rFonts w:ascii="宋体" w:hAnsi="宋体" w:eastAsia="宋体" w:cs="宋体"/>
          <w:bCs/>
        </w:rPr>
      </w:pPr>
      <w:r>
        <w:rPr>
          <w:rFonts w:hint="eastAsia" w:ascii="宋体" w:hAnsi="宋体" w:eastAsia="宋体" w:cs="宋体"/>
          <w:bCs/>
        </w:rPr>
        <w:t>（2）建立公平公正的薪酬激励体系</w:t>
      </w:r>
    </w:p>
    <w:p w14:paraId="2612B308">
      <w:pPr>
        <w:spacing w:line="360" w:lineRule="auto"/>
        <w:ind w:firstLine="480" w:firstLineChars="200"/>
        <w:rPr>
          <w:rFonts w:ascii="宋体" w:hAnsi="宋体"/>
        </w:rPr>
      </w:pPr>
      <w:r>
        <w:rPr>
          <w:rFonts w:hint="eastAsia" w:ascii="宋体" w:hAnsi="宋体"/>
        </w:rPr>
        <w:t>① 确立以岗位工资为主体，多种方式并存的分配模式。公司对定额人员实行工时工资、对非定额人员及管理人员实行岗位工资分配，年度的个人工作评价结果将作为工资发放考核的依据。</w:t>
      </w:r>
    </w:p>
    <w:p w14:paraId="366B127A">
      <w:pPr>
        <w:spacing w:line="360" w:lineRule="auto"/>
        <w:ind w:firstLine="480" w:firstLineChars="200"/>
        <w:rPr>
          <w:rFonts w:ascii="宋体" w:hAnsi="宋体"/>
        </w:rPr>
      </w:pPr>
      <w:r>
        <w:rPr>
          <w:rFonts w:hint="eastAsia" w:ascii="宋体" w:hAnsi="宋体"/>
        </w:rPr>
        <w:t>②制订基于绩效的工资晋升（调整）制度。公司制定《绩效管理方案》，提升业绩优秀人员岗位工资。</w:t>
      </w:r>
    </w:p>
    <w:p w14:paraId="44B09143">
      <w:pPr>
        <w:spacing w:line="360" w:lineRule="auto"/>
        <w:ind w:firstLine="480" w:firstLineChars="200"/>
        <w:rPr>
          <w:rFonts w:ascii="宋体" w:hAnsi="宋体"/>
        </w:rPr>
      </w:pPr>
      <w:r>
        <w:rPr>
          <w:rFonts w:hint="eastAsia" w:ascii="宋体" w:hAnsi="宋体"/>
        </w:rPr>
        <w:t>③ 制订基于能力的分类的激励措施。公司制订了全方位的激励措施，充分地激励和调动公司各类人员的工作热情和积极性。</w:t>
      </w:r>
    </w:p>
    <w:p w14:paraId="44C180FF">
      <w:pPr>
        <w:pStyle w:val="5"/>
        <w:spacing w:before="520" w:after="312" w:afterLines="100" w:line="377" w:lineRule="auto"/>
      </w:pPr>
      <w:r>
        <w:rPr>
          <w:rFonts w:hint="eastAsia"/>
        </w:rPr>
        <w:t>4.4.2.3员工的学习和发展</w:t>
      </w:r>
    </w:p>
    <w:p w14:paraId="4E7E7F51">
      <w:pPr>
        <w:spacing w:line="360" w:lineRule="auto"/>
        <w:ind w:firstLine="480" w:firstLineChars="200"/>
        <w:rPr>
          <w:rFonts w:ascii="宋体" w:hAnsi="宋体"/>
        </w:rPr>
      </w:pPr>
      <w:r>
        <w:rPr>
          <w:rFonts w:hint="eastAsia" w:ascii="宋体" w:hAnsi="宋体"/>
        </w:rPr>
        <w:t>“为每一个岗位的发展提供机会，为每一个阶层的攀登创造条件”的育人方针和“尊重、爱护、发挥、发展”用人方针是</w:t>
      </w:r>
      <w:r>
        <w:rPr>
          <w:rFonts w:hint="eastAsia" w:ascii="宋体" w:hAnsi="宋体"/>
          <w:lang w:eastAsia="zh-CN"/>
        </w:rPr>
        <w:t>中凯涂料</w:t>
      </w:r>
      <w:r>
        <w:rPr>
          <w:rFonts w:hint="eastAsia" w:ascii="宋体" w:hAnsi="宋体"/>
        </w:rPr>
        <w:t>人本理念的主要内容，是公司建立完善的培训管理体系的依据。</w:t>
      </w:r>
    </w:p>
    <w:p w14:paraId="65E7279B">
      <w:pPr>
        <w:tabs>
          <w:tab w:val="left" w:pos="5400"/>
        </w:tabs>
        <w:spacing w:line="360" w:lineRule="auto"/>
        <w:ind w:firstLine="480" w:firstLineChars="200"/>
      </w:pPr>
      <w:r>
        <w:rPr>
          <w:rFonts w:hint="eastAsia" w:ascii="宋体" w:hAnsi="宋体"/>
        </w:rPr>
        <w:t>公司建立了自己的培训管理体系，</w:t>
      </w:r>
      <w:r>
        <w:rPr>
          <w:rFonts w:hint="eastAsia"/>
        </w:rPr>
        <w:t>建立健全了培训管理制度，确保培训需求、制定培训计划、实施培训、培训效果评价四个环节有效实施，并推行员工职业生涯设计，为员工的能力提升与职业发展创造平台，保障公司发展战略目标的实现。</w:t>
      </w:r>
    </w:p>
    <w:p w14:paraId="6FE755B3">
      <w:pPr>
        <w:spacing w:line="360" w:lineRule="auto"/>
        <w:ind w:firstLine="480" w:firstLineChars="200"/>
        <w:rPr>
          <w:rFonts w:ascii="宋体" w:hAnsi="宋体"/>
          <w:b/>
          <w:bCs/>
        </w:rPr>
      </w:pPr>
      <w:r>
        <w:rPr>
          <w:rFonts w:hint="eastAsia"/>
        </w:rPr>
        <w:t>为满足人力资源规划需求，公司充分考虑绩效测量、绩效改进和技术变化的主要需求，并平衡长短期目标与员工发展、培训与职业发展的需求，通过调查、分析、对比，确定经营、技能、素养、学历四个模块的培训需求。</w:t>
      </w:r>
    </w:p>
    <w:p w14:paraId="18CF9F8D">
      <w:pPr>
        <w:tabs>
          <w:tab w:val="left" w:pos="5400"/>
        </w:tabs>
        <w:spacing w:line="360" w:lineRule="auto"/>
        <w:ind w:firstLine="480" w:firstLineChars="200"/>
      </w:pPr>
      <w:r>
        <w:rPr>
          <w:rFonts w:hint="eastAsia"/>
        </w:rPr>
        <w:t>根据培训需求，制定教育培训计划，分别由各部门负责制定并组织实施。在实施各项培训计划时，针对各项制约因素，预测培训效果，提出监控措施，确保培训效果。</w:t>
      </w:r>
    </w:p>
    <w:p w14:paraId="7028B0DF">
      <w:pPr>
        <w:pStyle w:val="6"/>
        <w:rPr>
          <w:sz w:val="24"/>
          <w:szCs w:val="24"/>
        </w:rPr>
      </w:pPr>
      <w:r>
        <w:rPr>
          <w:rFonts w:hint="eastAsia"/>
          <w:sz w:val="24"/>
          <w:szCs w:val="24"/>
        </w:rPr>
        <w:t>4.4.2.3.1员工的教育与培训</w:t>
      </w:r>
    </w:p>
    <w:p w14:paraId="6416543E">
      <w:pPr>
        <w:tabs>
          <w:tab w:val="left" w:pos="5400"/>
        </w:tabs>
        <w:spacing w:line="360" w:lineRule="auto"/>
        <w:rPr>
          <w:b/>
          <w:bCs/>
          <w:position w:val="-40"/>
        </w:rPr>
      </w:pPr>
      <w:r>
        <w:rPr>
          <w:rFonts w:hint="eastAsia"/>
          <w:b/>
          <w:bCs/>
          <w:position w:val="-40"/>
        </w:rPr>
        <w:t>（1）根据培训计划，组织实施各层次、类别培训</w:t>
      </w:r>
    </w:p>
    <w:p w14:paraId="47AACAD4">
      <w:pPr>
        <w:tabs>
          <w:tab w:val="left" w:pos="5400"/>
        </w:tabs>
        <w:spacing w:line="360" w:lineRule="auto"/>
        <w:ind w:firstLine="480" w:firstLineChars="200"/>
      </w:pPr>
      <w:r>
        <w:rPr>
          <w:rFonts w:hint="eastAsia"/>
        </w:rPr>
        <w:t>① 实行培训目标风险管理</w:t>
      </w:r>
    </w:p>
    <w:p w14:paraId="7E340DF7">
      <w:pPr>
        <w:tabs>
          <w:tab w:val="left" w:pos="5400"/>
        </w:tabs>
        <w:spacing w:line="360" w:lineRule="auto"/>
        <w:ind w:firstLine="480" w:firstLineChars="200"/>
      </w:pPr>
      <w:r>
        <w:rPr>
          <w:rFonts w:hint="eastAsia"/>
        </w:rPr>
        <w:t>公司建立了各层次的培训职教工作小组，实行部门培训目标风险责任制、员工技能期量目标升级制及培训师、培训员聘任制，促进了学员、教师、组织者三方通力合作，有效实施培训。</w:t>
      </w:r>
    </w:p>
    <w:p w14:paraId="2E08AC9A">
      <w:pPr>
        <w:tabs>
          <w:tab w:val="left" w:pos="5400"/>
        </w:tabs>
        <w:spacing w:line="360" w:lineRule="auto"/>
        <w:ind w:firstLine="480" w:firstLineChars="200"/>
      </w:pPr>
      <w:r>
        <w:rPr>
          <w:rFonts w:hint="eastAsia"/>
        </w:rPr>
        <w:t>② 针对性开展各层次、类别培训</w:t>
      </w:r>
    </w:p>
    <w:p w14:paraId="1DD24AC4">
      <w:pPr>
        <w:tabs>
          <w:tab w:val="left" w:pos="5400"/>
        </w:tabs>
        <w:spacing w:line="360" w:lineRule="auto"/>
        <w:ind w:firstLine="480" w:firstLineChars="200"/>
      </w:pPr>
      <w:r>
        <w:rPr>
          <w:rFonts w:hint="eastAsia"/>
        </w:rPr>
        <w:t>公司根据教育培训计划，以增强追求卓越意识、提高技能、实现顾客满意为核心，按照管理人员、专业技术人员、技术工人、销售服务人员四个类别，开展经营培训、技能培训、素养培训、学历培训四个模块教育培训。</w:t>
      </w:r>
    </w:p>
    <w:p w14:paraId="278B0B3C">
      <w:pPr>
        <w:tabs>
          <w:tab w:val="left" w:pos="5400"/>
        </w:tabs>
        <w:spacing w:line="360" w:lineRule="auto"/>
        <w:ind w:firstLine="480" w:firstLineChars="200"/>
      </w:pPr>
      <w:r>
        <w:rPr>
          <w:rFonts w:hint="eastAsia"/>
        </w:rPr>
        <w:t>技能培训是重要的岗位能力提升培训，公司通过明确培训的目标--给压力和完成目标后的有效激励--给动力，使员工努力确立与实现工作和职业发展相关的技能提升目标。</w:t>
      </w:r>
    </w:p>
    <w:p w14:paraId="1C3AC1F5">
      <w:pPr>
        <w:tabs>
          <w:tab w:val="left" w:pos="5400"/>
        </w:tabs>
        <w:spacing w:line="360" w:lineRule="auto"/>
        <w:ind w:firstLine="480" w:firstLineChars="200"/>
      </w:pPr>
      <w:r>
        <w:rPr>
          <w:rFonts w:hint="eastAsia"/>
        </w:rPr>
        <w:t>公司建立了一套以国家、行业、地方专业技术等级、上岗标准为准则，适应</w:t>
      </w:r>
      <w:r>
        <w:rPr>
          <w:rFonts w:hint="eastAsia"/>
          <w:lang w:eastAsia="zh-CN"/>
        </w:rPr>
        <w:t>中凯涂料</w:t>
      </w:r>
      <w:r>
        <w:rPr>
          <w:rFonts w:hint="eastAsia"/>
        </w:rPr>
        <w:t>发展战略目标的标准体系，并结合实际探索总结出具有</w:t>
      </w:r>
      <w:r>
        <w:rPr>
          <w:rFonts w:hint="eastAsia"/>
          <w:lang w:eastAsia="zh-CN"/>
        </w:rPr>
        <w:t>中凯涂料</w:t>
      </w:r>
      <w:r>
        <w:rPr>
          <w:rFonts w:hint="eastAsia"/>
        </w:rPr>
        <w:t>特色的技能培训系统和方式。（见</w:t>
      </w:r>
      <w:r>
        <w:rPr>
          <w:rFonts w:hint="eastAsia" w:ascii="宋体" w:hAnsi="宋体"/>
        </w:rPr>
        <w:t>表4.4.2-4）</w:t>
      </w:r>
    </w:p>
    <w:p w14:paraId="152FA095">
      <w:pPr>
        <w:tabs>
          <w:tab w:val="left" w:pos="5400"/>
        </w:tabs>
        <w:spacing w:line="360" w:lineRule="auto"/>
        <w:jc w:val="center"/>
        <w:rPr>
          <w:rFonts w:ascii="黑体" w:hAnsi="黑体" w:eastAsia="黑体"/>
          <w:b/>
          <w:bCs/>
          <w:sz w:val="21"/>
          <w:szCs w:val="21"/>
        </w:rPr>
      </w:pPr>
    </w:p>
    <w:p w14:paraId="5F304008">
      <w:pPr>
        <w:tabs>
          <w:tab w:val="left" w:pos="5400"/>
        </w:tabs>
        <w:spacing w:line="360" w:lineRule="auto"/>
        <w:jc w:val="center"/>
        <w:rPr>
          <w:rFonts w:ascii="黑体" w:hAnsi="黑体" w:eastAsia="黑体"/>
          <w:b/>
          <w:bCs/>
          <w:sz w:val="21"/>
          <w:szCs w:val="21"/>
        </w:rPr>
      </w:pPr>
      <w:r>
        <w:rPr>
          <w:rFonts w:hint="eastAsia" w:ascii="黑体" w:hAnsi="黑体" w:eastAsia="黑体"/>
          <w:b/>
          <w:bCs/>
          <w:sz w:val="21"/>
          <w:szCs w:val="21"/>
        </w:rPr>
        <w:t>表4.4.2-4 培训系统</w:t>
      </w:r>
    </w:p>
    <w:tbl>
      <w:tblPr>
        <w:tblStyle w:val="22"/>
        <w:tblW w:w="87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8"/>
        <w:gridCol w:w="2268"/>
        <w:gridCol w:w="2003"/>
        <w:gridCol w:w="1623"/>
        <w:gridCol w:w="1603"/>
      </w:tblGrid>
      <w:tr w14:paraId="6BAB6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258" w:type="dxa"/>
            <w:tcBorders>
              <w:top w:val="double" w:color="auto" w:sz="4" w:space="0"/>
              <w:left w:val="double" w:color="auto" w:sz="4" w:space="0"/>
            </w:tcBorders>
            <w:shd w:val="clear" w:color="auto" w:fill="938953"/>
            <w:vAlign w:val="center"/>
          </w:tcPr>
          <w:p w14:paraId="59154CD2">
            <w:pPr>
              <w:pStyle w:val="31"/>
              <w:widowControl w:val="0"/>
              <w:rPr>
                <w:rFonts w:ascii="宋体" w:hAnsi="宋体" w:eastAsia="宋体"/>
                <w:b/>
                <w:color w:val="FFFFFF"/>
                <w:kern w:val="2"/>
              </w:rPr>
            </w:pPr>
            <w:r>
              <w:rPr>
                <w:rFonts w:hint="eastAsia" w:ascii=".Apple Color Emoji UI" w:hAnsi=".Apple Color Emoji UI" w:eastAsia="宋体" w:cs=".Apple Color Emoji UI"/>
                <w:b/>
                <w:color w:val="FFFFFF"/>
                <w:kern w:val="2"/>
              </w:rPr>
              <w:t>培训级别</w:t>
            </w:r>
          </w:p>
        </w:tc>
        <w:tc>
          <w:tcPr>
            <w:tcW w:w="2268" w:type="dxa"/>
            <w:tcBorders>
              <w:top w:val="double" w:color="auto" w:sz="4" w:space="0"/>
            </w:tcBorders>
            <w:shd w:val="clear" w:color="auto" w:fill="938953"/>
            <w:vAlign w:val="center"/>
          </w:tcPr>
          <w:p w14:paraId="2130ECEE">
            <w:pPr>
              <w:pStyle w:val="31"/>
              <w:widowControl w:val="0"/>
              <w:rPr>
                <w:rFonts w:ascii="宋体" w:hAnsi="宋体" w:eastAsia="宋体"/>
                <w:b/>
                <w:color w:val="FFFFFF"/>
                <w:kern w:val="2"/>
              </w:rPr>
            </w:pPr>
            <w:r>
              <w:rPr>
                <w:rFonts w:hint="eastAsia" w:ascii="宋体" w:hAnsi="宋体" w:eastAsia="宋体"/>
                <w:b/>
                <w:color w:val="FFFFFF"/>
                <w:kern w:val="2"/>
              </w:rPr>
              <w:t>培训载体</w:t>
            </w:r>
          </w:p>
        </w:tc>
        <w:tc>
          <w:tcPr>
            <w:tcW w:w="2003" w:type="dxa"/>
            <w:tcBorders>
              <w:top w:val="double" w:color="auto" w:sz="4" w:space="0"/>
            </w:tcBorders>
            <w:shd w:val="clear" w:color="auto" w:fill="938953"/>
            <w:vAlign w:val="center"/>
          </w:tcPr>
          <w:p w14:paraId="6CFE3BBA">
            <w:pPr>
              <w:pStyle w:val="31"/>
              <w:widowControl w:val="0"/>
              <w:rPr>
                <w:rFonts w:ascii="宋体" w:hAnsi="宋体" w:eastAsia="宋体"/>
                <w:b/>
                <w:color w:val="FFFFFF"/>
                <w:kern w:val="2"/>
              </w:rPr>
            </w:pPr>
            <w:r>
              <w:rPr>
                <w:rFonts w:hint="eastAsia" w:ascii="宋体" w:hAnsi="宋体" w:eastAsia="宋体"/>
                <w:b/>
                <w:color w:val="FFFFFF"/>
                <w:kern w:val="2"/>
              </w:rPr>
              <w:t>典型代表</w:t>
            </w:r>
          </w:p>
        </w:tc>
        <w:tc>
          <w:tcPr>
            <w:tcW w:w="1623" w:type="dxa"/>
            <w:tcBorders>
              <w:top w:val="double" w:color="auto" w:sz="4" w:space="0"/>
            </w:tcBorders>
            <w:shd w:val="clear" w:color="auto" w:fill="938953"/>
            <w:vAlign w:val="center"/>
          </w:tcPr>
          <w:p w14:paraId="70464388">
            <w:pPr>
              <w:pStyle w:val="31"/>
              <w:widowControl w:val="0"/>
              <w:rPr>
                <w:rFonts w:ascii="宋体" w:hAnsi="宋体" w:eastAsia="宋体"/>
                <w:b/>
                <w:color w:val="FFFFFF"/>
                <w:kern w:val="2"/>
              </w:rPr>
            </w:pPr>
            <w:r>
              <w:rPr>
                <w:rFonts w:hint="eastAsia" w:ascii="宋体" w:hAnsi="宋体" w:eastAsia="宋体"/>
                <w:b/>
                <w:color w:val="FFFFFF"/>
                <w:kern w:val="2"/>
              </w:rPr>
              <w:t>师资系统</w:t>
            </w:r>
          </w:p>
        </w:tc>
        <w:tc>
          <w:tcPr>
            <w:tcW w:w="1603" w:type="dxa"/>
            <w:tcBorders>
              <w:top w:val="double" w:color="auto" w:sz="4" w:space="0"/>
              <w:right w:val="double" w:color="auto" w:sz="4" w:space="0"/>
            </w:tcBorders>
            <w:shd w:val="clear" w:color="auto" w:fill="938953"/>
            <w:vAlign w:val="center"/>
          </w:tcPr>
          <w:p w14:paraId="5299A713">
            <w:pPr>
              <w:pStyle w:val="31"/>
              <w:widowControl w:val="0"/>
              <w:rPr>
                <w:rFonts w:ascii="宋体" w:hAnsi="宋体" w:eastAsia="宋体"/>
                <w:b/>
                <w:color w:val="FFFFFF"/>
                <w:kern w:val="2"/>
              </w:rPr>
            </w:pPr>
            <w:r>
              <w:rPr>
                <w:rFonts w:hint="eastAsia" w:ascii="宋体" w:hAnsi="宋体" w:eastAsia="宋体"/>
                <w:b/>
                <w:color w:val="FFFFFF"/>
                <w:kern w:val="2"/>
              </w:rPr>
              <w:t>教材系统</w:t>
            </w:r>
          </w:p>
        </w:tc>
      </w:tr>
      <w:tr w14:paraId="15D1F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258" w:type="dxa"/>
            <w:tcBorders>
              <w:left w:val="double" w:color="auto" w:sz="4" w:space="0"/>
            </w:tcBorders>
            <w:vAlign w:val="center"/>
          </w:tcPr>
          <w:p w14:paraId="29DBC0D1">
            <w:pPr>
              <w:pStyle w:val="31"/>
              <w:widowControl w:val="0"/>
              <w:rPr>
                <w:rFonts w:ascii="宋体" w:hAnsi="宋体" w:eastAsia="宋体"/>
                <w:kern w:val="2"/>
                <w:sz w:val="21"/>
                <w:szCs w:val="21"/>
              </w:rPr>
            </w:pPr>
            <w:r>
              <w:rPr>
                <w:rFonts w:hint="eastAsia" w:ascii="宋体" w:hAnsi="宋体" w:eastAsia="宋体"/>
                <w:kern w:val="2"/>
                <w:sz w:val="21"/>
                <w:szCs w:val="21"/>
              </w:rPr>
              <w:t>一级</w:t>
            </w:r>
          </w:p>
        </w:tc>
        <w:tc>
          <w:tcPr>
            <w:tcW w:w="2268" w:type="dxa"/>
            <w:vAlign w:val="center"/>
          </w:tcPr>
          <w:p w14:paraId="6E80D116">
            <w:pPr>
              <w:pStyle w:val="31"/>
              <w:widowControl w:val="0"/>
              <w:jc w:val="both"/>
              <w:rPr>
                <w:rFonts w:ascii="宋体" w:hAnsi="宋体" w:eastAsia="宋体"/>
                <w:bCs/>
                <w:color w:val="auto"/>
                <w:kern w:val="2"/>
                <w:sz w:val="21"/>
                <w:szCs w:val="21"/>
              </w:rPr>
            </w:pPr>
            <w:r>
              <w:rPr>
                <w:rFonts w:hint="eastAsia" w:ascii="宋体" w:hAnsi="宋体" w:eastAsia="宋体"/>
                <w:bCs/>
                <w:color w:val="auto"/>
                <w:kern w:val="2"/>
                <w:sz w:val="21"/>
                <w:szCs w:val="21"/>
              </w:rPr>
              <w:t>各类院校、社会培训机构、国内外企事业单位、教学站等</w:t>
            </w:r>
          </w:p>
        </w:tc>
        <w:tc>
          <w:tcPr>
            <w:tcW w:w="2003" w:type="dxa"/>
            <w:vAlign w:val="center"/>
          </w:tcPr>
          <w:p w14:paraId="5EE23DEA">
            <w:pPr>
              <w:pStyle w:val="31"/>
              <w:widowControl w:val="0"/>
              <w:jc w:val="both"/>
              <w:rPr>
                <w:rFonts w:ascii="宋体" w:hAnsi="宋体" w:eastAsia="宋体"/>
                <w:bCs/>
                <w:color w:val="auto"/>
                <w:kern w:val="2"/>
                <w:sz w:val="21"/>
                <w:szCs w:val="21"/>
              </w:rPr>
            </w:pPr>
            <w:r>
              <w:rPr>
                <w:rFonts w:hint="eastAsia" w:ascii="宋体" w:hAnsi="宋体" w:eastAsia="宋体"/>
                <w:bCs/>
                <w:color w:val="auto"/>
                <w:kern w:val="2"/>
                <w:sz w:val="21"/>
                <w:szCs w:val="21"/>
              </w:rPr>
              <w:t>浙江大学、百度文库、中华培训网等</w:t>
            </w:r>
          </w:p>
        </w:tc>
        <w:tc>
          <w:tcPr>
            <w:tcW w:w="1623" w:type="dxa"/>
            <w:vAlign w:val="center"/>
          </w:tcPr>
          <w:p w14:paraId="286E1CD7">
            <w:pPr>
              <w:pStyle w:val="31"/>
              <w:widowControl w:val="0"/>
              <w:rPr>
                <w:rFonts w:ascii="宋体" w:hAnsi="宋体" w:eastAsia="宋体"/>
                <w:bCs/>
                <w:color w:val="auto"/>
                <w:kern w:val="2"/>
                <w:sz w:val="21"/>
                <w:szCs w:val="21"/>
              </w:rPr>
            </w:pPr>
            <w:r>
              <w:rPr>
                <w:rFonts w:hint="eastAsia" w:ascii="宋体" w:hAnsi="宋体" w:eastAsia="宋体"/>
                <w:bCs/>
                <w:color w:val="auto"/>
                <w:kern w:val="2"/>
                <w:sz w:val="21"/>
                <w:szCs w:val="21"/>
              </w:rPr>
              <w:t>外部讲师</w:t>
            </w:r>
          </w:p>
        </w:tc>
        <w:tc>
          <w:tcPr>
            <w:tcW w:w="1603" w:type="dxa"/>
            <w:tcBorders>
              <w:right w:val="double" w:color="auto" w:sz="4" w:space="0"/>
            </w:tcBorders>
            <w:vAlign w:val="center"/>
          </w:tcPr>
          <w:p w14:paraId="23552DFD">
            <w:pPr>
              <w:pStyle w:val="31"/>
              <w:widowControl w:val="0"/>
              <w:jc w:val="both"/>
              <w:rPr>
                <w:rFonts w:ascii="宋体" w:hAnsi="宋体" w:eastAsia="宋体"/>
                <w:bCs/>
                <w:color w:val="auto"/>
                <w:kern w:val="2"/>
                <w:sz w:val="21"/>
                <w:szCs w:val="21"/>
              </w:rPr>
            </w:pPr>
            <w:r>
              <w:rPr>
                <w:rFonts w:hint="eastAsia" w:ascii="宋体" w:hAnsi="宋体" w:eastAsia="宋体"/>
                <w:bCs/>
                <w:color w:val="auto"/>
                <w:kern w:val="2"/>
                <w:sz w:val="21"/>
                <w:szCs w:val="21"/>
              </w:rPr>
              <w:t>课件库、网络</w:t>
            </w:r>
          </w:p>
        </w:tc>
      </w:tr>
      <w:tr w14:paraId="55010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258" w:type="dxa"/>
            <w:tcBorders>
              <w:left w:val="double" w:color="auto" w:sz="4" w:space="0"/>
            </w:tcBorders>
            <w:vAlign w:val="center"/>
          </w:tcPr>
          <w:p w14:paraId="3375BF2C">
            <w:pPr>
              <w:pStyle w:val="31"/>
              <w:widowControl w:val="0"/>
              <w:rPr>
                <w:rFonts w:ascii="宋体" w:hAnsi="宋体" w:eastAsia="宋体"/>
                <w:kern w:val="2"/>
                <w:sz w:val="21"/>
                <w:szCs w:val="21"/>
              </w:rPr>
            </w:pPr>
            <w:r>
              <w:rPr>
                <w:rFonts w:hint="eastAsia" w:ascii="宋体" w:hAnsi="宋体" w:eastAsia="宋体"/>
                <w:kern w:val="2"/>
                <w:sz w:val="21"/>
                <w:szCs w:val="21"/>
              </w:rPr>
              <w:t>二级</w:t>
            </w:r>
          </w:p>
        </w:tc>
        <w:tc>
          <w:tcPr>
            <w:tcW w:w="2268" w:type="dxa"/>
            <w:vAlign w:val="center"/>
          </w:tcPr>
          <w:p w14:paraId="4733C623">
            <w:pPr>
              <w:pStyle w:val="31"/>
              <w:widowControl w:val="0"/>
              <w:jc w:val="both"/>
              <w:rPr>
                <w:rFonts w:ascii="宋体" w:hAnsi="宋体" w:eastAsia="宋体"/>
                <w:bCs/>
                <w:color w:val="auto"/>
                <w:kern w:val="2"/>
                <w:sz w:val="21"/>
                <w:szCs w:val="21"/>
              </w:rPr>
            </w:pPr>
            <w:r>
              <w:rPr>
                <w:rFonts w:hint="eastAsia" w:ascii="宋体" w:hAnsi="宋体" w:eastAsia="宋体"/>
                <w:bCs/>
                <w:color w:val="auto"/>
                <w:kern w:val="2"/>
                <w:sz w:val="21"/>
                <w:szCs w:val="21"/>
              </w:rPr>
              <w:t>公司各职能部门</w:t>
            </w:r>
          </w:p>
        </w:tc>
        <w:tc>
          <w:tcPr>
            <w:tcW w:w="2003" w:type="dxa"/>
            <w:vAlign w:val="center"/>
          </w:tcPr>
          <w:p w14:paraId="28450DAC">
            <w:pPr>
              <w:pStyle w:val="31"/>
              <w:widowControl w:val="0"/>
              <w:jc w:val="both"/>
              <w:rPr>
                <w:rFonts w:ascii="宋体" w:hAnsi="宋体" w:eastAsia="宋体"/>
                <w:bCs/>
                <w:color w:val="auto"/>
                <w:kern w:val="2"/>
                <w:sz w:val="21"/>
                <w:szCs w:val="21"/>
              </w:rPr>
            </w:pPr>
            <w:r>
              <w:rPr>
                <w:rFonts w:hint="eastAsia" w:ascii="宋体" w:hAnsi="宋体" w:eastAsia="宋体"/>
                <w:bCs/>
                <w:color w:val="auto"/>
                <w:kern w:val="2"/>
                <w:sz w:val="21"/>
                <w:szCs w:val="21"/>
              </w:rPr>
              <w:t>技术部、品管部等部门</w:t>
            </w:r>
          </w:p>
        </w:tc>
        <w:tc>
          <w:tcPr>
            <w:tcW w:w="1623" w:type="dxa"/>
            <w:vAlign w:val="center"/>
          </w:tcPr>
          <w:p w14:paraId="7C2A5AF8">
            <w:pPr>
              <w:pStyle w:val="31"/>
              <w:widowControl w:val="0"/>
              <w:rPr>
                <w:rFonts w:ascii="宋体" w:hAnsi="宋体" w:eastAsia="宋体"/>
                <w:bCs/>
                <w:color w:val="auto"/>
                <w:kern w:val="2"/>
                <w:sz w:val="21"/>
                <w:szCs w:val="21"/>
              </w:rPr>
            </w:pPr>
            <w:r>
              <w:rPr>
                <w:rFonts w:hint="eastAsia" w:ascii="宋体" w:hAnsi="宋体" w:eastAsia="宋体"/>
                <w:bCs/>
                <w:color w:val="auto"/>
                <w:kern w:val="2"/>
                <w:sz w:val="21"/>
                <w:szCs w:val="21"/>
              </w:rPr>
              <w:t>公司讲师</w:t>
            </w:r>
          </w:p>
        </w:tc>
        <w:tc>
          <w:tcPr>
            <w:tcW w:w="1603" w:type="dxa"/>
            <w:tcBorders>
              <w:right w:val="double" w:color="auto" w:sz="4" w:space="0"/>
            </w:tcBorders>
            <w:vAlign w:val="center"/>
          </w:tcPr>
          <w:p w14:paraId="7FF0D3FA">
            <w:pPr>
              <w:pStyle w:val="31"/>
              <w:widowControl w:val="0"/>
              <w:jc w:val="both"/>
              <w:rPr>
                <w:rFonts w:ascii="宋体" w:hAnsi="宋体" w:eastAsia="宋体"/>
                <w:bCs/>
                <w:color w:val="auto"/>
                <w:kern w:val="2"/>
                <w:sz w:val="21"/>
                <w:szCs w:val="21"/>
              </w:rPr>
            </w:pPr>
            <w:r>
              <w:rPr>
                <w:rFonts w:hint="eastAsia" w:ascii="宋体" w:hAnsi="宋体" w:eastAsia="宋体"/>
                <w:bCs/>
                <w:color w:val="auto"/>
                <w:kern w:val="2"/>
                <w:sz w:val="21"/>
                <w:szCs w:val="21"/>
              </w:rPr>
              <w:t>自编教材、各类出版教材</w:t>
            </w:r>
          </w:p>
        </w:tc>
      </w:tr>
      <w:tr w14:paraId="3B47F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258" w:type="dxa"/>
            <w:tcBorders>
              <w:left w:val="double" w:color="auto" w:sz="4" w:space="0"/>
              <w:bottom w:val="double" w:color="auto" w:sz="4" w:space="0"/>
            </w:tcBorders>
            <w:vAlign w:val="center"/>
          </w:tcPr>
          <w:p w14:paraId="24C1B6C2">
            <w:pPr>
              <w:pStyle w:val="31"/>
              <w:widowControl w:val="0"/>
              <w:rPr>
                <w:rFonts w:ascii="宋体" w:hAnsi="宋体" w:eastAsia="宋体"/>
                <w:kern w:val="2"/>
                <w:sz w:val="21"/>
                <w:szCs w:val="21"/>
              </w:rPr>
            </w:pPr>
            <w:r>
              <w:rPr>
                <w:rFonts w:hint="eastAsia" w:ascii="宋体" w:hAnsi="宋体" w:eastAsia="宋体"/>
                <w:kern w:val="2"/>
                <w:sz w:val="21"/>
                <w:szCs w:val="21"/>
              </w:rPr>
              <w:t>三级</w:t>
            </w:r>
          </w:p>
        </w:tc>
        <w:tc>
          <w:tcPr>
            <w:tcW w:w="2268" w:type="dxa"/>
            <w:tcBorders>
              <w:bottom w:val="double" w:color="auto" w:sz="4" w:space="0"/>
            </w:tcBorders>
            <w:vAlign w:val="center"/>
          </w:tcPr>
          <w:p w14:paraId="368D0273">
            <w:pPr>
              <w:pStyle w:val="31"/>
              <w:widowControl w:val="0"/>
              <w:jc w:val="both"/>
              <w:rPr>
                <w:rFonts w:ascii="宋体" w:hAnsi="宋体" w:eastAsia="宋体"/>
                <w:bCs/>
                <w:color w:val="auto"/>
                <w:kern w:val="2"/>
                <w:sz w:val="21"/>
                <w:szCs w:val="21"/>
              </w:rPr>
            </w:pPr>
            <w:r>
              <w:rPr>
                <w:rFonts w:hint="eastAsia" w:ascii="宋体" w:hAnsi="宋体" w:eastAsia="宋体"/>
                <w:bCs/>
                <w:color w:val="auto"/>
                <w:kern w:val="2"/>
                <w:sz w:val="21"/>
                <w:szCs w:val="21"/>
              </w:rPr>
              <w:t>各部门内部、班组</w:t>
            </w:r>
          </w:p>
        </w:tc>
        <w:tc>
          <w:tcPr>
            <w:tcW w:w="2003" w:type="dxa"/>
            <w:tcBorders>
              <w:bottom w:val="double" w:color="auto" w:sz="4" w:space="0"/>
            </w:tcBorders>
            <w:vAlign w:val="center"/>
          </w:tcPr>
          <w:p w14:paraId="5AA3C4AD">
            <w:pPr>
              <w:pStyle w:val="31"/>
              <w:widowControl w:val="0"/>
              <w:jc w:val="both"/>
              <w:rPr>
                <w:rFonts w:ascii="宋体" w:hAnsi="宋体" w:eastAsia="宋体"/>
                <w:bCs/>
                <w:color w:val="auto"/>
                <w:kern w:val="2"/>
                <w:sz w:val="21"/>
                <w:szCs w:val="21"/>
              </w:rPr>
            </w:pPr>
            <w:r>
              <w:rPr>
                <w:rFonts w:hint="eastAsia" w:ascii="宋体" w:hAnsi="宋体" w:eastAsia="宋体"/>
                <w:bCs/>
                <w:color w:val="auto"/>
                <w:kern w:val="2"/>
                <w:sz w:val="21"/>
                <w:szCs w:val="21"/>
              </w:rPr>
              <w:t>各部门职能岗</w:t>
            </w:r>
          </w:p>
        </w:tc>
        <w:tc>
          <w:tcPr>
            <w:tcW w:w="1623" w:type="dxa"/>
            <w:tcBorders>
              <w:bottom w:val="double" w:color="auto" w:sz="4" w:space="0"/>
            </w:tcBorders>
            <w:vAlign w:val="center"/>
          </w:tcPr>
          <w:p w14:paraId="57BD04F3">
            <w:pPr>
              <w:pStyle w:val="31"/>
              <w:widowControl w:val="0"/>
              <w:rPr>
                <w:rFonts w:ascii="宋体" w:hAnsi="宋体" w:eastAsia="宋体"/>
                <w:bCs/>
                <w:color w:val="auto"/>
                <w:kern w:val="2"/>
                <w:sz w:val="21"/>
                <w:szCs w:val="21"/>
              </w:rPr>
            </w:pPr>
            <w:r>
              <w:rPr>
                <w:rFonts w:hint="eastAsia" w:ascii="宋体" w:hAnsi="宋体" w:eastAsia="宋体"/>
                <w:bCs/>
                <w:color w:val="auto"/>
                <w:kern w:val="2"/>
                <w:sz w:val="21"/>
                <w:szCs w:val="21"/>
              </w:rPr>
              <w:t>公司讲师</w:t>
            </w:r>
          </w:p>
        </w:tc>
        <w:tc>
          <w:tcPr>
            <w:tcW w:w="1603" w:type="dxa"/>
            <w:tcBorders>
              <w:bottom w:val="double" w:color="auto" w:sz="4" w:space="0"/>
              <w:right w:val="double" w:color="auto" w:sz="4" w:space="0"/>
            </w:tcBorders>
            <w:vAlign w:val="center"/>
          </w:tcPr>
          <w:p w14:paraId="0973D1E5">
            <w:pPr>
              <w:pStyle w:val="31"/>
              <w:widowControl w:val="0"/>
              <w:jc w:val="both"/>
              <w:rPr>
                <w:rFonts w:ascii="宋体" w:hAnsi="宋体" w:eastAsia="宋体"/>
                <w:bCs/>
                <w:color w:val="auto"/>
                <w:kern w:val="2"/>
                <w:sz w:val="21"/>
                <w:szCs w:val="21"/>
              </w:rPr>
            </w:pPr>
            <w:r>
              <w:rPr>
                <w:rFonts w:hint="eastAsia" w:ascii="宋体" w:hAnsi="宋体" w:eastAsia="宋体"/>
                <w:bCs/>
                <w:color w:val="auto"/>
                <w:kern w:val="2"/>
                <w:sz w:val="21"/>
                <w:szCs w:val="21"/>
              </w:rPr>
              <w:t>自编教材、文件、资料、各类出版教材</w:t>
            </w:r>
          </w:p>
        </w:tc>
      </w:tr>
    </w:tbl>
    <w:p w14:paraId="539E8CD1">
      <w:pPr>
        <w:tabs>
          <w:tab w:val="left" w:pos="5400"/>
        </w:tabs>
        <w:spacing w:line="360" w:lineRule="auto"/>
        <w:rPr>
          <w:b/>
          <w:bCs/>
          <w:position w:val="-40"/>
        </w:rPr>
      </w:pPr>
      <w:r>
        <w:rPr>
          <w:rFonts w:hint="eastAsia"/>
          <w:b/>
          <w:bCs/>
          <w:position w:val="-40"/>
        </w:rPr>
        <w:t>（2）培训效果评价</w:t>
      </w:r>
    </w:p>
    <w:p w14:paraId="048D09F1">
      <w:pPr>
        <w:tabs>
          <w:tab w:val="left" w:pos="5400"/>
        </w:tabs>
        <w:spacing w:line="360" w:lineRule="auto"/>
        <w:ind w:firstLine="480" w:firstLineChars="200"/>
      </w:pPr>
      <w:r>
        <w:rPr>
          <w:rFonts w:hint="eastAsia"/>
        </w:rPr>
        <w:t>公司分两个阶段对培训效果进行评价。第一阶段，培训结束后，单位对员工学习的评价和员工对老师培训满意度的评价，第二阶段，从员工绩效和组织绩效2个层面对4个模块的培训效果进行跟踪评价，如对生产一次通过率、利润、团队合作、职业晋升率等指标进行评价。</w:t>
      </w:r>
    </w:p>
    <w:p w14:paraId="31C31820">
      <w:pPr>
        <w:tabs>
          <w:tab w:val="left" w:pos="5400"/>
        </w:tabs>
        <w:spacing w:line="360" w:lineRule="auto"/>
        <w:rPr>
          <w:b/>
          <w:bCs/>
          <w:position w:val="-40"/>
        </w:rPr>
      </w:pPr>
      <w:r>
        <w:rPr>
          <w:rFonts w:hint="eastAsia"/>
          <w:b/>
          <w:bCs/>
          <w:position w:val="-40"/>
        </w:rPr>
        <w:t>（3）培训改进</w:t>
      </w:r>
    </w:p>
    <w:p w14:paraId="24815898">
      <w:pPr>
        <w:tabs>
          <w:tab w:val="left" w:pos="5400"/>
        </w:tabs>
        <w:spacing w:line="360" w:lineRule="auto"/>
        <w:ind w:firstLine="480" w:firstLineChars="200"/>
      </w:pPr>
      <w:r>
        <w:rPr>
          <w:rFonts w:hint="eastAsia"/>
        </w:rPr>
        <w:t>综合管理部组织召开公司级年度培训研讨会，结合员工、公司绩效以及培训满意度与各种培训效果，对教育培训方法的有效性、适用性进行综合评价，并制定、实施改进措施，不断提高培训效果。</w:t>
      </w:r>
    </w:p>
    <w:p w14:paraId="11309850">
      <w:pPr>
        <w:pStyle w:val="6"/>
        <w:rPr>
          <w:sz w:val="24"/>
          <w:szCs w:val="24"/>
        </w:rPr>
      </w:pPr>
      <w:r>
        <w:rPr>
          <w:rFonts w:hint="eastAsia"/>
          <w:sz w:val="24"/>
          <w:szCs w:val="24"/>
        </w:rPr>
        <w:t>4.4.2.3.2员工的职业发展</w:t>
      </w:r>
    </w:p>
    <w:p w14:paraId="104FE76B">
      <w:pPr>
        <w:tabs>
          <w:tab w:val="left" w:pos="5400"/>
        </w:tabs>
        <w:spacing w:line="360" w:lineRule="auto"/>
        <w:ind w:firstLine="480" w:firstLineChars="200"/>
      </w:pPr>
      <w:r>
        <w:rPr>
          <w:rFonts w:hint="eastAsia"/>
        </w:rPr>
        <w:t>公司遵循</w:t>
      </w:r>
      <w:r>
        <w:rPr>
          <w:rFonts w:hint="eastAsia"/>
          <w:lang w:eastAsia="zh-CN"/>
        </w:rPr>
        <w:t>中凯涂料</w:t>
      </w:r>
      <w:r>
        <w:rPr>
          <w:rFonts w:hint="eastAsia"/>
        </w:rPr>
        <w:t>育人方针，建立阶梯式的人才培养机制，为员工提供顺畅的发展空间。</w:t>
      </w:r>
    </w:p>
    <w:p w14:paraId="646DA9BE">
      <w:pPr>
        <w:tabs>
          <w:tab w:val="left" w:pos="5400"/>
        </w:tabs>
        <w:spacing w:line="360" w:lineRule="auto"/>
        <w:ind w:firstLine="480" w:firstLineChars="200"/>
      </w:pPr>
      <w:r>
        <w:rPr>
          <w:rFonts w:hint="eastAsia"/>
        </w:rPr>
        <w:t>(1)推拉结合，发挥员工潜能和主动性</w:t>
      </w:r>
    </w:p>
    <w:p w14:paraId="5E15CEDD">
      <w:pPr>
        <w:tabs>
          <w:tab w:val="left" w:pos="5400"/>
        </w:tabs>
        <w:spacing w:line="360" w:lineRule="auto"/>
        <w:ind w:firstLine="480" w:firstLineChars="200"/>
      </w:pPr>
      <w:r>
        <w:rPr>
          <w:rFonts w:hint="eastAsia"/>
        </w:rPr>
        <w:t>推：公司建立员工竞争上岗和退出机制，给员工绩效和能力提升加压，不进则退。如绩效和能力达不到要求的，采取调换岗位，转岗培训或取消技能工资等措施，促使员工不断学习，主动发挥。</w:t>
      </w:r>
    </w:p>
    <w:p w14:paraId="05ADE342">
      <w:pPr>
        <w:tabs>
          <w:tab w:val="left" w:pos="5400"/>
        </w:tabs>
        <w:spacing w:line="360" w:lineRule="auto"/>
        <w:ind w:firstLine="480" w:firstLineChars="200"/>
      </w:pPr>
      <w:r>
        <w:rPr>
          <w:rFonts w:hint="eastAsia"/>
        </w:rPr>
        <w:t>拉：公司建立了以员工评价体系为基础的全方位的薪酬激励体系</w:t>
      </w:r>
    </w:p>
    <w:p w14:paraId="7AF40ED3">
      <w:pPr>
        <w:tabs>
          <w:tab w:val="left" w:pos="5400"/>
        </w:tabs>
        <w:spacing w:line="360" w:lineRule="auto"/>
        <w:ind w:firstLine="480" w:firstLineChars="200"/>
      </w:pPr>
      <w:r>
        <w:rPr>
          <w:rFonts w:hint="eastAsia"/>
        </w:rPr>
        <w:t>明确岗位职责，充分授权，引导员工自主地创造性开展工作，充分发挥员工的潜能。</w:t>
      </w:r>
    </w:p>
    <w:p w14:paraId="7FE9A92A">
      <w:pPr>
        <w:tabs>
          <w:tab w:val="left" w:pos="5400"/>
        </w:tabs>
        <w:spacing w:line="360" w:lineRule="auto"/>
        <w:ind w:firstLine="480" w:firstLineChars="200"/>
      </w:pPr>
      <w:r>
        <w:rPr>
          <w:rFonts w:hint="eastAsia"/>
        </w:rPr>
        <w:t>(2)建立多渠道的人才培养制度，提供员工学习与发展空间</w:t>
      </w:r>
    </w:p>
    <w:p w14:paraId="420B9B7B">
      <w:pPr>
        <w:tabs>
          <w:tab w:val="left" w:pos="5400"/>
        </w:tabs>
        <w:spacing w:line="360" w:lineRule="auto"/>
        <w:ind w:firstLine="480" w:firstLineChars="200"/>
      </w:pPr>
      <w:r>
        <w:rPr>
          <w:rFonts w:hint="eastAsia"/>
        </w:rPr>
        <w:t>公司建立多渠道、分层次的人才培养制度，为员工的学习与成长创造机会，具体见图</w:t>
      </w:r>
      <w:r>
        <w:rPr>
          <w:rFonts w:hint="eastAsia" w:ascii="宋体" w:hAnsi="宋体"/>
        </w:rPr>
        <w:t>4.4.2-4。</w:t>
      </w:r>
    </w:p>
    <w:p w14:paraId="525894D3">
      <w:pPr>
        <w:tabs>
          <w:tab w:val="left" w:pos="5400"/>
        </w:tabs>
        <w:spacing w:line="360" w:lineRule="auto"/>
        <w:jc w:val="center"/>
        <w:rPr>
          <w:rFonts w:ascii="黑体" w:hAnsi="黑体" w:eastAsia="黑体"/>
          <w:b/>
          <w:bCs/>
          <w:sz w:val="21"/>
          <w:szCs w:val="21"/>
        </w:rPr>
      </w:pPr>
    </w:p>
    <w:p w14:paraId="2B524602">
      <w:pPr>
        <w:tabs>
          <w:tab w:val="left" w:pos="5400"/>
        </w:tabs>
        <w:spacing w:line="360" w:lineRule="auto"/>
        <w:jc w:val="center"/>
        <w:rPr>
          <w:rFonts w:ascii="黑体" w:hAnsi="黑体" w:eastAsia="黑体"/>
          <w:b/>
          <w:bCs/>
          <w:sz w:val="21"/>
          <w:szCs w:val="21"/>
        </w:rPr>
      </w:pPr>
      <w:r>
        <w:rPr>
          <w:rFonts w:hint="eastAsia" w:ascii="黑体" w:hAnsi="黑体" w:eastAsia="黑体"/>
          <w:b/>
          <w:bCs/>
          <w:sz w:val="21"/>
          <w:szCs w:val="21"/>
        </w:rPr>
        <w:t>图4.4.2-4 职业发展通道</w:t>
      </w:r>
    </w:p>
    <w:p w14:paraId="0E548F06">
      <w:pPr>
        <w:spacing w:line="360" w:lineRule="auto"/>
        <w:jc w:val="center"/>
      </w:pPr>
      <w:r>
        <w:drawing>
          <wp:inline distT="0" distB="0" distL="114300" distR="114300">
            <wp:extent cx="5181600" cy="3095625"/>
            <wp:effectExtent l="0" t="0" r="0" b="9525"/>
            <wp:docPr id="12" name="图片 11"/>
            <wp:cNvGraphicFramePr/>
            <a:graphic xmlns:a="http://schemas.openxmlformats.org/drawingml/2006/main">
              <a:graphicData uri="http://schemas.openxmlformats.org/drawingml/2006/picture">
                <pic:pic xmlns:pic="http://schemas.openxmlformats.org/drawingml/2006/picture">
                  <pic:nvPicPr>
                    <pic:cNvPr id="12" name="图片 11"/>
                    <pic:cNvPicPr preferRelativeResize="0"/>
                  </pic:nvPicPr>
                  <pic:blipFill>
                    <a:blip r:embed="rId22"/>
                    <a:stretch>
                      <a:fillRect/>
                    </a:stretch>
                  </pic:blipFill>
                  <pic:spPr>
                    <a:xfrm>
                      <a:off x="0" y="0"/>
                      <a:ext cx="5181600" cy="3095625"/>
                    </a:xfrm>
                    <a:prstGeom prst="rect">
                      <a:avLst/>
                    </a:prstGeom>
                    <a:noFill/>
                    <a:ln>
                      <a:noFill/>
                    </a:ln>
                  </pic:spPr>
                </pic:pic>
              </a:graphicData>
            </a:graphic>
          </wp:inline>
        </w:drawing>
      </w:r>
    </w:p>
    <w:p w14:paraId="5CFF99EB">
      <w:pPr>
        <w:tabs>
          <w:tab w:val="left" w:pos="5400"/>
        </w:tabs>
        <w:spacing w:line="360" w:lineRule="auto"/>
        <w:ind w:firstLine="480" w:firstLineChars="200"/>
      </w:pPr>
      <w:r>
        <w:rPr>
          <w:rFonts w:hint="eastAsia"/>
        </w:rPr>
        <w:t>（3）职业生涯规划和发展平台</w:t>
      </w:r>
    </w:p>
    <w:p w14:paraId="54C0A3D0">
      <w:pPr>
        <w:tabs>
          <w:tab w:val="left" w:pos="5400"/>
        </w:tabs>
        <w:spacing w:line="360" w:lineRule="auto"/>
        <w:ind w:firstLine="480" w:firstLineChars="200"/>
      </w:pPr>
      <w:r>
        <w:rPr>
          <w:rFonts w:hint="eastAsia"/>
        </w:rPr>
        <w:t>为实现公司战略目标与员工职业价值双赢，公司制订员工的职业生涯发展目标与行动计划，并提供相应的支持。</w:t>
      </w:r>
    </w:p>
    <w:p w14:paraId="7D593B6D">
      <w:pPr>
        <w:pStyle w:val="5"/>
      </w:pPr>
      <w:r>
        <w:rPr>
          <w:rFonts w:hint="eastAsia"/>
        </w:rPr>
        <w:t>4.4.2.4员工的权益与满意程度</w:t>
      </w:r>
    </w:p>
    <w:p w14:paraId="6349AEC5">
      <w:pPr>
        <w:tabs>
          <w:tab w:val="left" w:pos="5400"/>
        </w:tabs>
        <w:spacing w:line="360" w:lineRule="auto"/>
        <w:ind w:firstLine="480" w:firstLineChars="200"/>
      </w:pPr>
      <w:r>
        <w:rPr>
          <w:rFonts w:hint="eastAsia"/>
        </w:rPr>
        <w:t>公司营造良好的工作环境和氛围，根据不同需求，提供个性化支持，提高全员参与的积极性和满意度。</w:t>
      </w:r>
    </w:p>
    <w:p w14:paraId="1CC2A43E">
      <w:pPr>
        <w:pStyle w:val="6"/>
        <w:rPr>
          <w:sz w:val="24"/>
          <w:szCs w:val="24"/>
        </w:rPr>
      </w:pPr>
      <w:r>
        <w:rPr>
          <w:rFonts w:hint="eastAsia"/>
          <w:sz w:val="24"/>
          <w:szCs w:val="24"/>
        </w:rPr>
        <w:t>4.4.2.4.1员工权益</w:t>
      </w:r>
    </w:p>
    <w:p w14:paraId="7223AED8">
      <w:pPr>
        <w:tabs>
          <w:tab w:val="left" w:pos="5400"/>
        </w:tabs>
        <w:spacing w:line="360" w:lineRule="auto"/>
        <w:rPr>
          <w:b/>
          <w:bCs/>
          <w:position w:val="-40"/>
        </w:rPr>
      </w:pPr>
      <w:r>
        <w:rPr>
          <w:rFonts w:hint="eastAsia"/>
          <w:b/>
          <w:bCs/>
          <w:position w:val="-40"/>
        </w:rPr>
        <w:t>(1) 依法管理、创建舒适的工作环境</w:t>
      </w:r>
    </w:p>
    <w:p w14:paraId="5DF789E1">
      <w:pPr>
        <w:pStyle w:val="36"/>
        <w:spacing w:line="360" w:lineRule="auto"/>
        <w:ind w:firstLine="0" w:firstLineChars="0"/>
        <w:rPr>
          <w:rFonts w:ascii="Times New Roman" w:hAnsi="Times New Roman" w:eastAsia="宋体"/>
          <w:color w:val="auto"/>
        </w:rPr>
      </w:pPr>
      <w:r>
        <w:rPr>
          <w:rFonts w:hint="eastAsia" w:ascii="Times New Roman" w:hAnsi="Times New Roman" w:eastAsia="宋体"/>
          <w:color w:val="auto"/>
        </w:rPr>
        <w:t xml:space="preserve">    随着公司的高速发展，对员工的培训、教育变得更加重要。如图</w:t>
      </w:r>
      <w:r>
        <w:rPr>
          <w:rFonts w:ascii="Times New Roman" w:hAnsi="Times New Roman" w:eastAsia="宋体"/>
          <w:color w:val="auto"/>
        </w:rPr>
        <w:t>4.4-3</w:t>
      </w:r>
      <w:r>
        <w:rPr>
          <w:rFonts w:hint="eastAsia" w:ascii="Times New Roman" w:hAnsi="Times New Roman" w:eastAsia="宋体"/>
          <w:color w:val="auto"/>
        </w:rPr>
        <w:t>所示，公司行政部结合人力资源规划、部门主管对员工的培训需求分析以及员工自身的兴趣和能力设置个性化的培训计划。每年年底，对各部门下发《培训需求调查表》，该表主要由公共管理课程选择以及其他培训内容申请两份组成，公共管理培训课程的主要形式有外训或外聘培训，主要是委托第三方进行培训。此外，新员工培训计划由行政部制定，将三类培训需求汇总以后，根据上一年的培训情况对于课程进行一定的调整，此外，最后形成《年度培训计划》。</w:t>
      </w:r>
    </w:p>
    <w:p w14:paraId="7C716EDA">
      <w:pPr>
        <w:pStyle w:val="36"/>
        <w:spacing w:line="360" w:lineRule="auto"/>
        <w:ind w:firstLine="0" w:firstLineChars="0"/>
        <w:jc w:val="center"/>
        <w:rPr>
          <w:rFonts w:ascii="黑体" w:hAnsi="黑体" w:eastAsia="黑体"/>
          <w:b/>
          <w:bCs/>
          <w:color w:val="auto"/>
          <w:sz w:val="21"/>
          <w:szCs w:val="21"/>
          <w:highlight w:val="yellow"/>
        </w:rPr>
      </w:pPr>
    </w:p>
    <w:p w14:paraId="26B6938A">
      <w:pPr>
        <w:pStyle w:val="36"/>
        <w:spacing w:line="360" w:lineRule="auto"/>
        <w:ind w:firstLine="0" w:firstLineChars="0"/>
        <w:jc w:val="center"/>
        <w:rPr>
          <w:rFonts w:ascii="黑体" w:hAnsi="黑体" w:eastAsia="黑体"/>
          <w:b/>
          <w:bCs/>
          <w:color w:val="auto"/>
          <w:sz w:val="21"/>
          <w:szCs w:val="21"/>
        </w:rPr>
      </w:pPr>
      <w:r>
        <w:rPr>
          <w:rFonts w:hint="eastAsia" w:ascii="黑体" w:hAnsi="黑体" w:eastAsia="黑体"/>
          <w:b/>
          <w:bCs/>
          <w:color w:val="auto"/>
          <w:sz w:val="21"/>
          <w:szCs w:val="21"/>
        </w:rPr>
        <w:t>图4.4.2-5 流程的确定</w:t>
      </w:r>
    </w:p>
    <w:p w14:paraId="4546CFCD">
      <w:pPr>
        <w:spacing w:line="360" w:lineRule="auto"/>
        <w:jc w:val="center"/>
        <w:rPr>
          <w:rFonts w:ascii="黑体" w:hAnsi="黑体" w:eastAsia="黑体"/>
          <w:b/>
          <w:bCs/>
          <w:sz w:val="21"/>
          <w:szCs w:val="21"/>
          <w:highlight w:val="yellow"/>
        </w:rPr>
      </w:pPr>
      <w:r>
        <w:rPr>
          <w:kern w:val="2"/>
          <w:sz w:val="21"/>
          <w:szCs w:val="20"/>
        </w:rPr>
        <w:drawing>
          <wp:inline distT="0" distB="0" distL="114300" distR="114300">
            <wp:extent cx="4379595" cy="2050415"/>
            <wp:effectExtent l="0" t="0" r="1905" b="6985"/>
            <wp:docPr id="13" name="图片 29" descr="图形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9" descr="图形1"/>
                    <pic:cNvPicPr>
                      <a:picLocks noChangeAspect="1"/>
                    </pic:cNvPicPr>
                  </pic:nvPicPr>
                  <pic:blipFill>
                    <a:blip r:embed="rId23"/>
                    <a:stretch>
                      <a:fillRect/>
                    </a:stretch>
                  </pic:blipFill>
                  <pic:spPr>
                    <a:xfrm>
                      <a:off x="0" y="0"/>
                      <a:ext cx="4379595" cy="2050415"/>
                    </a:xfrm>
                    <a:prstGeom prst="rect">
                      <a:avLst/>
                    </a:prstGeom>
                    <a:noFill/>
                    <a:ln>
                      <a:noFill/>
                    </a:ln>
                  </pic:spPr>
                </pic:pic>
              </a:graphicData>
            </a:graphic>
          </wp:inline>
        </w:drawing>
      </w:r>
    </w:p>
    <w:p w14:paraId="489ECDEE">
      <w:pPr>
        <w:pStyle w:val="36"/>
        <w:spacing w:before="156" w:beforeLines="50" w:line="360" w:lineRule="auto"/>
        <w:ind w:firstLine="0" w:firstLineChars="0"/>
        <w:jc w:val="center"/>
        <w:rPr>
          <w:rFonts w:ascii="黑体" w:hAnsi="黑体" w:eastAsia="黑体"/>
          <w:b/>
          <w:bCs/>
          <w:color w:val="auto"/>
          <w:sz w:val="21"/>
          <w:szCs w:val="21"/>
        </w:rPr>
      </w:pPr>
      <w:r>
        <w:rPr>
          <w:rFonts w:ascii="黑体" w:hAnsi="黑体" w:eastAsia="黑体"/>
          <w:b/>
          <w:bCs/>
          <w:color w:val="auto"/>
          <w:sz w:val="21"/>
          <w:szCs w:val="21"/>
        </w:rPr>
        <w:t>表4.4.2-</w:t>
      </w:r>
      <w:r>
        <w:rPr>
          <w:rFonts w:hint="eastAsia" w:ascii="黑体" w:hAnsi="黑体" w:eastAsia="黑体"/>
          <w:b/>
          <w:bCs/>
          <w:color w:val="auto"/>
          <w:sz w:val="21"/>
          <w:szCs w:val="21"/>
        </w:rPr>
        <w:t>5职有项目的培训</w:t>
      </w:r>
    </w:p>
    <w:tbl>
      <w:tblPr>
        <w:tblStyle w:val="22"/>
        <w:tblW w:w="87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8"/>
        <w:gridCol w:w="3335"/>
        <w:gridCol w:w="1153"/>
        <w:gridCol w:w="3185"/>
      </w:tblGrid>
      <w:tr w14:paraId="238F6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068" w:type="dxa"/>
            <w:shd w:val="clear" w:color="auto" w:fill="938953"/>
            <w:vAlign w:val="center"/>
          </w:tcPr>
          <w:p w14:paraId="0F4EF0DD">
            <w:pPr>
              <w:pStyle w:val="31"/>
              <w:widowControl w:val="0"/>
              <w:rPr>
                <w:rFonts w:ascii="宋体" w:hAnsi="宋体" w:eastAsia="宋体"/>
                <w:b/>
                <w:color w:val="FFFFFF"/>
                <w:kern w:val="2"/>
              </w:rPr>
            </w:pPr>
            <w:r>
              <w:rPr>
                <w:rFonts w:hint="eastAsia" w:ascii="宋体" w:hAnsi="宋体" w:eastAsia="宋体" w:cs=".Apple Color Emoji UI"/>
                <w:b/>
                <w:color w:val="FFFFFF"/>
                <w:kern w:val="2"/>
              </w:rPr>
              <w:t>职能</w:t>
            </w:r>
          </w:p>
        </w:tc>
        <w:tc>
          <w:tcPr>
            <w:tcW w:w="3335" w:type="dxa"/>
            <w:shd w:val="clear" w:color="auto" w:fill="938953"/>
            <w:vAlign w:val="center"/>
          </w:tcPr>
          <w:p w14:paraId="627B1A1C">
            <w:pPr>
              <w:pStyle w:val="31"/>
              <w:widowControl w:val="0"/>
              <w:rPr>
                <w:rFonts w:ascii="宋体" w:hAnsi="宋体" w:eastAsia="宋体"/>
                <w:b/>
                <w:color w:val="FFFFFF"/>
                <w:kern w:val="2"/>
              </w:rPr>
            </w:pPr>
            <w:r>
              <w:rPr>
                <w:rFonts w:hint="eastAsia" w:ascii="宋体" w:hAnsi="宋体" w:eastAsia="宋体" w:cs=".Apple Color Emoji UI"/>
                <w:b/>
                <w:color w:val="FFFFFF"/>
                <w:kern w:val="2"/>
              </w:rPr>
              <w:t>培训项目名称</w:t>
            </w:r>
          </w:p>
        </w:tc>
        <w:tc>
          <w:tcPr>
            <w:tcW w:w="1153" w:type="dxa"/>
            <w:shd w:val="clear" w:color="auto" w:fill="938953"/>
            <w:vAlign w:val="center"/>
          </w:tcPr>
          <w:p w14:paraId="27A59D7C">
            <w:pPr>
              <w:pStyle w:val="31"/>
              <w:widowControl w:val="0"/>
              <w:rPr>
                <w:rFonts w:ascii="宋体" w:hAnsi="宋体" w:eastAsia="宋体"/>
                <w:b/>
                <w:color w:val="FFFFFF"/>
                <w:kern w:val="2"/>
              </w:rPr>
            </w:pPr>
            <w:r>
              <w:rPr>
                <w:rFonts w:hint="eastAsia" w:ascii="宋体" w:hAnsi="宋体" w:eastAsia="宋体" w:cs=".Apple Color Emoji UI"/>
                <w:b/>
                <w:color w:val="FFFFFF"/>
                <w:kern w:val="2"/>
              </w:rPr>
              <w:t>职能</w:t>
            </w:r>
          </w:p>
        </w:tc>
        <w:tc>
          <w:tcPr>
            <w:tcW w:w="3185" w:type="dxa"/>
            <w:shd w:val="clear" w:color="auto" w:fill="938953"/>
            <w:vAlign w:val="center"/>
          </w:tcPr>
          <w:p w14:paraId="17975473">
            <w:pPr>
              <w:pStyle w:val="31"/>
              <w:widowControl w:val="0"/>
              <w:rPr>
                <w:rFonts w:ascii="宋体" w:hAnsi="宋体" w:eastAsia="宋体"/>
                <w:b/>
                <w:color w:val="FFFFFF"/>
                <w:kern w:val="2"/>
              </w:rPr>
            </w:pPr>
            <w:r>
              <w:rPr>
                <w:rFonts w:hint="eastAsia" w:ascii="宋体" w:hAnsi="宋体" w:eastAsia="宋体" w:cs=".Apple Color Emoji UI"/>
                <w:b/>
                <w:color w:val="FFFFFF"/>
                <w:kern w:val="2"/>
              </w:rPr>
              <w:t>培训项目名称</w:t>
            </w:r>
          </w:p>
        </w:tc>
      </w:tr>
      <w:tr w14:paraId="4EA3E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068" w:type="dxa"/>
            <w:vMerge w:val="restart"/>
            <w:vAlign w:val="center"/>
          </w:tcPr>
          <w:p w14:paraId="50879ED2">
            <w:pPr>
              <w:pStyle w:val="31"/>
              <w:widowControl w:val="0"/>
              <w:rPr>
                <w:rFonts w:ascii="宋体" w:hAnsi="宋体" w:eastAsia="宋体"/>
                <w:kern w:val="2"/>
                <w:sz w:val="21"/>
                <w:szCs w:val="21"/>
              </w:rPr>
            </w:pPr>
            <w:r>
              <w:rPr>
                <w:rFonts w:hint="eastAsia" w:ascii="Times New Roman" w:hAnsi="Times New Roman" w:eastAsia="宋体"/>
                <w:kern w:val="2"/>
                <w:sz w:val="21"/>
                <w:szCs w:val="21"/>
              </w:rPr>
              <w:t>设备管理</w:t>
            </w:r>
          </w:p>
        </w:tc>
        <w:tc>
          <w:tcPr>
            <w:tcW w:w="3335" w:type="dxa"/>
            <w:vAlign w:val="center"/>
          </w:tcPr>
          <w:p w14:paraId="7DE4BB1F">
            <w:pPr>
              <w:jc w:val="center"/>
              <w:rPr>
                <w:rFonts w:ascii="宋体" w:hAnsi="宋体" w:cs="宋体"/>
                <w:color w:val="FF0000"/>
                <w:kern w:val="2"/>
                <w:sz w:val="21"/>
                <w:szCs w:val="21"/>
              </w:rPr>
            </w:pPr>
            <w:r>
              <w:rPr>
                <w:rFonts w:hint="eastAsia"/>
                <w:color w:val="000000"/>
                <w:kern w:val="2"/>
                <w:sz w:val="21"/>
                <w:szCs w:val="21"/>
              </w:rPr>
              <w:t>资格培训</w:t>
            </w:r>
          </w:p>
        </w:tc>
        <w:tc>
          <w:tcPr>
            <w:tcW w:w="1153" w:type="dxa"/>
            <w:vMerge w:val="restart"/>
            <w:vAlign w:val="center"/>
          </w:tcPr>
          <w:p w14:paraId="4AEB967D">
            <w:pPr>
              <w:jc w:val="center"/>
              <w:rPr>
                <w:rFonts w:ascii="宋体" w:hAnsi="宋体" w:cs="宋体"/>
                <w:color w:val="FF0000"/>
                <w:kern w:val="2"/>
                <w:sz w:val="21"/>
                <w:szCs w:val="21"/>
              </w:rPr>
            </w:pPr>
            <w:r>
              <w:rPr>
                <w:rFonts w:hint="eastAsia"/>
                <w:color w:val="000000"/>
                <w:kern w:val="2"/>
                <w:sz w:val="21"/>
                <w:szCs w:val="21"/>
              </w:rPr>
              <w:t>财务管理</w:t>
            </w:r>
          </w:p>
        </w:tc>
        <w:tc>
          <w:tcPr>
            <w:tcW w:w="3185" w:type="dxa"/>
            <w:vAlign w:val="center"/>
          </w:tcPr>
          <w:p w14:paraId="4AF9078F">
            <w:pPr>
              <w:jc w:val="center"/>
              <w:rPr>
                <w:rFonts w:ascii="宋体" w:hAnsi="宋体" w:cs="宋体"/>
                <w:color w:val="FF0000"/>
                <w:kern w:val="2"/>
                <w:sz w:val="21"/>
                <w:szCs w:val="21"/>
              </w:rPr>
            </w:pPr>
            <w:r>
              <w:rPr>
                <w:rFonts w:hint="eastAsia"/>
                <w:color w:val="000000"/>
                <w:kern w:val="2"/>
                <w:sz w:val="21"/>
                <w:szCs w:val="21"/>
              </w:rPr>
              <w:t>成本压缩控制与库存管理</w:t>
            </w:r>
          </w:p>
        </w:tc>
      </w:tr>
      <w:tr w14:paraId="5F1C9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068" w:type="dxa"/>
            <w:vMerge w:val="continue"/>
            <w:vAlign w:val="center"/>
          </w:tcPr>
          <w:p w14:paraId="0072632F">
            <w:pPr>
              <w:pStyle w:val="31"/>
              <w:widowControl w:val="0"/>
              <w:rPr>
                <w:rFonts w:ascii="宋体" w:hAnsi="宋体" w:eastAsia="宋体"/>
                <w:kern w:val="2"/>
                <w:sz w:val="21"/>
                <w:szCs w:val="21"/>
              </w:rPr>
            </w:pPr>
          </w:p>
        </w:tc>
        <w:tc>
          <w:tcPr>
            <w:tcW w:w="3335" w:type="dxa"/>
            <w:vAlign w:val="center"/>
          </w:tcPr>
          <w:p w14:paraId="3F53BC38">
            <w:pPr>
              <w:jc w:val="center"/>
              <w:rPr>
                <w:color w:val="FF0000"/>
                <w:kern w:val="2"/>
                <w:sz w:val="21"/>
                <w:szCs w:val="21"/>
              </w:rPr>
            </w:pPr>
            <w:r>
              <w:rPr>
                <w:rFonts w:hint="eastAsia"/>
                <w:color w:val="000000"/>
                <w:kern w:val="2"/>
                <w:sz w:val="21"/>
                <w:szCs w:val="21"/>
              </w:rPr>
              <w:t>上岗培训</w:t>
            </w:r>
          </w:p>
        </w:tc>
        <w:tc>
          <w:tcPr>
            <w:tcW w:w="1153" w:type="dxa"/>
            <w:vMerge w:val="continue"/>
            <w:vAlign w:val="center"/>
          </w:tcPr>
          <w:p w14:paraId="0A688864">
            <w:pPr>
              <w:jc w:val="center"/>
              <w:rPr>
                <w:color w:val="FF0000"/>
                <w:kern w:val="2"/>
                <w:sz w:val="21"/>
                <w:szCs w:val="21"/>
              </w:rPr>
            </w:pPr>
          </w:p>
        </w:tc>
        <w:tc>
          <w:tcPr>
            <w:tcW w:w="3185" w:type="dxa"/>
            <w:vAlign w:val="center"/>
          </w:tcPr>
          <w:p w14:paraId="67450D50">
            <w:pPr>
              <w:jc w:val="center"/>
              <w:rPr>
                <w:color w:val="FF0000"/>
                <w:kern w:val="2"/>
                <w:sz w:val="21"/>
                <w:szCs w:val="21"/>
              </w:rPr>
            </w:pPr>
            <w:r>
              <w:rPr>
                <w:rFonts w:hint="eastAsia"/>
                <w:color w:val="000000"/>
                <w:kern w:val="2"/>
                <w:sz w:val="21"/>
                <w:szCs w:val="21"/>
              </w:rPr>
              <w:t>纳税人培训</w:t>
            </w:r>
          </w:p>
        </w:tc>
      </w:tr>
      <w:tr w14:paraId="1B96A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068" w:type="dxa"/>
            <w:vMerge w:val="continue"/>
            <w:vAlign w:val="center"/>
          </w:tcPr>
          <w:p w14:paraId="67D76AEC">
            <w:pPr>
              <w:pStyle w:val="31"/>
              <w:widowControl w:val="0"/>
              <w:rPr>
                <w:rFonts w:ascii="宋体" w:hAnsi="宋体" w:eastAsia="宋体"/>
                <w:kern w:val="2"/>
                <w:sz w:val="21"/>
                <w:szCs w:val="21"/>
              </w:rPr>
            </w:pPr>
          </w:p>
        </w:tc>
        <w:tc>
          <w:tcPr>
            <w:tcW w:w="3335" w:type="dxa"/>
            <w:vAlign w:val="center"/>
          </w:tcPr>
          <w:p w14:paraId="4E2DC63C">
            <w:pPr>
              <w:jc w:val="center"/>
              <w:rPr>
                <w:rFonts w:ascii="宋体" w:hAnsi="宋体" w:cs="宋体"/>
                <w:color w:val="FF0000"/>
                <w:kern w:val="2"/>
                <w:sz w:val="21"/>
                <w:szCs w:val="21"/>
              </w:rPr>
            </w:pPr>
            <w:r>
              <w:rPr>
                <w:rFonts w:hint="eastAsia"/>
                <w:color w:val="000000"/>
                <w:kern w:val="2"/>
                <w:sz w:val="21"/>
                <w:szCs w:val="21"/>
              </w:rPr>
              <w:t>消防演练和如何使用灭火器等</w:t>
            </w:r>
          </w:p>
        </w:tc>
        <w:tc>
          <w:tcPr>
            <w:tcW w:w="1153" w:type="dxa"/>
            <w:vMerge w:val="continue"/>
            <w:vAlign w:val="center"/>
          </w:tcPr>
          <w:p w14:paraId="4D1AD838">
            <w:pPr>
              <w:jc w:val="center"/>
              <w:rPr>
                <w:rFonts w:ascii="宋体" w:hAnsi="宋体" w:cs="宋体"/>
                <w:color w:val="FF0000"/>
                <w:kern w:val="2"/>
                <w:sz w:val="21"/>
                <w:szCs w:val="21"/>
              </w:rPr>
            </w:pPr>
          </w:p>
        </w:tc>
        <w:tc>
          <w:tcPr>
            <w:tcW w:w="3185" w:type="dxa"/>
            <w:vAlign w:val="center"/>
          </w:tcPr>
          <w:p w14:paraId="19E5AFD1">
            <w:pPr>
              <w:jc w:val="center"/>
              <w:rPr>
                <w:rFonts w:ascii="宋体" w:hAnsi="宋体" w:cs="宋体"/>
                <w:color w:val="FF0000"/>
                <w:kern w:val="2"/>
                <w:sz w:val="21"/>
                <w:szCs w:val="21"/>
              </w:rPr>
            </w:pPr>
            <w:r>
              <w:rPr>
                <w:rFonts w:hint="eastAsia"/>
                <w:color w:val="000000"/>
                <w:kern w:val="2"/>
                <w:sz w:val="21"/>
                <w:szCs w:val="21"/>
              </w:rPr>
              <w:t>防伪税票培训</w:t>
            </w:r>
          </w:p>
        </w:tc>
      </w:tr>
      <w:tr w14:paraId="02159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068" w:type="dxa"/>
            <w:vMerge w:val="continue"/>
            <w:vAlign w:val="center"/>
          </w:tcPr>
          <w:p w14:paraId="7D612211">
            <w:pPr>
              <w:pStyle w:val="31"/>
              <w:widowControl w:val="0"/>
              <w:rPr>
                <w:rFonts w:ascii="宋体" w:hAnsi="宋体" w:eastAsia="宋体"/>
                <w:kern w:val="2"/>
                <w:sz w:val="21"/>
                <w:szCs w:val="21"/>
              </w:rPr>
            </w:pPr>
          </w:p>
        </w:tc>
        <w:tc>
          <w:tcPr>
            <w:tcW w:w="3335" w:type="dxa"/>
            <w:vAlign w:val="center"/>
          </w:tcPr>
          <w:p w14:paraId="1264E149">
            <w:pPr>
              <w:jc w:val="center"/>
              <w:rPr>
                <w:rFonts w:ascii="宋体" w:hAnsi="宋体" w:cs="宋体"/>
                <w:color w:val="FF0000"/>
                <w:kern w:val="2"/>
                <w:sz w:val="21"/>
                <w:szCs w:val="21"/>
              </w:rPr>
            </w:pPr>
            <w:r>
              <w:rPr>
                <w:rFonts w:hint="eastAsia"/>
                <w:color w:val="000000"/>
                <w:kern w:val="2"/>
                <w:sz w:val="21"/>
                <w:szCs w:val="21"/>
              </w:rPr>
              <w:t>设备维护和安全生产知识</w:t>
            </w:r>
          </w:p>
        </w:tc>
        <w:tc>
          <w:tcPr>
            <w:tcW w:w="1153" w:type="dxa"/>
            <w:vMerge w:val="continue"/>
            <w:vAlign w:val="center"/>
          </w:tcPr>
          <w:p w14:paraId="432371C8">
            <w:pPr>
              <w:jc w:val="center"/>
              <w:rPr>
                <w:rFonts w:ascii="宋体" w:hAnsi="宋体" w:cs="宋体"/>
                <w:color w:val="FF0000"/>
                <w:kern w:val="2"/>
                <w:sz w:val="21"/>
                <w:szCs w:val="21"/>
              </w:rPr>
            </w:pPr>
          </w:p>
        </w:tc>
        <w:tc>
          <w:tcPr>
            <w:tcW w:w="3185" w:type="dxa"/>
            <w:vAlign w:val="center"/>
          </w:tcPr>
          <w:p w14:paraId="41D0CB57">
            <w:pPr>
              <w:jc w:val="center"/>
              <w:rPr>
                <w:rFonts w:ascii="宋体" w:hAnsi="宋体" w:cs="宋体"/>
                <w:color w:val="FF0000"/>
                <w:kern w:val="2"/>
                <w:sz w:val="21"/>
                <w:szCs w:val="21"/>
              </w:rPr>
            </w:pPr>
            <w:r>
              <w:rPr>
                <w:rFonts w:hint="eastAsia"/>
                <w:color w:val="000000"/>
                <w:kern w:val="2"/>
                <w:sz w:val="21"/>
                <w:szCs w:val="21"/>
              </w:rPr>
              <w:t>公司财务分析及风险防范</w:t>
            </w:r>
          </w:p>
        </w:tc>
      </w:tr>
      <w:tr w14:paraId="096E2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068" w:type="dxa"/>
            <w:vMerge w:val="restart"/>
            <w:vAlign w:val="center"/>
          </w:tcPr>
          <w:p w14:paraId="12988601">
            <w:pPr>
              <w:pStyle w:val="31"/>
              <w:widowControl w:val="0"/>
              <w:rPr>
                <w:rFonts w:ascii="宋体" w:hAnsi="宋体" w:eastAsia="宋体"/>
                <w:kern w:val="2"/>
                <w:sz w:val="21"/>
                <w:szCs w:val="21"/>
              </w:rPr>
            </w:pPr>
            <w:r>
              <w:rPr>
                <w:rFonts w:hint="eastAsia" w:ascii="Times New Roman" w:hAnsi="Times New Roman" w:eastAsia="宋体"/>
                <w:kern w:val="2"/>
                <w:sz w:val="21"/>
                <w:szCs w:val="21"/>
              </w:rPr>
              <w:t>人力资源</w:t>
            </w:r>
          </w:p>
        </w:tc>
        <w:tc>
          <w:tcPr>
            <w:tcW w:w="3335" w:type="dxa"/>
            <w:vAlign w:val="center"/>
          </w:tcPr>
          <w:p w14:paraId="00598A8B">
            <w:pPr>
              <w:jc w:val="center"/>
              <w:rPr>
                <w:rFonts w:ascii="宋体" w:hAnsi="宋体" w:cs="宋体"/>
                <w:color w:val="FF0000"/>
                <w:kern w:val="2"/>
                <w:sz w:val="21"/>
                <w:szCs w:val="21"/>
              </w:rPr>
            </w:pPr>
            <w:r>
              <w:rPr>
                <w:rFonts w:hint="eastAsia"/>
                <w:color w:val="000000"/>
                <w:kern w:val="2"/>
                <w:sz w:val="21"/>
                <w:szCs w:val="21"/>
              </w:rPr>
              <w:t>人力资源管理</w:t>
            </w:r>
          </w:p>
        </w:tc>
        <w:tc>
          <w:tcPr>
            <w:tcW w:w="1153" w:type="dxa"/>
            <w:vMerge w:val="continue"/>
            <w:vAlign w:val="center"/>
          </w:tcPr>
          <w:p w14:paraId="0624A721">
            <w:pPr>
              <w:jc w:val="center"/>
              <w:rPr>
                <w:rFonts w:ascii="宋体" w:hAnsi="宋体" w:cs="宋体"/>
                <w:color w:val="FF0000"/>
                <w:kern w:val="2"/>
                <w:sz w:val="21"/>
                <w:szCs w:val="21"/>
              </w:rPr>
            </w:pPr>
          </w:p>
        </w:tc>
        <w:tc>
          <w:tcPr>
            <w:tcW w:w="3185" w:type="dxa"/>
            <w:vAlign w:val="center"/>
          </w:tcPr>
          <w:p w14:paraId="472C4C0B">
            <w:pPr>
              <w:jc w:val="center"/>
              <w:rPr>
                <w:rFonts w:ascii="宋体" w:hAnsi="宋体" w:cs="宋体"/>
                <w:color w:val="FF0000"/>
                <w:kern w:val="2"/>
                <w:sz w:val="21"/>
                <w:szCs w:val="21"/>
              </w:rPr>
            </w:pPr>
            <w:r>
              <w:rPr>
                <w:rFonts w:hint="eastAsia"/>
                <w:color w:val="000000"/>
                <w:kern w:val="2"/>
                <w:sz w:val="21"/>
                <w:szCs w:val="21"/>
              </w:rPr>
              <w:t>会计证年审培训</w:t>
            </w:r>
          </w:p>
        </w:tc>
      </w:tr>
      <w:tr w14:paraId="0697A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068" w:type="dxa"/>
            <w:vMerge w:val="continue"/>
            <w:vAlign w:val="center"/>
          </w:tcPr>
          <w:p w14:paraId="62BD8AFC">
            <w:pPr>
              <w:pStyle w:val="31"/>
              <w:widowControl w:val="0"/>
              <w:jc w:val="left"/>
              <w:rPr>
                <w:rFonts w:ascii="宋体" w:hAnsi="宋体" w:eastAsia="宋体"/>
                <w:kern w:val="2"/>
                <w:sz w:val="21"/>
                <w:szCs w:val="21"/>
              </w:rPr>
            </w:pPr>
          </w:p>
        </w:tc>
        <w:tc>
          <w:tcPr>
            <w:tcW w:w="3335" w:type="dxa"/>
            <w:vAlign w:val="center"/>
          </w:tcPr>
          <w:p w14:paraId="1C89C30F">
            <w:pPr>
              <w:jc w:val="center"/>
              <w:rPr>
                <w:rFonts w:ascii="宋体" w:hAnsi="宋体" w:cs="宋体"/>
                <w:color w:val="FF0000"/>
                <w:kern w:val="2"/>
                <w:sz w:val="21"/>
                <w:szCs w:val="21"/>
              </w:rPr>
            </w:pPr>
            <w:r>
              <w:rPr>
                <w:rFonts w:hint="eastAsia"/>
                <w:color w:val="000000"/>
                <w:kern w:val="2"/>
                <w:sz w:val="21"/>
                <w:szCs w:val="21"/>
              </w:rPr>
              <w:t>企业绩效管理和团队目标</w:t>
            </w:r>
          </w:p>
        </w:tc>
        <w:tc>
          <w:tcPr>
            <w:tcW w:w="1153" w:type="dxa"/>
            <w:vMerge w:val="continue"/>
            <w:vAlign w:val="center"/>
          </w:tcPr>
          <w:p w14:paraId="6C0CE44C">
            <w:pPr>
              <w:jc w:val="center"/>
              <w:rPr>
                <w:rFonts w:ascii="宋体" w:hAnsi="宋体" w:cs="宋体"/>
                <w:color w:val="FF0000"/>
                <w:kern w:val="2"/>
                <w:sz w:val="21"/>
                <w:szCs w:val="21"/>
              </w:rPr>
            </w:pPr>
          </w:p>
        </w:tc>
        <w:tc>
          <w:tcPr>
            <w:tcW w:w="3185" w:type="dxa"/>
            <w:vAlign w:val="center"/>
          </w:tcPr>
          <w:p w14:paraId="459F2D3F">
            <w:pPr>
              <w:jc w:val="center"/>
              <w:rPr>
                <w:rFonts w:ascii="宋体" w:hAnsi="宋体" w:cs="宋体"/>
                <w:color w:val="FF0000"/>
                <w:kern w:val="2"/>
                <w:sz w:val="21"/>
                <w:szCs w:val="21"/>
              </w:rPr>
            </w:pPr>
            <w:r>
              <w:rPr>
                <w:rFonts w:hint="eastAsia"/>
                <w:color w:val="000000"/>
                <w:kern w:val="2"/>
                <w:sz w:val="21"/>
                <w:szCs w:val="21"/>
              </w:rPr>
              <w:t>核销业务</w:t>
            </w:r>
          </w:p>
        </w:tc>
      </w:tr>
      <w:tr w14:paraId="5B272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68" w:type="dxa"/>
            <w:vMerge w:val="continue"/>
            <w:vAlign w:val="center"/>
          </w:tcPr>
          <w:p w14:paraId="03795C59">
            <w:pPr>
              <w:pStyle w:val="31"/>
              <w:widowControl w:val="0"/>
              <w:jc w:val="left"/>
              <w:rPr>
                <w:rFonts w:ascii="宋体" w:hAnsi="宋体" w:eastAsia="宋体"/>
                <w:kern w:val="2"/>
                <w:sz w:val="21"/>
                <w:szCs w:val="21"/>
              </w:rPr>
            </w:pPr>
          </w:p>
        </w:tc>
        <w:tc>
          <w:tcPr>
            <w:tcW w:w="3335" w:type="dxa"/>
            <w:vAlign w:val="center"/>
          </w:tcPr>
          <w:p w14:paraId="61D879DA">
            <w:pPr>
              <w:jc w:val="center"/>
              <w:rPr>
                <w:color w:val="FF0000"/>
                <w:kern w:val="2"/>
                <w:sz w:val="21"/>
                <w:szCs w:val="21"/>
              </w:rPr>
            </w:pPr>
            <w:r>
              <w:rPr>
                <w:rFonts w:hint="eastAsia"/>
                <w:color w:val="000000"/>
                <w:kern w:val="2"/>
                <w:sz w:val="21"/>
                <w:szCs w:val="21"/>
              </w:rPr>
              <w:t>《劳动合同法》相关知识</w:t>
            </w:r>
          </w:p>
        </w:tc>
        <w:tc>
          <w:tcPr>
            <w:tcW w:w="1153" w:type="dxa"/>
            <w:vMerge w:val="restart"/>
            <w:vAlign w:val="center"/>
          </w:tcPr>
          <w:p w14:paraId="48C790E3">
            <w:pPr>
              <w:jc w:val="center"/>
              <w:rPr>
                <w:color w:val="FF0000"/>
                <w:kern w:val="2"/>
                <w:sz w:val="21"/>
                <w:szCs w:val="21"/>
              </w:rPr>
            </w:pPr>
            <w:r>
              <w:rPr>
                <w:rFonts w:hint="eastAsia"/>
                <w:color w:val="000000"/>
                <w:kern w:val="2"/>
                <w:sz w:val="21"/>
                <w:szCs w:val="21"/>
              </w:rPr>
              <w:t>统计管理</w:t>
            </w:r>
          </w:p>
        </w:tc>
        <w:tc>
          <w:tcPr>
            <w:tcW w:w="3185" w:type="dxa"/>
            <w:vAlign w:val="center"/>
          </w:tcPr>
          <w:p w14:paraId="2B0E3580">
            <w:pPr>
              <w:jc w:val="center"/>
              <w:rPr>
                <w:color w:val="FF0000"/>
                <w:kern w:val="2"/>
                <w:sz w:val="21"/>
                <w:szCs w:val="21"/>
              </w:rPr>
            </w:pPr>
            <w:r>
              <w:rPr>
                <w:rFonts w:hint="eastAsia"/>
                <w:color w:val="000000"/>
                <w:kern w:val="2"/>
                <w:sz w:val="21"/>
                <w:szCs w:val="21"/>
              </w:rPr>
              <w:t>物料控制与库存管理</w:t>
            </w:r>
          </w:p>
        </w:tc>
      </w:tr>
      <w:tr w14:paraId="4422F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068" w:type="dxa"/>
            <w:vMerge w:val="continue"/>
            <w:vAlign w:val="center"/>
          </w:tcPr>
          <w:p w14:paraId="08C033A0">
            <w:pPr>
              <w:pStyle w:val="31"/>
              <w:widowControl w:val="0"/>
              <w:jc w:val="left"/>
              <w:rPr>
                <w:rFonts w:ascii="宋体" w:hAnsi="宋体" w:eastAsia="宋体"/>
                <w:kern w:val="2"/>
                <w:sz w:val="21"/>
                <w:szCs w:val="21"/>
              </w:rPr>
            </w:pPr>
          </w:p>
        </w:tc>
        <w:tc>
          <w:tcPr>
            <w:tcW w:w="3335" w:type="dxa"/>
            <w:vAlign w:val="center"/>
          </w:tcPr>
          <w:p w14:paraId="50892697">
            <w:pPr>
              <w:jc w:val="center"/>
              <w:rPr>
                <w:color w:val="FF0000"/>
                <w:kern w:val="2"/>
                <w:sz w:val="21"/>
                <w:szCs w:val="21"/>
              </w:rPr>
            </w:pPr>
            <w:r>
              <w:rPr>
                <w:rFonts w:hint="eastAsia"/>
                <w:color w:val="000000"/>
                <w:kern w:val="2"/>
                <w:sz w:val="21"/>
                <w:szCs w:val="21"/>
              </w:rPr>
              <w:t>打造企业实战培训体系</w:t>
            </w:r>
          </w:p>
        </w:tc>
        <w:tc>
          <w:tcPr>
            <w:tcW w:w="1153" w:type="dxa"/>
            <w:vMerge w:val="continue"/>
            <w:vAlign w:val="center"/>
          </w:tcPr>
          <w:p w14:paraId="389A41CD">
            <w:pPr>
              <w:jc w:val="center"/>
              <w:rPr>
                <w:color w:val="FF0000"/>
                <w:kern w:val="2"/>
                <w:sz w:val="21"/>
                <w:szCs w:val="21"/>
              </w:rPr>
            </w:pPr>
          </w:p>
        </w:tc>
        <w:tc>
          <w:tcPr>
            <w:tcW w:w="3185" w:type="dxa"/>
            <w:vAlign w:val="center"/>
          </w:tcPr>
          <w:p w14:paraId="10DB323D">
            <w:pPr>
              <w:jc w:val="center"/>
              <w:rPr>
                <w:color w:val="FF0000"/>
                <w:kern w:val="2"/>
                <w:sz w:val="21"/>
                <w:szCs w:val="21"/>
              </w:rPr>
            </w:pPr>
            <w:r>
              <w:rPr>
                <w:rFonts w:hint="eastAsia"/>
                <w:color w:val="000000"/>
                <w:kern w:val="2"/>
                <w:sz w:val="21"/>
                <w:szCs w:val="21"/>
              </w:rPr>
              <w:t>档案管理人员培训</w:t>
            </w:r>
          </w:p>
        </w:tc>
      </w:tr>
      <w:tr w14:paraId="7C64E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068" w:type="dxa"/>
            <w:vMerge w:val="continue"/>
            <w:vAlign w:val="center"/>
          </w:tcPr>
          <w:p w14:paraId="0D44E46D">
            <w:pPr>
              <w:pStyle w:val="31"/>
              <w:widowControl w:val="0"/>
              <w:jc w:val="left"/>
              <w:rPr>
                <w:rFonts w:ascii="宋体" w:hAnsi="宋体" w:eastAsia="宋体"/>
                <w:kern w:val="2"/>
                <w:sz w:val="21"/>
                <w:szCs w:val="21"/>
              </w:rPr>
            </w:pPr>
          </w:p>
        </w:tc>
        <w:tc>
          <w:tcPr>
            <w:tcW w:w="3335" w:type="dxa"/>
            <w:vAlign w:val="center"/>
          </w:tcPr>
          <w:p w14:paraId="26FBE013">
            <w:pPr>
              <w:jc w:val="center"/>
              <w:rPr>
                <w:color w:val="FF0000"/>
                <w:kern w:val="2"/>
                <w:sz w:val="21"/>
                <w:szCs w:val="21"/>
              </w:rPr>
            </w:pPr>
            <w:r>
              <w:rPr>
                <w:rFonts w:hint="eastAsia"/>
                <w:color w:val="000000"/>
                <w:kern w:val="2"/>
                <w:sz w:val="21"/>
                <w:szCs w:val="21"/>
              </w:rPr>
              <w:t>劳动保障法规政策培训</w:t>
            </w:r>
          </w:p>
        </w:tc>
        <w:tc>
          <w:tcPr>
            <w:tcW w:w="1153" w:type="dxa"/>
            <w:vMerge w:val="restart"/>
            <w:vAlign w:val="center"/>
          </w:tcPr>
          <w:p w14:paraId="27CFEE67">
            <w:pPr>
              <w:jc w:val="center"/>
              <w:rPr>
                <w:color w:val="FF0000"/>
                <w:kern w:val="2"/>
                <w:sz w:val="21"/>
                <w:szCs w:val="21"/>
              </w:rPr>
            </w:pPr>
            <w:r>
              <w:rPr>
                <w:rFonts w:hint="eastAsia"/>
                <w:color w:val="000000"/>
                <w:kern w:val="2"/>
                <w:sz w:val="21"/>
                <w:szCs w:val="21"/>
              </w:rPr>
              <w:t>中高层管理</w:t>
            </w:r>
          </w:p>
        </w:tc>
        <w:tc>
          <w:tcPr>
            <w:tcW w:w="3185" w:type="dxa"/>
            <w:vAlign w:val="center"/>
          </w:tcPr>
          <w:p w14:paraId="6EF9B36A">
            <w:pPr>
              <w:jc w:val="center"/>
              <w:rPr>
                <w:color w:val="FF0000"/>
                <w:kern w:val="2"/>
                <w:sz w:val="21"/>
                <w:szCs w:val="21"/>
              </w:rPr>
            </w:pPr>
            <w:r>
              <w:rPr>
                <w:rFonts w:hint="eastAsia"/>
                <w:color w:val="000000"/>
                <w:kern w:val="2"/>
                <w:sz w:val="21"/>
                <w:szCs w:val="21"/>
              </w:rPr>
              <w:t>企业创新理念途径</w:t>
            </w:r>
          </w:p>
        </w:tc>
      </w:tr>
      <w:tr w14:paraId="6F640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068" w:type="dxa"/>
            <w:vMerge w:val="continue"/>
            <w:vAlign w:val="center"/>
          </w:tcPr>
          <w:p w14:paraId="46E816F8">
            <w:pPr>
              <w:pStyle w:val="31"/>
              <w:widowControl w:val="0"/>
              <w:jc w:val="left"/>
              <w:rPr>
                <w:rFonts w:ascii="宋体" w:hAnsi="宋体" w:eastAsia="宋体"/>
                <w:kern w:val="2"/>
                <w:sz w:val="21"/>
                <w:szCs w:val="21"/>
              </w:rPr>
            </w:pPr>
          </w:p>
        </w:tc>
        <w:tc>
          <w:tcPr>
            <w:tcW w:w="3335" w:type="dxa"/>
            <w:vAlign w:val="center"/>
          </w:tcPr>
          <w:p w14:paraId="50C607ED">
            <w:pPr>
              <w:jc w:val="center"/>
              <w:rPr>
                <w:color w:val="FF0000"/>
                <w:kern w:val="2"/>
                <w:sz w:val="21"/>
                <w:szCs w:val="21"/>
              </w:rPr>
            </w:pPr>
            <w:r>
              <w:rPr>
                <w:rFonts w:hint="eastAsia"/>
                <w:color w:val="000000"/>
                <w:kern w:val="2"/>
                <w:sz w:val="21"/>
                <w:szCs w:val="21"/>
              </w:rPr>
              <w:t>人力资源战略与管理</w:t>
            </w:r>
          </w:p>
        </w:tc>
        <w:tc>
          <w:tcPr>
            <w:tcW w:w="1153" w:type="dxa"/>
            <w:vMerge w:val="continue"/>
            <w:vAlign w:val="center"/>
          </w:tcPr>
          <w:p w14:paraId="582AF526">
            <w:pPr>
              <w:jc w:val="center"/>
              <w:rPr>
                <w:color w:val="FF0000"/>
                <w:kern w:val="2"/>
                <w:sz w:val="21"/>
                <w:szCs w:val="21"/>
              </w:rPr>
            </w:pPr>
          </w:p>
        </w:tc>
        <w:tc>
          <w:tcPr>
            <w:tcW w:w="3185" w:type="dxa"/>
            <w:vAlign w:val="center"/>
          </w:tcPr>
          <w:p w14:paraId="030B9BC9">
            <w:pPr>
              <w:jc w:val="center"/>
              <w:rPr>
                <w:color w:val="FF0000"/>
                <w:kern w:val="2"/>
                <w:sz w:val="21"/>
                <w:szCs w:val="21"/>
              </w:rPr>
            </w:pPr>
            <w:r>
              <w:rPr>
                <w:rFonts w:hint="eastAsia"/>
                <w:color w:val="000000"/>
                <w:kern w:val="2"/>
                <w:sz w:val="21"/>
                <w:szCs w:val="21"/>
              </w:rPr>
              <w:t>中国式管理培训</w:t>
            </w:r>
          </w:p>
        </w:tc>
      </w:tr>
      <w:tr w14:paraId="691D0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068" w:type="dxa"/>
            <w:vMerge w:val="continue"/>
            <w:vAlign w:val="center"/>
          </w:tcPr>
          <w:p w14:paraId="6C665957">
            <w:pPr>
              <w:pStyle w:val="31"/>
              <w:widowControl w:val="0"/>
              <w:jc w:val="left"/>
              <w:rPr>
                <w:rFonts w:ascii="宋体" w:hAnsi="宋体" w:eastAsia="宋体"/>
                <w:kern w:val="2"/>
                <w:sz w:val="21"/>
                <w:szCs w:val="21"/>
              </w:rPr>
            </w:pPr>
          </w:p>
        </w:tc>
        <w:tc>
          <w:tcPr>
            <w:tcW w:w="3335" w:type="dxa"/>
            <w:vAlign w:val="center"/>
          </w:tcPr>
          <w:p w14:paraId="2D7E42C9">
            <w:pPr>
              <w:jc w:val="center"/>
              <w:rPr>
                <w:color w:val="000000"/>
                <w:kern w:val="2"/>
                <w:sz w:val="21"/>
                <w:szCs w:val="21"/>
              </w:rPr>
            </w:pPr>
            <w:r>
              <w:rPr>
                <w:rFonts w:hint="eastAsia"/>
                <w:color w:val="000000"/>
                <w:kern w:val="2"/>
                <w:sz w:val="21"/>
                <w:szCs w:val="21"/>
              </w:rPr>
              <w:t>养老保险制度实施办法</w:t>
            </w:r>
          </w:p>
        </w:tc>
        <w:tc>
          <w:tcPr>
            <w:tcW w:w="1153" w:type="dxa"/>
            <w:vMerge w:val="continue"/>
            <w:vAlign w:val="center"/>
          </w:tcPr>
          <w:p w14:paraId="5FD4ED50">
            <w:pPr>
              <w:jc w:val="center"/>
              <w:rPr>
                <w:color w:val="000000"/>
                <w:kern w:val="2"/>
                <w:sz w:val="21"/>
                <w:szCs w:val="21"/>
              </w:rPr>
            </w:pPr>
          </w:p>
        </w:tc>
        <w:tc>
          <w:tcPr>
            <w:tcW w:w="3185" w:type="dxa"/>
            <w:vAlign w:val="center"/>
          </w:tcPr>
          <w:p w14:paraId="06A0FD2B">
            <w:pPr>
              <w:jc w:val="center"/>
              <w:rPr>
                <w:color w:val="000000"/>
                <w:kern w:val="2"/>
                <w:sz w:val="21"/>
                <w:szCs w:val="21"/>
              </w:rPr>
            </w:pPr>
            <w:r>
              <w:rPr>
                <w:rFonts w:hint="eastAsia"/>
                <w:color w:val="000000"/>
                <w:kern w:val="2"/>
                <w:sz w:val="21"/>
                <w:szCs w:val="21"/>
              </w:rPr>
              <w:t>如何成为优秀管理干部</w:t>
            </w:r>
          </w:p>
        </w:tc>
      </w:tr>
      <w:tr w14:paraId="64D20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1068" w:type="dxa"/>
            <w:vMerge w:val="restart"/>
            <w:vAlign w:val="center"/>
          </w:tcPr>
          <w:p w14:paraId="1A56AAE5">
            <w:pPr>
              <w:pStyle w:val="31"/>
              <w:widowControl w:val="0"/>
              <w:jc w:val="left"/>
              <w:rPr>
                <w:rFonts w:ascii="宋体" w:hAnsi="宋体" w:eastAsia="宋体"/>
                <w:kern w:val="2"/>
                <w:sz w:val="21"/>
                <w:szCs w:val="21"/>
              </w:rPr>
            </w:pPr>
            <w:r>
              <w:rPr>
                <w:rFonts w:hint="eastAsia" w:ascii="Times New Roman" w:hAnsi="Times New Roman" w:eastAsia="宋体"/>
                <w:kern w:val="2"/>
                <w:sz w:val="21"/>
                <w:szCs w:val="21"/>
              </w:rPr>
              <w:t>生产管理</w:t>
            </w:r>
          </w:p>
        </w:tc>
        <w:tc>
          <w:tcPr>
            <w:tcW w:w="3335" w:type="dxa"/>
            <w:vAlign w:val="center"/>
          </w:tcPr>
          <w:p w14:paraId="09E6D701">
            <w:pPr>
              <w:jc w:val="center"/>
              <w:rPr>
                <w:color w:val="000000"/>
                <w:kern w:val="2"/>
                <w:sz w:val="21"/>
                <w:szCs w:val="21"/>
              </w:rPr>
            </w:pPr>
            <w:r>
              <w:rPr>
                <w:rFonts w:hint="eastAsia"/>
                <w:color w:val="000000"/>
                <w:kern w:val="2"/>
                <w:sz w:val="21"/>
                <w:szCs w:val="21"/>
              </w:rPr>
              <w:t>安全培训</w:t>
            </w:r>
          </w:p>
        </w:tc>
        <w:tc>
          <w:tcPr>
            <w:tcW w:w="1153" w:type="dxa"/>
            <w:vMerge w:val="continue"/>
            <w:vAlign w:val="center"/>
          </w:tcPr>
          <w:p w14:paraId="77D30399">
            <w:pPr>
              <w:jc w:val="center"/>
              <w:rPr>
                <w:color w:val="000000"/>
                <w:kern w:val="2"/>
                <w:sz w:val="21"/>
                <w:szCs w:val="21"/>
              </w:rPr>
            </w:pPr>
          </w:p>
        </w:tc>
        <w:tc>
          <w:tcPr>
            <w:tcW w:w="3185" w:type="dxa"/>
            <w:vAlign w:val="center"/>
          </w:tcPr>
          <w:p w14:paraId="753DF44C">
            <w:pPr>
              <w:jc w:val="center"/>
              <w:rPr>
                <w:color w:val="000000"/>
                <w:kern w:val="2"/>
                <w:sz w:val="21"/>
                <w:szCs w:val="21"/>
              </w:rPr>
            </w:pPr>
            <w:r>
              <w:rPr>
                <w:rFonts w:hint="eastAsia"/>
                <w:color w:val="000000"/>
                <w:kern w:val="2"/>
                <w:sz w:val="21"/>
                <w:szCs w:val="21"/>
              </w:rPr>
              <w:t>企业规范化管理培训</w:t>
            </w:r>
          </w:p>
        </w:tc>
      </w:tr>
      <w:tr w14:paraId="3463C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1068" w:type="dxa"/>
            <w:vMerge w:val="continue"/>
            <w:vAlign w:val="center"/>
          </w:tcPr>
          <w:p w14:paraId="678593B0">
            <w:pPr>
              <w:pStyle w:val="31"/>
              <w:widowControl w:val="0"/>
              <w:jc w:val="left"/>
              <w:rPr>
                <w:rFonts w:ascii="宋体" w:hAnsi="宋体" w:eastAsia="宋体"/>
                <w:kern w:val="2"/>
                <w:sz w:val="21"/>
                <w:szCs w:val="21"/>
              </w:rPr>
            </w:pPr>
          </w:p>
        </w:tc>
        <w:tc>
          <w:tcPr>
            <w:tcW w:w="3335" w:type="dxa"/>
            <w:vAlign w:val="center"/>
          </w:tcPr>
          <w:p w14:paraId="0A7FB8AF">
            <w:pPr>
              <w:jc w:val="center"/>
              <w:rPr>
                <w:color w:val="000000"/>
                <w:kern w:val="2"/>
                <w:sz w:val="21"/>
                <w:szCs w:val="21"/>
              </w:rPr>
            </w:pPr>
            <w:r>
              <w:rPr>
                <w:rFonts w:hint="eastAsia"/>
                <w:color w:val="000000"/>
                <w:kern w:val="2"/>
                <w:sz w:val="21"/>
                <w:szCs w:val="21"/>
              </w:rPr>
              <w:t>员工上岗培训</w:t>
            </w:r>
          </w:p>
        </w:tc>
        <w:tc>
          <w:tcPr>
            <w:tcW w:w="1153" w:type="dxa"/>
            <w:vMerge w:val="continue"/>
            <w:vAlign w:val="center"/>
          </w:tcPr>
          <w:p w14:paraId="60DCBAB5">
            <w:pPr>
              <w:jc w:val="center"/>
              <w:rPr>
                <w:color w:val="000000"/>
                <w:kern w:val="2"/>
                <w:sz w:val="21"/>
                <w:szCs w:val="21"/>
              </w:rPr>
            </w:pPr>
          </w:p>
        </w:tc>
        <w:tc>
          <w:tcPr>
            <w:tcW w:w="3185" w:type="dxa"/>
            <w:vAlign w:val="center"/>
          </w:tcPr>
          <w:p w14:paraId="0EF3A73F">
            <w:pPr>
              <w:jc w:val="center"/>
              <w:rPr>
                <w:color w:val="000000"/>
                <w:kern w:val="2"/>
                <w:sz w:val="21"/>
                <w:szCs w:val="21"/>
              </w:rPr>
            </w:pPr>
            <w:r>
              <w:rPr>
                <w:rFonts w:hint="eastAsia"/>
                <w:color w:val="000000"/>
                <w:kern w:val="2"/>
                <w:sz w:val="21"/>
                <w:szCs w:val="21"/>
              </w:rPr>
              <w:t>员工职业化素质的打造</w:t>
            </w:r>
          </w:p>
        </w:tc>
      </w:tr>
      <w:tr w14:paraId="002E8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1068" w:type="dxa"/>
            <w:vMerge w:val="continue"/>
            <w:vAlign w:val="center"/>
          </w:tcPr>
          <w:p w14:paraId="730300DF">
            <w:pPr>
              <w:pStyle w:val="31"/>
              <w:widowControl w:val="0"/>
              <w:jc w:val="left"/>
              <w:rPr>
                <w:rFonts w:ascii="宋体" w:hAnsi="宋体" w:eastAsia="宋体"/>
                <w:kern w:val="2"/>
                <w:sz w:val="21"/>
                <w:szCs w:val="21"/>
              </w:rPr>
            </w:pPr>
          </w:p>
        </w:tc>
        <w:tc>
          <w:tcPr>
            <w:tcW w:w="3335" w:type="dxa"/>
            <w:vAlign w:val="center"/>
          </w:tcPr>
          <w:p w14:paraId="55455064">
            <w:pPr>
              <w:jc w:val="center"/>
              <w:rPr>
                <w:color w:val="000000"/>
                <w:kern w:val="2"/>
                <w:sz w:val="21"/>
                <w:szCs w:val="21"/>
              </w:rPr>
            </w:pPr>
            <w:r>
              <w:rPr>
                <w:rFonts w:hint="eastAsia"/>
                <w:color w:val="000000"/>
                <w:kern w:val="2"/>
                <w:sz w:val="21"/>
                <w:szCs w:val="21"/>
              </w:rPr>
              <w:t>内审员培训</w:t>
            </w:r>
          </w:p>
        </w:tc>
        <w:tc>
          <w:tcPr>
            <w:tcW w:w="1153" w:type="dxa"/>
            <w:vMerge w:val="continue"/>
            <w:vAlign w:val="center"/>
          </w:tcPr>
          <w:p w14:paraId="5F29DD06">
            <w:pPr>
              <w:jc w:val="center"/>
              <w:rPr>
                <w:color w:val="000000"/>
                <w:kern w:val="2"/>
                <w:sz w:val="21"/>
                <w:szCs w:val="21"/>
              </w:rPr>
            </w:pPr>
          </w:p>
        </w:tc>
        <w:tc>
          <w:tcPr>
            <w:tcW w:w="3185" w:type="dxa"/>
            <w:vAlign w:val="center"/>
          </w:tcPr>
          <w:p w14:paraId="64112112">
            <w:pPr>
              <w:jc w:val="center"/>
              <w:rPr>
                <w:color w:val="000000"/>
                <w:kern w:val="2"/>
                <w:sz w:val="21"/>
                <w:szCs w:val="21"/>
              </w:rPr>
            </w:pPr>
            <w:r>
              <w:rPr>
                <w:rFonts w:hint="eastAsia"/>
                <w:color w:val="000000"/>
                <w:kern w:val="2"/>
                <w:sz w:val="21"/>
                <w:szCs w:val="21"/>
              </w:rPr>
              <w:t>创建学习型组织与管理五项修炼</w:t>
            </w:r>
          </w:p>
        </w:tc>
      </w:tr>
      <w:tr w14:paraId="62AD7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068" w:type="dxa"/>
            <w:vMerge w:val="continue"/>
            <w:vAlign w:val="center"/>
          </w:tcPr>
          <w:p w14:paraId="14E319B5">
            <w:pPr>
              <w:pStyle w:val="31"/>
              <w:widowControl w:val="0"/>
              <w:jc w:val="left"/>
              <w:rPr>
                <w:rFonts w:ascii="宋体" w:hAnsi="宋体" w:eastAsia="宋体"/>
                <w:kern w:val="2"/>
                <w:sz w:val="21"/>
                <w:szCs w:val="21"/>
              </w:rPr>
            </w:pPr>
          </w:p>
        </w:tc>
        <w:tc>
          <w:tcPr>
            <w:tcW w:w="3335" w:type="dxa"/>
            <w:vAlign w:val="center"/>
          </w:tcPr>
          <w:p w14:paraId="675DE1C9">
            <w:pPr>
              <w:jc w:val="center"/>
              <w:rPr>
                <w:color w:val="000000"/>
                <w:kern w:val="2"/>
                <w:sz w:val="21"/>
                <w:szCs w:val="21"/>
              </w:rPr>
            </w:pPr>
            <w:r>
              <w:rPr>
                <w:rFonts w:hint="eastAsia"/>
                <w:color w:val="000000"/>
                <w:kern w:val="2"/>
                <w:sz w:val="21"/>
                <w:szCs w:val="21"/>
              </w:rPr>
              <w:t>生产计划与交货期培训</w:t>
            </w:r>
          </w:p>
        </w:tc>
        <w:tc>
          <w:tcPr>
            <w:tcW w:w="1153" w:type="dxa"/>
            <w:vMerge w:val="continue"/>
            <w:vAlign w:val="center"/>
          </w:tcPr>
          <w:p w14:paraId="17ABCA99">
            <w:pPr>
              <w:jc w:val="center"/>
              <w:rPr>
                <w:color w:val="000000"/>
                <w:kern w:val="2"/>
                <w:sz w:val="21"/>
                <w:szCs w:val="21"/>
              </w:rPr>
            </w:pPr>
          </w:p>
        </w:tc>
        <w:tc>
          <w:tcPr>
            <w:tcW w:w="3185" w:type="dxa"/>
            <w:vMerge w:val="restart"/>
            <w:vAlign w:val="center"/>
          </w:tcPr>
          <w:p w14:paraId="34880ED3">
            <w:pPr>
              <w:jc w:val="center"/>
              <w:rPr>
                <w:color w:val="000000"/>
                <w:kern w:val="2"/>
                <w:sz w:val="21"/>
                <w:szCs w:val="21"/>
              </w:rPr>
            </w:pPr>
            <w:r>
              <w:rPr>
                <w:rFonts w:hint="eastAsia"/>
                <w:color w:val="000000"/>
                <w:kern w:val="2"/>
                <w:sz w:val="21"/>
                <w:szCs w:val="21"/>
              </w:rPr>
              <w:t>赢利能力与企业家智慧变革暨领导力思维与影响力</w:t>
            </w:r>
          </w:p>
        </w:tc>
      </w:tr>
      <w:tr w14:paraId="561C5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068" w:type="dxa"/>
            <w:vMerge w:val="continue"/>
            <w:vAlign w:val="center"/>
          </w:tcPr>
          <w:p w14:paraId="3340F77D">
            <w:pPr>
              <w:pStyle w:val="31"/>
              <w:widowControl w:val="0"/>
              <w:jc w:val="left"/>
              <w:rPr>
                <w:rFonts w:ascii="宋体" w:hAnsi="宋体" w:eastAsia="宋体"/>
                <w:kern w:val="2"/>
                <w:sz w:val="21"/>
                <w:szCs w:val="21"/>
              </w:rPr>
            </w:pPr>
          </w:p>
        </w:tc>
        <w:tc>
          <w:tcPr>
            <w:tcW w:w="3335" w:type="dxa"/>
            <w:vAlign w:val="center"/>
          </w:tcPr>
          <w:p w14:paraId="5E6332BA">
            <w:pPr>
              <w:jc w:val="center"/>
              <w:rPr>
                <w:b/>
                <w:bCs/>
                <w:color w:val="000000"/>
                <w:kern w:val="2"/>
                <w:sz w:val="21"/>
                <w:szCs w:val="21"/>
              </w:rPr>
            </w:pPr>
            <w:r>
              <w:rPr>
                <w:rFonts w:hint="eastAsia"/>
                <w:color w:val="000000"/>
                <w:kern w:val="2"/>
                <w:sz w:val="21"/>
                <w:szCs w:val="21"/>
              </w:rPr>
              <w:t>卓越班组长管理技能提升训练</w:t>
            </w:r>
          </w:p>
        </w:tc>
        <w:tc>
          <w:tcPr>
            <w:tcW w:w="1153" w:type="dxa"/>
            <w:vMerge w:val="continue"/>
            <w:vAlign w:val="center"/>
          </w:tcPr>
          <w:p w14:paraId="1E9DEBE1">
            <w:pPr>
              <w:jc w:val="center"/>
              <w:rPr>
                <w:color w:val="000000"/>
                <w:kern w:val="2"/>
                <w:sz w:val="21"/>
                <w:szCs w:val="21"/>
              </w:rPr>
            </w:pPr>
          </w:p>
        </w:tc>
        <w:tc>
          <w:tcPr>
            <w:tcW w:w="3185" w:type="dxa"/>
            <w:vMerge w:val="continue"/>
            <w:vAlign w:val="center"/>
          </w:tcPr>
          <w:p w14:paraId="2B6ED634">
            <w:pPr>
              <w:jc w:val="center"/>
              <w:rPr>
                <w:color w:val="000000"/>
                <w:kern w:val="2"/>
                <w:sz w:val="21"/>
                <w:szCs w:val="21"/>
              </w:rPr>
            </w:pPr>
          </w:p>
        </w:tc>
      </w:tr>
      <w:tr w14:paraId="3D7C9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68" w:type="dxa"/>
            <w:vMerge w:val="continue"/>
            <w:vAlign w:val="center"/>
          </w:tcPr>
          <w:p w14:paraId="19271B91">
            <w:pPr>
              <w:pStyle w:val="31"/>
              <w:widowControl w:val="0"/>
              <w:jc w:val="left"/>
              <w:rPr>
                <w:rFonts w:ascii="宋体" w:hAnsi="宋体" w:eastAsia="宋体"/>
                <w:kern w:val="2"/>
                <w:sz w:val="21"/>
                <w:szCs w:val="21"/>
              </w:rPr>
            </w:pPr>
          </w:p>
        </w:tc>
        <w:tc>
          <w:tcPr>
            <w:tcW w:w="3335" w:type="dxa"/>
            <w:vAlign w:val="center"/>
          </w:tcPr>
          <w:p w14:paraId="0C59471F">
            <w:pPr>
              <w:jc w:val="center"/>
              <w:rPr>
                <w:color w:val="000000"/>
                <w:kern w:val="2"/>
                <w:sz w:val="21"/>
                <w:szCs w:val="21"/>
              </w:rPr>
            </w:pPr>
            <w:r>
              <w:rPr>
                <w:rFonts w:hint="eastAsia"/>
                <w:color w:val="000000"/>
                <w:kern w:val="2"/>
                <w:sz w:val="21"/>
                <w:szCs w:val="21"/>
              </w:rPr>
              <w:t>车间管理能力提升培训</w:t>
            </w:r>
          </w:p>
        </w:tc>
        <w:tc>
          <w:tcPr>
            <w:tcW w:w="1153" w:type="dxa"/>
            <w:vMerge w:val="continue"/>
            <w:vAlign w:val="center"/>
          </w:tcPr>
          <w:p w14:paraId="580A21A3">
            <w:pPr>
              <w:jc w:val="center"/>
              <w:rPr>
                <w:color w:val="000000"/>
                <w:kern w:val="2"/>
                <w:sz w:val="21"/>
                <w:szCs w:val="21"/>
              </w:rPr>
            </w:pPr>
          </w:p>
        </w:tc>
        <w:tc>
          <w:tcPr>
            <w:tcW w:w="3185" w:type="dxa"/>
            <w:vAlign w:val="center"/>
          </w:tcPr>
          <w:p w14:paraId="17B95EF5">
            <w:pPr>
              <w:jc w:val="center"/>
              <w:rPr>
                <w:color w:val="000000"/>
                <w:kern w:val="2"/>
                <w:sz w:val="21"/>
                <w:szCs w:val="21"/>
              </w:rPr>
            </w:pPr>
            <w:r>
              <w:rPr>
                <w:rFonts w:hint="eastAsia"/>
                <w:color w:val="000000"/>
                <w:kern w:val="2"/>
                <w:sz w:val="21"/>
                <w:szCs w:val="21"/>
              </w:rPr>
              <w:t>接轨国际一流公司的战略管理</w:t>
            </w:r>
          </w:p>
        </w:tc>
      </w:tr>
      <w:tr w14:paraId="0FDBE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068" w:type="dxa"/>
            <w:vMerge w:val="continue"/>
            <w:vAlign w:val="center"/>
          </w:tcPr>
          <w:p w14:paraId="6EB9D09D">
            <w:pPr>
              <w:pStyle w:val="31"/>
              <w:widowControl w:val="0"/>
              <w:jc w:val="left"/>
              <w:rPr>
                <w:rFonts w:ascii="宋体" w:hAnsi="宋体" w:eastAsia="宋体"/>
                <w:kern w:val="2"/>
                <w:sz w:val="21"/>
                <w:szCs w:val="21"/>
              </w:rPr>
            </w:pPr>
          </w:p>
        </w:tc>
        <w:tc>
          <w:tcPr>
            <w:tcW w:w="3335" w:type="dxa"/>
            <w:vAlign w:val="center"/>
          </w:tcPr>
          <w:p w14:paraId="6984F8AA">
            <w:pPr>
              <w:jc w:val="center"/>
              <w:rPr>
                <w:color w:val="000000"/>
                <w:kern w:val="2"/>
                <w:sz w:val="21"/>
                <w:szCs w:val="21"/>
              </w:rPr>
            </w:pPr>
            <w:r>
              <w:rPr>
                <w:rFonts w:hint="eastAsia"/>
                <w:color w:val="000000"/>
                <w:kern w:val="2"/>
                <w:sz w:val="21"/>
                <w:szCs w:val="21"/>
              </w:rPr>
              <w:t>生产一线成本管控</w:t>
            </w:r>
          </w:p>
        </w:tc>
        <w:tc>
          <w:tcPr>
            <w:tcW w:w="1153" w:type="dxa"/>
            <w:vMerge w:val="restart"/>
            <w:vAlign w:val="center"/>
          </w:tcPr>
          <w:p w14:paraId="2D4485AC">
            <w:pPr>
              <w:jc w:val="center"/>
              <w:rPr>
                <w:color w:val="000000"/>
                <w:kern w:val="2"/>
                <w:sz w:val="21"/>
                <w:szCs w:val="21"/>
              </w:rPr>
            </w:pPr>
            <w:r>
              <w:rPr>
                <w:rFonts w:hint="eastAsia"/>
                <w:color w:val="000000"/>
                <w:kern w:val="2"/>
                <w:sz w:val="21"/>
                <w:szCs w:val="21"/>
              </w:rPr>
              <w:t>技术管理</w:t>
            </w:r>
          </w:p>
        </w:tc>
        <w:tc>
          <w:tcPr>
            <w:tcW w:w="3185" w:type="dxa"/>
            <w:vAlign w:val="center"/>
          </w:tcPr>
          <w:p w14:paraId="38C8F140">
            <w:pPr>
              <w:jc w:val="center"/>
              <w:rPr>
                <w:color w:val="000000"/>
                <w:kern w:val="2"/>
                <w:sz w:val="21"/>
                <w:szCs w:val="21"/>
              </w:rPr>
            </w:pPr>
            <w:r>
              <w:rPr>
                <w:rFonts w:hint="eastAsia"/>
                <w:color w:val="000000"/>
                <w:kern w:val="2"/>
                <w:sz w:val="21"/>
                <w:szCs w:val="21"/>
              </w:rPr>
              <w:t>打造中国企业新中层职业经历技能培训</w:t>
            </w:r>
          </w:p>
        </w:tc>
      </w:tr>
      <w:tr w14:paraId="04904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068" w:type="dxa"/>
            <w:vMerge w:val="continue"/>
            <w:vAlign w:val="center"/>
          </w:tcPr>
          <w:p w14:paraId="036AE428">
            <w:pPr>
              <w:pStyle w:val="31"/>
              <w:widowControl w:val="0"/>
              <w:jc w:val="left"/>
              <w:rPr>
                <w:rFonts w:ascii="宋体" w:hAnsi="宋体" w:eastAsia="宋体"/>
                <w:kern w:val="2"/>
                <w:sz w:val="21"/>
                <w:szCs w:val="21"/>
              </w:rPr>
            </w:pPr>
          </w:p>
        </w:tc>
        <w:tc>
          <w:tcPr>
            <w:tcW w:w="3335" w:type="dxa"/>
            <w:vAlign w:val="center"/>
          </w:tcPr>
          <w:p w14:paraId="36BF7A05">
            <w:pPr>
              <w:jc w:val="center"/>
              <w:rPr>
                <w:color w:val="000000"/>
                <w:kern w:val="2"/>
                <w:sz w:val="21"/>
                <w:szCs w:val="21"/>
              </w:rPr>
            </w:pPr>
            <w:r>
              <w:rPr>
                <w:rFonts w:hint="eastAsia"/>
                <w:color w:val="000000"/>
                <w:kern w:val="2"/>
                <w:sz w:val="21"/>
                <w:szCs w:val="21"/>
              </w:rPr>
              <w:t>干部如何管理现场控制成本</w:t>
            </w:r>
          </w:p>
        </w:tc>
        <w:tc>
          <w:tcPr>
            <w:tcW w:w="1153" w:type="dxa"/>
            <w:vMerge w:val="continue"/>
            <w:vAlign w:val="center"/>
          </w:tcPr>
          <w:p w14:paraId="6AB8E117">
            <w:pPr>
              <w:jc w:val="center"/>
              <w:rPr>
                <w:color w:val="000000"/>
                <w:kern w:val="2"/>
                <w:sz w:val="21"/>
                <w:szCs w:val="21"/>
              </w:rPr>
            </w:pPr>
          </w:p>
        </w:tc>
        <w:tc>
          <w:tcPr>
            <w:tcW w:w="3185" w:type="dxa"/>
            <w:vAlign w:val="center"/>
          </w:tcPr>
          <w:p w14:paraId="51A00FF0">
            <w:pPr>
              <w:jc w:val="center"/>
              <w:rPr>
                <w:color w:val="000000"/>
                <w:kern w:val="2"/>
                <w:sz w:val="21"/>
                <w:szCs w:val="21"/>
              </w:rPr>
            </w:pPr>
            <w:r>
              <w:rPr>
                <w:rFonts w:hint="eastAsia"/>
                <w:color w:val="000000"/>
                <w:kern w:val="2"/>
                <w:sz w:val="21"/>
                <w:szCs w:val="21"/>
              </w:rPr>
              <w:t>新产品研发项目管理</w:t>
            </w:r>
          </w:p>
        </w:tc>
      </w:tr>
      <w:tr w14:paraId="10321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068" w:type="dxa"/>
            <w:vMerge w:val="continue"/>
            <w:vAlign w:val="center"/>
          </w:tcPr>
          <w:p w14:paraId="2E54E94B">
            <w:pPr>
              <w:pStyle w:val="31"/>
              <w:widowControl w:val="0"/>
              <w:jc w:val="left"/>
              <w:rPr>
                <w:rFonts w:ascii="宋体" w:hAnsi="宋体" w:eastAsia="宋体"/>
                <w:kern w:val="2"/>
                <w:sz w:val="21"/>
                <w:szCs w:val="21"/>
              </w:rPr>
            </w:pPr>
          </w:p>
        </w:tc>
        <w:tc>
          <w:tcPr>
            <w:tcW w:w="3335" w:type="dxa"/>
            <w:vAlign w:val="center"/>
          </w:tcPr>
          <w:p w14:paraId="0A86ABD4">
            <w:pPr>
              <w:jc w:val="center"/>
              <w:rPr>
                <w:color w:val="000000"/>
                <w:kern w:val="2"/>
                <w:sz w:val="21"/>
                <w:szCs w:val="21"/>
              </w:rPr>
            </w:pPr>
            <w:r>
              <w:rPr>
                <w:rFonts w:hint="eastAsia"/>
                <w:color w:val="000000"/>
                <w:kern w:val="2"/>
                <w:sz w:val="21"/>
                <w:szCs w:val="21"/>
              </w:rPr>
              <w:t>企业班组长目标管理</w:t>
            </w:r>
          </w:p>
        </w:tc>
        <w:tc>
          <w:tcPr>
            <w:tcW w:w="1153" w:type="dxa"/>
            <w:vMerge w:val="continue"/>
            <w:vAlign w:val="center"/>
          </w:tcPr>
          <w:p w14:paraId="6B7AA5BA">
            <w:pPr>
              <w:jc w:val="center"/>
              <w:rPr>
                <w:color w:val="000000"/>
                <w:kern w:val="2"/>
                <w:sz w:val="21"/>
                <w:szCs w:val="21"/>
              </w:rPr>
            </w:pPr>
          </w:p>
        </w:tc>
        <w:tc>
          <w:tcPr>
            <w:tcW w:w="3185" w:type="dxa"/>
            <w:vAlign w:val="center"/>
          </w:tcPr>
          <w:p w14:paraId="5B34B5DF">
            <w:pPr>
              <w:jc w:val="center"/>
              <w:rPr>
                <w:color w:val="000000"/>
                <w:kern w:val="2"/>
                <w:sz w:val="21"/>
                <w:szCs w:val="21"/>
              </w:rPr>
            </w:pPr>
            <w:r>
              <w:rPr>
                <w:rFonts w:hint="eastAsia"/>
                <w:color w:val="000000"/>
                <w:kern w:val="2"/>
                <w:sz w:val="21"/>
                <w:szCs w:val="21"/>
              </w:rPr>
              <w:t>短期培训班</w:t>
            </w:r>
          </w:p>
        </w:tc>
      </w:tr>
      <w:tr w14:paraId="10A73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8" w:type="dxa"/>
            <w:vMerge w:val="restart"/>
            <w:vAlign w:val="center"/>
          </w:tcPr>
          <w:p w14:paraId="6D6A2796">
            <w:pPr>
              <w:pStyle w:val="31"/>
              <w:widowControl w:val="0"/>
              <w:jc w:val="left"/>
              <w:rPr>
                <w:rFonts w:ascii="宋体" w:hAnsi="宋体" w:eastAsia="宋体"/>
                <w:kern w:val="2"/>
                <w:sz w:val="21"/>
                <w:szCs w:val="21"/>
              </w:rPr>
            </w:pPr>
            <w:r>
              <w:rPr>
                <w:rFonts w:hint="eastAsia" w:ascii="Times New Roman" w:hAnsi="Times New Roman" w:eastAsia="宋体"/>
                <w:kern w:val="2"/>
                <w:sz w:val="21"/>
                <w:szCs w:val="21"/>
              </w:rPr>
              <w:t>营销管理</w:t>
            </w:r>
          </w:p>
        </w:tc>
        <w:tc>
          <w:tcPr>
            <w:tcW w:w="3335" w:type="dxa"/>
            <w:vAlign w:val="center"/>
          </w:tcPr>
          <w:p w14:paraId="1C7D86AD">
            <w:pPr>
              <w:jc w:val="center"/>
              <w:rPr>
                <w:color w:val="000000"/>
                <w:kern w:val="2"/>
                <w:sz w:val="21"/>
                <w:szCs w:val="21"/>
              </w:rPr>
            </w:pPr>
            <w:r>
              <w:rPr>
                <w:rFonts w:hint="eastAsia"/>
                <w:color w:val="000000"/>
                <w:kern w:val="2"/>
                <w:sz w:val="21"/>
                <w:szCs w:val="21"/>
              </w:rPr>
              <w:t>业务流程培训</w:t>
            </w:r>
          </w:p>
        </w:tc>
        <w:tc>
          <w:tcPr>
            <w:tcW w:w="1153" w:type="dxa"/>
            <w:vMerge w:val="continue"/>
            <w:vAlign w:val="center"/>
          </w:tcPr>
          <w:p w14:paraId="16A464F4">
            <w:pPr>
              <w:jc w:val="center"/>
              <w:rPr>
                <w:color w:val="000000"/>
                <w:kern w:val="2"/>
                <w:sz w:val="21"/>
                <w:szCs w:val="21"/>
              </w:rPr>
            </w:pPr>
          </w:p>
        </w:tc>
        <w:tc>
          <w:tcPr>
            <w:tcW w:w="3185" w:type="dxa"/>
            <w:vAlign w:val="center"/>
          </w:tcPr>
          <w:p w14:paraId="3BC1B0C5">
            <w:pPr>
              <w:jc w:val="center"/>
              <w:rPr>
                <w:color w:val="000000"/>
                <w:kern w:val="2"/>
                <w:sz w:val="21"/>
                <w:szCs w:val="21"/>
              </w:rPr>
            </w:pPr>
            <w:r>
              <w:rPr>
                <w:rFonts w:hint="eastAsia"/>
                <w:color w:val="000000"/>
                <w:kern w:val="2"/>
                <w:sz w:val="21"/>
                <w:szCs w:val="21"/>
              </w:rPr>
              <w:t>质量专业人员继续教育</w:t>
            </w:r>
          </w:p>
        </w:tc>
      </w:tr>
      <w:tr w14:paraId="58DA9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068" w:type="dxa"/>
            <w:vMerge w:val="continue"/>
            <w:vAlign w:val="center"/>
          </w:tcPr>
          <w:p w14:paraId="7B033874">
            <w:pPr>
              <w:pStyle w:val="31"/>
              <w:widowControl w:val="0"/>
              <w:jc w:val="left"/>
              <w:rPr>
                <w:rFonts w:ascii="宋体" w:hAnsi="宋体" w:eastAsia="宋体"/>
                <w:kern w:val="2"/>
                <w:sz w:val="21"/>
                <w:szCs w:val="21"/>
              </w:rPr>
            </w:pPr>
          </w:p>
        </w:tc>
        <w:tc>
          <w:tcPr>
            <w:tcW w:w="3335" w:type="dxa"/>
            <w:vAlign w:val="center"/>
          </w:tcPr>
          <w:p w14:paraId="4599B6E5">
            <w:pPr>
              <w:jc w:val="center"/>
              <w:rPr>
                <w:color w:val="000000"/>
                <w:kern w:val="2"/>
                <w:sz w:val="21"/>
                <w:szCs w:val="21"/>
              </w:rPr>
            </w:pPr>
            <w:r>
              <w:rPr>
                <w:rFonts w:hint="eastAsia"/>
                <w:color w:val="000000"/>
                <w:kern w:val="2"/>
                <w:sz w:val="21"/>
                <w:szCs w:val="21"/>
              </w:rPr>
              <w:t>销售技巧与策略</w:t>
            </w:r>
          </w:p>
        </w:tc>
        <w:tc>
          <w:tcPr>
            <w:tcW w:w="1153" w:type="dxa"/>
            <w:vMerge w:val="continue"/>
            <w:vAlign w:val="center"/>
          </w:tcPr>
          <w:p w14:paraId="350A59AA">
            <w:pPr>
              <w:jc w:val="center"/>
              <w:rPr>
                <w:color w:val="000000"/>
                <w:kern w:val="2"/>
                <w:sz w:val="21"/>
                <w:szCs w:val="21"/>
              </w:rPr>
            </w:pPr>
          </w:p>
        </w:tc>
        <w:tc>
          <w:tcPr>
            <w:tcW w:w="3185" w:type="dxa"/>
            <w:vAlign w:val="center"/>
          </w:tcPr>
          <w:p w14:paraId="691EACDE">
            <w:pPr>
              <w:jc w:val="center"/>
              <w:rPr>
                <w:color w:val="000000"/>
                <w:kern w:val="2"/>
                <w:sz w:val="21"/>
                <w:szCs w:val="21"/>
              </w:rPr>
            </w:pPr>
            <w:r>
              <w:rPr>
                <w:rFonts w:hint="eastAsia"/>
                <w:color w:val="000000"/>
                <w:kern w:val="2"/>
                <w:sz w:val="21"/>
                <w:szCs w:val="21"/>
              </w:rPr>
              <w:t>管理体系知识</w:t>
            </w:r>
          </w:p>
        </w:tc>
      </w:tr>
      <w:tr w14:paraId="43E99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1068" w:type="dxa"/>
            <w:vMerge w:val="continue"/>
            <w:vAlign w:val="center"/>
          </w:tcPr>
          <w:p w14:paraId="563475C5">
            <w:pPr>
              <w:pStyle w:val="31"/>
              <w:widowControl w:val="0"/>
              <w:jc w:val="left"/>
              <w:rPr>
                <w:rFonts w:ascii="宋体" w:hAnsi="宋体" w:eastAsia="宋体"/>
                <w:kern w:val="2"/>
                <w:sz w:val="21"/>
                <w:szCs w:val="21"/>
              </w:rPr>
            </w:pPr>
          </w:p>
        </w:tc>
        <w:tc>
          <w:tcPr>
            <w:tcW w:w="3335" w:type="dxa"/>
            <w:vAlign w:val="center"/>
          </w:tcPr>
          <w:p w14:paraId="3596EA26">
            <w:pPr>
              <w:jc w:val="center"/>
              <w:rPr>
                <w:color w:val="000000"/>
                <w:kern w:val="2"/>
                <w:sz w:val="21"/>
                <w:szCs w:val="21"/>
              </w:rPr>
            </w:pPr>
            <w:r>
              <w:rPr>
                <w:rFonts w:hint="eastAsia"/>
                <w:color w:val="000000"/>
                <w:kern w:val="2"/>
                <w:sz w:val="21"/>
                <w:szCs w:val="21"/>
              </w:rPr>
              <w:t>实战操作培训</w:t>
            </w:r>
          </w:p>
        </w:tc>
        <w:tc>
          <w:tcPr>
            <w:tcW w:w="1153" w:type="dxa"/>
            <w:vMerge w:val="continue"/>
            <w:vAlign w:val="center"/>
          </w:tcPr>
          <w:p w14:paraId="79A176A3">
            <w:pPr>
              <w:jc w:val="center"/>
              <w:rPr>
                <w:color w:val="000000"/>
                <w:kern w:val="2"/>
                <w:sz w:val="21"/>
                <w:szCs w:val="21"/>
              </w:rPr>
            </w:pPr>
          </w:p>
        </w:tc>
        <w:tc>
          <w:tcPr>
            <w:tcW w:w="3185" w:type="dxa"/>
            <w:vAlign w:val="center"/>
          </w:tcPr>
          <w:p w14:paraId="42514C51">
            <w:pPr>
              <w:jc w:val="center"/>
              <w:rPr>
                <w:color w:val="000000"/>
                <w:kern w:val="2"/>
                <w:sz w:val="21"/>
                <w:szCs w:val="21"/>
              </w:rPr>
            </w:pPr>
            <w:r>
              <w:rPr>
                <w:rFonts w:hint="eastAsia"/>
                <w:color w:val="000000"/>
                <w:kern w:val="2"/>
                <w:sz w:val="21"/>
                <w:szCs w:val="21"/>
              </w:rPr>
              <w:t>标准化体系知识</w:t>
            </w:r>
          </w:p>
        </w:tc>
      </w:tr>
      <w:tr w14:paraId="21470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068" w:type="dxa"/>
            <w:vMerge w:val="continue"/>
            <w:vAlign w:val="center"/>
          </w:tcPr>
          <w:p w14:paraId="737B9971">
            <w:pPr>
              <w:pStyle w:val="31"/>
              <w:widowControl w:val="0"/>
              <w:jc w:val="left"/>
              <w:rPr>
                <w:rFonts w:ascii="宋体" w:hAnsi="宋体" w:eastAsia="宋体"/>
                <w:kern w:val="2"/>
                <w:sz w:val="21"/>
                <w:szCs w:val="21"/>
              </w:rPr>
            </w:pPr>
          </w:p>
        </w:tc>
        <w:tc>
          <w:tcPr>
            <w:tcW w:w="3335" w:type="dxa"/>
            <w:vAlign w:val="center"/>
          </w:tcPr>
          <w:p w14:paraId="67BA7903">
            <w:pPr>
              <w:jc w:val="center"/>
              <w:rPr>
                <w:color w:val="000000"/>
                <w:kern w:val="2"/>
                <w:sz w:val="21"/>
                <w:szCs w:val="21"/>
              </w:rPr>
            </w:pPr>
            <w:r>
              <w:rPr>
                <w:rFonts w:hint="eastAsia"/>
                <w:color w:val="000000"/>
                <w:kern w:val="2"/>
                <w:sz w:val="21"/>
                <w:szCs w:val="21"/>
              </w:rPr>
              <w:t>服务营销培训</w:t>
            </w:r>
          </w:p>
        </w:tc>
        <w:tc>
          <w:tcPr>
            <w:tcW w:w="1153" w:type="dxa"/>
            <w:vMerge w:val="continue"/>
            <w:vAlign w:val="center"/>
          </w:tcPr>
          <w:p w14:paraId="77C156C1">
            <w:pPr>
              <w:jc w:val="center"/>
              <w:rPr>
                <w:color w:val="000000"/>
                <w:kern w:val="2"/>
                <w:sz w:val="21"/>
                <w:szCs w:val="21"/>
              </w:rPr>
            </w:pPr>
          </w:p>
        </w:tc>
        <w:tc>
          <w:tcPr>
            <w:tcW w:w="3185" w:type="dxa"/>
            <w:vAlign w:val="center"/>
          </w:tcPr>
          <w:p w14:paraId="4F2A352E">
            <w:pPr>
              <w:jc w:val="center"/>
              <w:rPr>
                <w:color w:val="000000"/>
                <w:kern w:val="2"/>
                <w:sz w:val="21"/>
                <w:szCs w:val="21"/>
              </w:rPr>
            </w:pPr>
            <w:r>
              <w:rPr>
                <w:rFonts w:hint="eastAsia"/>
                <w:color w:val="000000"/>
                <w:kern w:val="2"/>
                <w:sz w:val="21"/>
                <w:szCs w:val="21"/>
              </w:rPr>
              <w:t>技能培训</w:t>
            </w:r>
          </w:p>
        </w:tc>
      </w:tr>
      <w:tr w14:paraId="6828D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1068" w:type="dxa"/>
            <w:vMerge w:val="continue"/>
            <w:vAlign w:val="center"/>
          </w:tcPr>
          <w:p w14:paraId="3C7E8D9E">
            <w:pPr>
              <w:pStyle w:val="31"/>
              <w:widowControl w:val="0"/>
              <w:jc w:val="left"/>
              <w:rPr>
                <w:rFonts w:ascii="宋体" w:hAnsi="宋体" w:eastAsia="宋体"/>
                <w:kern w:val="2"/>
                <w:sz w:val="21"/>
                <w:szCs w:val="21"/>
              </w:rPr>
            </w:pPr>
          </w:p>
        </w:tc>
        <w:tc>
          <w:tcPr>
            <w:tcW w:w="3335" w:type="dxa"/>
            <w:vAlign w:val="center"/>
          </w:tcPr>
          <w:p w14:paraId="5E0BC495">
            <w:pPr>
              <w:jc w:val="center"/>
              <w:rPr>
                <w:color w:val="000000"/>
                <w:kern w:val="2"/>
                <w:sz w:val="21"/>
                <w:szCs w:val="21"/>
              </w:rPr>
            </w:pPr>
            <w:r>
              <w:rPr>
                <w:rFonts w:hint="eastAsia"/>
                <w:color w:val="000000"/>
                <w:kern w:val="2"/>
                <w:sz w:val="21"/>
                <w:szCs w:val="21"/>
              </w:rPr>
              <w:t>市场竞争与专业化培训</w:t>
            </w:r>
          </w:p>
        </w:tc>
        <w:tc>
          <w:tcPr>
            <w:tcW w:w="1153" w:type="dxa"/>
            <w:vMerge w:val="continue"/>
            <w:vAlign w:val="center"/>
          </w:tcPr>
          <w:p w14:paraId="04816E56">
            <w:pPr>
              <w:jc w:val="center"/>
              <w:rPr>
                <w:color w:val="000000"/>
                <w:kern w:val="2"/>
                <w:sz w:val="21"/>
                <w:szCs w:val="21"/>
              </w:rPr>
            </w:pPr>
          </w:p>
        </w:tc>
        <w:tc>
          <w:tcPr>
            <w:tcW w:w="3185" w:type="dxa"/>
            <w:vAlign w:val="center"/>
          </w:tcPr>
          <w:p w14:paraId="7472836D">
            <w:pPr>
              <w:jc w:val="center"/>
              <w:rPr>
                <w:color w:val="000000"/>
                <w:kern w:val="2"/>
                <w:sz w:val="21"/>
                <w:szCs w:val="21"/>
              </w:rPr>
            </w:pPr>
            <w:r>
              <w:rPr>
                <w:rFonts w:hint="eastAsia"/>
                <w:color w:val="000000"/>
                <w:kern w:val="2"/>
                <w:sz w:val="21"/>
                <w:szCs w:val="21"/>
              </w:rPr>
              <w:t>科技服务培训</w:t>
            </w:r>
          </w:p>
        </w:tc>
      </w:tr>
      <w:tr w14:paraId="49DE1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068" w:type="dxa"/>
            <w:vMerge w:val="continue"/>
            <w:vAlign w:val="center"/>
          </w:tcPr>
          <w:p w14:paraId="00D5970E">
            <w:pPr>
              <w:pStyle w:val="31"/>
              <w:widowControl w:val="0"/>
              <w:jc w:val="left"/>
              <w:rPr>
                <w:rFonts w:ascii="宋体" w:hAnsi="宋体" w:eastAsia="宋体"/>
                <w:kern w:val="2"/>
                <w:sz w:val="21"/>
                <w:szCs w:val="21"/>
              </w:rPr>
            </w:pPr>
          </w:p>
        </w:tc>
        <w:tc>
          <w:tcPr>
            <w:tcW w:w="3335" w:type="dxa"/>
            <w:vAlign w:val="center"/>
          </w:tcPr>
          <w:p w14:paraId="1D10A1CB">
            <w:pPr>
              <w:jc w:val="center"/>
              <w:rPr>
                <w:color w:val="000000"/>
                <w:kern w:val="2"/>
                <w:sz w:val="21"/>
                <w:szCs w:val="21"/>
              </w:rPr>
            </w:pPr>
            <w:r>
              <w:rPr>
                <w:rFonts w:hint="eastAsia"/>
                <w:color w:val="000000"/>
                <w:kern w:val="2"/>
                <w:sz w:val="21"/>
                <w:szCs w:val="21"/>
              </w:rPr>
              <w:t>个性化客户服务</w:t>
            </w:r>
          </w:p>
        </w:tc>
        <w:tc>
          <w:tcPr>
            <w:tcW w:w="1153" w:type="dxa"/>
            <w:vMerge w:val="continue"/>
            <w:vAlign w:val="center"/>
          </w:tcPr>
          <w:p w14:paraId="221BBAF2">
            <w:pPr>
              <w:jc w:val="center"/>
              <w:rPr>
                <w:color w:val="000000"/>
                <w:kern w:val="2"/>
                <w:sz w:val="21"/>
                <w:szCs w:val="21"/>
              </w:rPr>
            </w:pPr>
          </w:p>
        </w:tc>
        <w:tc>
          <w:tcPr>
            <w:tcW w:w="3185" w:type="dxa"/>
            <w:vAlign w:val="center"/>
          </w:tcPr>
          <w:p w14:paraId="1CDF9EDC">
            <w:pPr>
              <w:jc w:val="center"/>
              <w:rPr>
                <w:color w:val="000000"/>
                <w:kern w:val="2"/>
                <w:sz w:val="21"/>
                <w:szCs w:val="21"/>
              </w:rPr>
            </w:pPr>
            <w:r>
              <w:rPr>
                <w:rFonts w:hint="eastAsia"/>
                <w:color w:val="000000"/>
                <w:kern w:val="2"/>
                <w:sz w:val="21"/>
                <w:szCs w:val="21"/>
              </w:rPr>
              <w:t>质量体系培训</w:t>
            </w:r>
          </w:p>
        </w:tc>
      </w:tr>
    </w:tbl>
    <w:p w14:paraId="692FC210">
      <w:pPr>
        <w:tabs>
          <w:tab w:val="left" w:pos="5400"/>
        </w:tabs>
        <w:spacing w:line="360" w:lineRule="auto"/>
        <w:rPr>
          <w:b/>
          <w:bCs/>
          <w:position w:val="-40"/>
        </w:rPr>
      </w:pPr>
      <w:r>
        <w:rPr>
          <w:rFonts w:hint="eastAsia"/>
          <w:b/>
          <w:bCs/>
          <w:position w:val="-40"/>
        </w:rPr>
        <w:t xml:space="preserve"> (2)预防为主，制订各种应急预案</w:t>
      </w:r>
    </w:p>
    <w:p w14:paraId="6834CC9B">
      <w:pPr>
        <w:tabs>
          <w:tab w:val="left" w:pos="5400"/>
        </w:tabs>
        <w:spacing w:line="360" w:lineRule="auto"/>
        <w:ind w:firstLine="480" w:firstLineChars="200"/>
      </w:pPr>
      <w:r>
        <w:rPr>
          <w:rFonts w:hint="eastAsia"/>
        </w:rPr>
        <w:t>公司识别、评价的潜在隐患事故和紧急情况是：</w:t>
      </w:r>
    </w:p>
    <w:p w14:paraId="4C9A4C9F">
      <w:pPr>
        <w:tabs>
          <w:tab w:val="left" w:pos="5400"/>
        </w:tabs>
        <w:spacing w:line="360" w:lineRule="auto"/>
        <w:ind w:firstLine="480" w:firstLineChars="200"/>
      </w:pPr>
      <w:r>
        <w:rPr>
          <w:rFonts w:hint="eastAsia"/>
        </w:rPr>
        <w:fldChar w:fldCharType="begin"/>
      </w:r>
      <w:r>
        <w:rPr>
          <w:rFonts w:hint="eastAsia"/>
        </w:rPr>
        <w:instrText xml:space="preserve"> eq \o\ac(○,1)</w:instrText>
      </w:r>
      <w:r>
        <w:rPr>
          <w:rFonts w:hint="eastAsia"/>
        </w:rPr>
        <w:fldChar w:fldCharType="end"/>
      </w:r>
      <w:r>
        <w:rPr>
          <w:rFonts w:hint="eastAsia"/>
        </w:rPr>
        <w:t>仓库、机房等火灾</w:t>
      </w:r>
    </w:p>
    <w:p w14:paraId="567A4255">
      <w:pPr>
        <w:tabs>
          <w:tab w:val="left" w:pos="5400"/>
        </w:tabs>
        <w:spacing w:line="360" w:lineRule="auto"/>
        <w:ind w:firstLine="480" w:firstLineChars="200"/>
      </w:pPr>
      <w:r>
        <w:rPr>
          <w:rFonts w:hint="eastAsia"/>
        </w:rPr>
        <w:fldChar w:fldCharType="begin"/>
      </w:r>
      <w:r>
        <w:rPr>
          <w:rFonts w:hint="eastAsia"/>
        </w:rPr>
        <w:instrText xml:space="preserve"> eq \o\ac(○,2)</w:instrText>
      </w:r>
      <w:r>
        <w:rPr>
          <w:rFonts w:hint="eastAsia"/>
        </w:rPr>
        <w:fldChar w:fldCharType="end"/>
      </w:r>
      <w:r>
        <w:rPr>
          <w:rFonts w:hint="eastAsia"/>
        </w:rPr>
        <w:t>压力容器、锅炉等爆炸</w:t>
      </w:r>
    </w:p>
    <w:p w14:paraId="2B4F972A">
      <w:pPr>
        <w:tabs>
          <w:tab w:val="left" w:pos="5400"/>
        </w:tabs>
        <w:spacing w:line="360" w:lineRule="auto"/>
        <w:ind w:firstLine="480" w:firstLineChars="200"/>
      </w:pPr>
      <w:r>
        <w:rPr>
          <w:rFonts w:hint="eastAsia"/>
        </w:rPr>
        <w:fldChar w:fldCharType="begin"/>
      </w:r>
      <w:r>
        <w:rPr>
          <w:rFonts w:hint="eastAsia"/>
        </w:rPr>
        <w:instrText xml:space="preserve"> eq \o\ac(○,3)</w:instrText>
      </w:r>
      <w:r>
        <w:rPr>
          <w:rFonts w:hint="eastAsia"/>
        </w:rPr>
        <w:fldChar w:fldCharType="end"/>
      </w:r>
      <w:r>
        <w:rPr>
          <w:rFonts w:hint="eastAsia"/>
        </w:rPr>
        <w:t>电器触电</w:t>
      </w:r>
    </w:p>
    <w:p w14:paraId="2766E965">
      <w:pPr>
        <w:tabs>
          <w:tab w:val="left" w:pos="5400"/>
        </w:tabs>
        <w:spacing w:line="360" w:lineRule="auto"/>
        <w:ind w:firstLine="480" w:firstLineChars="200"/>
      </w:pPr>
      <w:r>
        <w:rPr>
          <w:rFonts w:hint="eastAsia"/>
        </w:rPr>
        <w:fldChar w:fldCharType="begin"/>
      </w:r>
      <w:r>
        <w:rPr>
          <w:rFonts w:hint="eastAsia"/>
        </w:rPr>
        <w:instrText xml:space="preserve"> eq \o\ac(○,4)</w:instrText>
      </w:r>
      <w:r>
        <w:rPr>
          <w:rFonts w:hint="eastAsia"/>
        </w:rPr>
        <w:fldChar w:fldCharType="end"/>
      </w:r>
      <w:r>
        <w:rPr>
          <w:rFonts w:hint="eastAsia"/>
        </w:rPr>
        <w:t>机械、车辆、起重等伤害</w:t>
      </w:r>
    </w:p>
    <w:p w14:paraId="321497F1">
      <w:pPr>
        <w:tabs>
          <w:tab w:val="left" w:pos="5400"/>
        </w:tabs>
        <w:spacing w:line="360" w:lineRule="auto"/>
        <w:ind w:firstLine="480" w:firstLineChars="200"/>
      </w:pPr>
      <w:r>
        <w:rPr>
          <w:rFonts w:hint="eastAsia"/>
        </w:rPr>
        <w:fldChar w:fldCharType="begin"/>
      </w:r>
      <w:r>
        <w:rPr>
          <w:rFonts w:hint="eastAsia"/>
        </w:rPr>
        <w:instrText xml:space="preserve"> eq \o\ac(○,5)</w:instrText>
      </w:r>
      <w:r>
        <w:rPr>
          <w:rFonts w:hint="eastAsia"/>
        </w:rPr>
        <w:fldChar w:fldCharType="end"/>
      </w:r>
      <w:r>
        <w:rPr>
          <w:rFonts w:hint="eastAsia"/>
        </w:rPr>
        <w:t>其他伤害</w:t>
      </w:r>
    </w:p>
    <w:p w14:paraId="5B15C0A1">
      <w:pPr>
        <w:tabs>
          <w:tab w:val="left" w:pos="5400"/>
        </w:tabs>
        <w:spacing w:line="360" w:lineRule="auto"/>
        <w:ind w:firstLine="480" w:firstLineChars="200"/>
      </w:pPr>
      <w:r>
        <w:rPr>
          <w:rFonts w:hint="eastAsia"/>
        </w:rPr>
        <w:t>通过制订各种应急预案，对相关人员进行相应的培训，每年不定期进行应急预案演习，并作演习效果评估，对演习中存在的问题进行改进，提高组织的应急能力及员工处理各种紧急情况的能力。</w:t>
      </w:r>
    </w:p>
    <w:p w14:paraId="6C8BD6A6">
      <w:pPr>
        <w:pStyle w:val="36"/>
        <w:spacing w:before="156" w:beforeLines="50" w:line="360" w:lineRule="auto"/>
        <w:ind w:firstLine="0" w:firstLineChars="0"/>
        <w:jc w:val="center"/>
        <w:rPr>
          <w:rFonts w:ascii="黑体" w:hAnsi="黑体" w:eastAsia="黑体"/>
          <w:b/>
          <w:bCs/>
          <w:color w:val="auto"/>
          <w:sz w:val="21"/>
          <w:szCs w:val="21"/>
        </w:rPr>
      </w:pPr>
      <w:r>
        <w:rPr>
          <w:rFonts w:hint="eastAsia" w:ascii="黑体" w:hAnsi="黑体" w:eastAsia="黑体"/>
          <w:b/>
          <w:bCs/>
          <w:color w:val="auto"/>
          <w:sz w:val="21"/>
          <w:szCs w:val="21"/>
        </w:rPr>
        <w:t>表4.4.2-6 应急预案</w:t>
      </w:r>
    </w:p>
    <w:tbl>
      <w:tblPr>
        <w:tblStyle w:val="22"/>
        <w:tblW w:w="91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0"/>
        <w:gridCol w:w="4554"/>
      </w:tblGrid>
      <w:tr w14:paraId="0063E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4550" w:type="dxa"/>
            <w:shd w:val="clear" w:color="auto" w:fill="938953"/>
            <w:vAlign w:val="center"/>
          </w:tcPr>
          <w:p w14:paraId="4BB6894D">
            <w:pPr>
              <w:pStyle w:val="31"/>
              <w:widowControl w:val="0"/>
              <w:rPr>
                <w:rFonts w:ascii="宋体" w:hAnsi="宋体" w:eastAsia="宋体"/>
                <w:b/>
                <w:color w:val="FFFFFF"/>
                <w:kern w:val="2"/>
              </w:rPr>
            </w:pPr>
            <w:r>
              <w:rPr>
                <w:rFonts w:hint="eastAsia" w:ascii="宋体" w:hAnsi="宋体" w:eastAsia="宋体" w:cs=".Apple Color Emoji UI"/>
                <w:b/>
                <w:color w:val="FFFFFF"/>
                <w:kern w:val="2"/>
              </w:rPr>
              <w:t>预案名称</w:t>
            </w:r>
          </w:p>
        </w:tc>
        <w:tc>
          <w:tcPr>
            <w:tcW w:w="4554" w:type="dxa"/>
            <w:shd w:val="clear" w:color="auto" w:fill="938953"/>
            <w:vAlign w:val="center"/>
          </w:tcPr>
          <w:p w14:paraId="34BE3780">
            <w:pPr>
              <w:pStyle w:val="31"/>
              <w:widowControl w:val="0"/>
              <w:rPr>
                <w:rFonts w:ascii="宋体" w:hAnsi="宋体" w:eastAsia="宋体"/>
                <w:b/>
                <w:color w:val="FFFFFF"/>
                <w:kern w:val="2"/>
              </w:rPr>
            </w:pPr>
            <w:r>
              <w:rPr>
                <w:rFonts w:hint="eastAsia" w:ascii="宋体" w:hAnsi="宋体" w:eastAsia="宋体"/>
                <w:b/>
                <w:color w:val="FFFFFF"/>
                <w:kern w:val="2"/>
              </w:rPr>
              <w:t>责任单位</w:t>
            </w:r>
          </w:p>
        </w:tc>
      </w:tr>
      <w:tr w14:paraId="47244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4550" w:type="dxa"/>
            <w:vAlign w:val="center"/>
          </w:tcPr>
          <w:p w14:paraId="145D3AC2">
            <w:pPr>
              <w:pStyle w:val="31"/>
              <w:widowControl w:val="0"/>
              <w:rPr>
                <w:rFonts w:ascii="宋体" w:hAnsi="宋体" w:eastAsia="宋体"/>
                <w:kern w:val="2"/>
                <w:sz w:val="21"/>
                <w:szCs w:val="21"/>
              </w:rPr>
            </w:pPr>
            <w:r>
              <w:rPr>
                <w:rFonts w:hint="eastAsia" w:ascii="宋体" w:hAnsi="宋体" w:eastAsia="宋体"/>
                <w:kern w:val="2"/>
                <w:sz w:val="21"/>
                <w:szCs w:val="21"/>
              </w:rPr>
              <w:t>消防安全应急预案</w:t>
            </w:r>
          </w:p>
        </w:tc>
        <w:tc>
          <w:tcPr>
            <w:tcW w:w="4554" w:type="dxa"/>
            <w:vAlign w:val="center"/>
          </w:tcPr>
          <w:p w14:paraId="57A3EF68">
            <w:pPr>
              <w:pStyle w:val="31"/>
              <w:widowControl w:val="0"/>
              <w:rPr>
                <w:rFonts w:ascii="宋体" w:hAnsi="宋体" w:eastAsia="宋体"/>
                <w:kern w:val="2"/>
                <w:sz w:val="21"/>
                <w:szCs w:val="21"/>
              </w:rPr>
            </w:pPr>
            <w:r>
              <w:rPr>
                <w:rFonts w:hint="eastAsia" w:ascii="宋体" w:hAnsi="宋体" w:eastAsia="宋体"/>
                <w:kern w:val="2"/>
                <w:sz w:val="21"/>
                <w:szCs w:val="21"/>
              </w:rPr>
              <w:t>生产部</w:t>
            </w:r>
          </w:p>
        </w:tc>
      </w:tr>
      <w:tr w14:paraId="001CC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4550" w:type="dxa"/>
            <w:vAlign w:val="center"/>
          </w:tcPr>
          <w:p w14:paraId="5532E673">
            <w:pPr>
              <w:pStyle w:val="31"/>
              <w:widowControl w:val="0"/>
              <w:rPr>
                <w:rFonts w:ascii="宋体" w:hAnsi="宋体" w:eastAsia="宋体"/>
                <w:kern w:val="2"/>
                <w:sz w:val="21"/>
                <w:szCs w:val="21"/>
              </w:rPr>
            </w:pPr>
            <w:r>
              <w:rPr>
                <w:rFonts w:hint="eastAsia" w:ascii="宋体" w:hAnsi="宋体" w:eastAsia="宋体"/>
                <w:kern w:val="2"/>
                <w:sz w:val="21"/>
                <w:szCs w:val="21"/>
              </w:rPr>
              <w:t>安全环保应急预案</w:t>
            </w:r>
          </w:p>
        </w:tc>
        <w:tc>
          <w:tcPr>
            <w:tcW w:w="4554" w:type="dxa"/>
          </w:tcPr>
          <w:p w14:paraId="1CBFAB56">
            <w:pPr>
              <w:pStyle w:val="31"/>
              <w:widowControl w:val="0"/>
              <w:rPr>
                <w:rFonts w:ascii="宋体" w:hAnsi="宋体" w:eastAsia="宋体"/>
                <w:kern w:val="2"/>
                <w:sz w:val="21"/>
                <w:szCs w:val="21"/>
              </w:rPr>
            </w:pPr>
            <w:r>
              <w:rPr>
                <w:rFonts w:hint="eastAsia" w:ascii="宋体" w:hAnsi="宋体" w:eastAsia="宋体"/>
                <w:kern w:val="2"/>
                <w:sz w:val="21"/>
                <w:szCs w:val="21"/>
              </w:rPr>
              <w:t>生产部</w:t>
            </w:r>
          </w:p>
        </w:tc>
      </w:tr>
    </w:tbl>
    <w:p w14:paraId="6B4E44AA">
      <w:pPr>
        <w:tabs>
          <w:tab w:val="left" w:pos="5400"/>
        </w:tabs>
        <w:spacing w:line="360" w:lineRule="auto"/>
        <w:rPr>
          <w:b/>
          <w:bCs/>
          <w:position w:val="-40"/>
        </w:rPr>
      </w:pPr>
      <w:r>
        <w:rPr>
          <w:rFonts w:hint="eastAsia"/>
          <w:b/>
          <w:bCs/>
          <w:position w:val="-40"/>
        </w:rPr>
        <w:t>（3）关爱员工，对不同层次的需求给予针对性、个性化的支持</w:t>
      </w:r>
    </w:p>
    <w:p w14:paraId="34AD2293">
      <w:pPr>
        <w:tabs>
          <w:tab w:val="left" w:pos="5400"/>
        </w:tabs>
        <w:spacing w:line="360" w:lineRule="auto"/>
        <w:ind w:firstLine="480" w:firstLineChars="200"/>
        <w:rPr>
          <w:rFonts w:ascii="宋体" w:hAnsi="宋体"/>
          <w:b/>
          <w:bCs/>
        </w:rPr>
      </w:pPr>
      <w:r>
        <w:rPr>
          <w:rFonts w:hint="eastAsia"/>
        </w:rPr>
        <w:t>公司以人为本，根据不同需求制订各种保障措施，提供个性化支持。</w:t>
      </w:r>
    </w:p>
    <w:p w14:paraId="71142A28">
      <w:pPr>
        <w:pStyle w:val="36"/>
        <w:spacing w:before="156" w:beforeLines="50" w:line="360" w:lineRule="auto"/>
        <w:ind w:firstLine="0" w:firstLineChars="0"/>
        <w:jc w:val="center"/>
        <w:rPr>
          <w:rFonts w:ascii="黑体" w:hAnsi="黑体" w:eastAsia="黑体"/>
          <w:b/>
          <w:bCs/>
          <w:color w:val="auto"/>
          <w:sz w:val="21"/>
          <w:szCs w:val="21"/>
        </w:rPr>
      </w:pPr>
      <w:r>
        <w:rPr>
          <w:rFonts w:hint="eastAsia" w:ascii="黑体" w:hAnsi="黑体" w:eastAsia="黑体"/>
          <w:b/>
          <w:bCs/>
          <w:color w:val="auto"/>
          <w:sz w:val="21"/>
          <w:szCs w:val="21"/>
        </w:rPr>
        <w:t>表4.4.2-7 员工个性化需求、保障或改进措施</w:t>
      </w:r>
    </w:p>
    <w:tbl>
      <w:tblPr>
        <w:tblStyle w:val="22"/>
        <w:tblW w:w="86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1"/>
        <w:gridCol w:w="2274"/>
        <w:gridCol w:w="5199"/>
      </w:tblGrid>
      <w:tr w14:paraId="61BBA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1221" w:type="dxa"/>
            <w:shd w:val="clear" w:color="auto" w:fill="938953"/>
            <w:vAlign w:val="center"/>
          </w:tcPr>
          <w:p w14:paraId="2DA228AF">
            <w:pPr>
              <w:pStyle w:val="31"/>
              <w:widowControl w:val="0"/>
              <w:rPr>
                <w:rFonts w:ascii="宋体" w:hAnsi="宋体" w:eastAsia="宋体"/>
                <w:b/>
                <w:color w:val="FFFFFF"/>
                <w:kern w:val="2"/>
              </w:rPr>
            </w:pPr>
            <w:r>
              <w:rPr>
                <w:rFonts w:hint="eastAsia" w:ascii="宋体" w:hAnsi="宋体" w:eastAsia="宋体" w:cs=".Apple Color Emoji UI"/>
                <w:b/>
                <w:color w:val="FFFFFF"/>
                <w:kern w:val="2"/>
              </w:rPr>
              <w:t>员工</w:t>
            </w:r>
          </w:p>
        </w:tc>
        <w:tc>
          <w:tcPr>
            <w:tcW w:w="2274" w:type="dxa"/>
            <w:shd w:val="clear" w:color="auto" w:fill="938953"/>
            <w:vAlign w:val="center"/>
          </w:tcPr>
          <w:p w14:paraId="40FF87A2">
            <w:pPr>
              <w:pStyle w:val="31"/>
              <w:widowControl w:val="0"/>
              <w:rPr>
                <w:rFonts w:ascii="宋体" w:hAnsi="宋体" w:eastAsia="宋体"/>
                <w:b/>
                <w:color w:val="FFFFFF"/>
                <w:kern w:val="2"/>
              </w:rPr>
            </w:pPr>
            <w:r>
              <w:rPr>
                <w:rFonts w:hint="eastAsia" w:ascii="宋体" w:hAnsi="宋体" w:eastAsia="宋体"/>
                <w:b/>
                <w:color w:val="FFFFFF"/>
                <w:kern w:val="2"/>
              </w:rPr>
              <w:t>个性化需求</w:t>
            </w:r>
          </w:p>
        </w:tc>
        <w:tc>
          <w:tcPr>
            <w:tcW w:w="5199" w:type="dxa"/>
            <w:shd w:val="clear" w:color="auto" w:fill="938953"/>
            <w:vAlign w:val="center"/>
          </w:tcPr>
          <w:p w14:paraId="26032553">
            <w:pPr>
              <w:pStyle w:val="31"/>
              <w:widowControl w:val="0"/>
              <w:rPr>
                <w:rFonts w:ascii="宋体" w:hAnsi="宋体" w:eastAsia="宋体"/>
                <w:b/>
                <w:color w:val="FFFFFF"/>
                <w:kern w:val="2"/>
              </w:rPr>
            </w:pPr>
            <w:r>
              <w:rPr>
                <w:rFonts w:hint="eastAsia" w:ascii="宋体" w:hAnsi="宋体" w:eastAsia="宋体"/>
                <w:b/>
                <w:color w:val="FFFFFF"/>
                <w:kern w:val="2"/>
              </w:rPr>
              <w:t>支持保障措施或改进措施</w:t>
            </w:r>
          </w:p>
        </w:tc>
      </w:tr>
      <w:tr w14:paraId="7BBE0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221" w:type="dxa"/>
            <w:vMerge w:val="restart"/>
            <w:vAlign w:val="center"/>
          </w:tcPr>
          <w:p w14:paraId="76415F23">
            <w:pPr>
              <w:pStyle w:val="31"/>
              <w:widowControl w:val="0"/>
              <w:rPr>
                <w:rFonts w:ascii="宋体" w:hAnsi="宋体" w:eastAsia="宋体"/>
                <w:kern w:val="2"/>
                <w:sz w:val="21"/>
                <w:szCs w:val="21"/>
              </w:rPr>
            </w:pPr>
            <w:r>
              <w:rPr>
                <w:rFonts w:hint="eastAsia" w:ascii="宋体" w:hAnsi="宋体" w:eastAsia="宋体"/>
                <w:kern w:val="2"/>
                <w:sz w:val="21"/>
                <w:szCs w:val="21"/>
              </w:rPr>
              <w:t>初级人员</w:t>
            </w:r>
          </w:p>
        </w:tc>
        <w:tc>
          <w:tcPr>
            <w:tcW w:w="2274" w:type="dxa"/>
            <w:vAlign w:val="center"/>
          </w:tcPr>
          <w:p w14:paraId="44EBBCD2">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工作回报的需要</w:t>
            </w:r>
          </w:p>
        </w:tc>
        <w:tc>
          <w:tcPr>
            <w:tcW w:w="5199" w:type="dxa"/>
            <w:vAlign w:val="center"/>
          </w:tcPr>
          <w:p w14:paraId="22B7AEEA">
            <w:pPr>
              <w:pStyle w:val="31"/>
              <w:widowControl w:val="0"/>
              <w:jc w:val="left"/>
              <w:rPr>
                <w:rFonts w:ascii="宋体" w:hAnsi="宋体" w:eastAsia="宋体"/>
                <w:color w:val="auto"/>
                <w:kern w:val="2"/>
                <w:sz w:val="21"/>
                <w:szCs w:val="21"/>
              </w:rPr>
            </w:pPr>
            <w:r>
              <w:rPr>
                <w:rFonts w:hint="eastAsia" w:ascii="宋体" w:hAnsi="宋体" w:eastAsia="宋体"/>
                <w:color w:val="auto"/>
                <w:kern w:val="2"/>
                <w:sz w:val="21"/>
                <w:szCs w:val="21"/>
              </w:rPr>
              <w:t>实行薪酬与绩效挂钩等</w:t>
            </w:r>
          </w:p>
        </w:tc>
      </w:tr>
      <w:tr w14:paraId="7CA88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221" w:type="dxa"/>
            <w:vMerge w:val="continue"/>
            <w:vAlign w:val="center"/>
          </w:tcPr>
          <w:p w14:paraId="44F9B94B">
            <w:pPr>
              <w:pStyle w:val="31"/>
              <w:widowControl w:val="0"/>
              <w:jc w:val="left"/>
              <w:rPr>
                <w:rFonts w:ascii="宋体" w:hAnsi="宋体" w:eastAsia="宋体"/>
                <w:kern w:val="2"/>
                <w:sz w:val="21"/>
                <w:szCs w:val="21"/>
              </w:rPr>
            </w:pPr>
          </w:p>
        </w:tc>
        <w:tc>
          <w:tcPr>
            <w:tcW w:w="2274" w:type="dxa"/>
            <w:vAlign w:val="center"/>
          </w:tcPr>
          <w:p w14:paraId="3B4647BD">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安居的需要</w:t>
            </w:r>
          </w:p>
        </w:tc>
        <w:tc>
          <w:tcPr>
            <w:tcW w:w="5199" w:type="dxa"/>
            <w:vAlign w:val="center"/>
          </w:tcPr>
          <w:p w14:paraId="123B012B">
            <w:pPr>
              <w:pStyle w:val="31"/>
              <w:widowControl w:val="0"/>
              <w:jc w:val="left"/>
              <w:rPr>
                <w:rFonts w:ascii="宋体" w:hAnsi="宋体" w:eastAsia="宋体"/>
                <w:color w:val="auto"/>
                <w:kern w:val="2"/>
                <w:sz w:val="21"/>
                <w:szCs w:val="21"/>
              </w:rPr>
            </w:pPr>
            <w:r>
              <w:rPr>
                <w:rFonts w:hint="eastAsia" w:ascii="宋体" w:hAnsi="宋体" w:eastAsia="宋体"/>
                <w:color w:val="auto"/>
                <w:kern w:val="2"/>
                <w:sz w:val="21"/>
                <w:szCs w:val="21"/>
              </w:rPr>
              <w:t>加快住宿环境的建设</w:t>
            </w:r>
          </w:p>
        </w:tc>
      </w:tr>
      <w:tr w14:paraId="1CC9A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221" w:type="dxa"/>
            <w:vMerge w:val="continue"/>
            <w:vAlign w:val="center"/>
          </w:tcPr>
          <w:p w14:paraId="68D5BC44">
            <w:pPr>
              <w:pStyle w:val="31"/>
              <w:widowControl w:val="0"/>
              <w:jc w:val="left"/>
              <w:rPr>
                <w:rFonts w:ascii="宋体" w:hAnsi="宋体" w:eastAsia="宋体"/>
                <w:kern w:val="2"/>
                <w:sz w:val="21"/>
                <w:szCs w:val="21"/>
              </w:rPr>
            </w:pPr>
          </w:p>
        </w:tc>
        <w:tc>
          <w:tcPr>
            <w:tcW w:w="2274" w:type="dxa"/>
            <w:vAlign w:val="center"/>
          </w:tcPr>
          <w:p w14:paraId="6AA47B68">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学习成长的需要</w:t>
            </w:r>
          </w:p>
        </w:tc>
        <w:tc>
          <w:tcPr>
            <w:tcW w:w="5199" w:type="dxa"/>
            <w:vAlign w:val="center"/>
          </w:tcPr>
          <w:p w14:paraId="431F248A">
            <w:pPr>
              <w:pStyle w:val="31"/>
              <w:widowControl w:val="0"/>
              <w:jc w:val="left"/>
              <w:rPr>
                <w:rFonts w:ascii="宋体" w:hAnsi="宋体" w:eastAsia="宋体"/>
                <w:color w:val="auto"/>
                <w:kern w:val="2"/>
                <w:sz w:val="21"/>
                <w:szCs w:val="21"/>
              </w:rPr>
            </w:pPr>
            <w:r>
              <w:rPr>
                <w:rFonts w:hint="eastAsia" w:ascii="宋体" w:hAnsi="宋体" w:eastAsia="宋体"/>
                <w:color w:val="auto"/>
                <w:kern w:val="2"/>
                <w:sz w:val="21"/>
                <w:szCs w:val="21"/>
              </w:rPr>
              <w:t>以老带新制、一专多能/岗、一人多机培养，改进培训制度、组织到先进企业参观培训</w:t>
            </w:r>
          </w:p>
        </w:tc>
      </w:tr>
      <w:tr w14:paraId="624B9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221" w:type="dxa"/>
            <w:vMerge w:val="restart"/>
            <w:vAlign w:val="center"/>
          </w:tcPr>
          <w:p w14:paraId="7E3AA813">
            <w:pPr>
              <w:pStyle w:val="31"/>
              <w:widowControl w:val="0"/>
              <w:rPr>
                <w:rFonts w:ascii="宋体" w:hAnsi="宋体" w:eastAsia="宋体"/>
                <w:kern w:val="2"/>
                <w:sz w:val="21"/>
                <w:szCs w:val="21"/>
              </w:rPr>
            </w:pPr>
            <w:r>
              <w:rPr>
                <w:rFonts w:hint="eastAsia" w:ascii="宋体" w:hAnsi="宋体" w:eastAsia="宋体"/>
                <w:kern w:val="2"/>
                <w:sz w:val="21"/>
                <w:szCs w:val="21"/>
              </w:rPr>
              <w:t>中级人员</w:t>
            </w:r>
          </w:p>
        </w:tc>
        <w:tc>
          <w:tcPr>
            <w:tcW w:w="2274" w:type="dxa"/>
            <w:vAlign w:val="center"/>
          </w:tcPr>
          <w:p w14:paraId="2B4ECCBA">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实现价值的需要</w:t>
            </w:r>
          </w:p>
        </w:tc>
        <w:tc>
          <w:tcPr>
            <w:tcW w:w="5199" w:type="dxa"/>
            <w:vAlign w:val="center"/>
          </w:tcPr>
          <w:p w14:paraId="0910BDBC">
            <w:pPr>
              <w:pStyle w:val="31"/>
              <w:widowControl w:val="0"/>
              <w:jc w:val="left"/>
              <w:rPr>
                <w:rFonts w:ascii="宋体" w:hAnsi="宋体" w:eastAsia="宋体"/>
                <w:color w:val="auto"/>
                <w:kern w:val="2"/>
                <w:sz w:val="21"/>
                <w:szCs w:val="21"/>
              </w:rPr>
            </w:pPr>
            <w:r>
              <w:rPr>
                <w:rFonts w:hint="eastAsia" w:ascii="宋体" w:hAnsi="宋体" w:eastAsia="宋体"/>
                <w:color w:val="auto"/>
                <w:kern w:val="2"/>
                <w:sz w:val="21"/>
                <w:szCs w:val="21"/>
              </w:rPr>
              <w:t>鼓励进修，弹性工作时间制</w:t>
            </w:r>
          </w:p>
        </w:tc>
      </w:tr>
      <w:tr w14:paraId="76CE0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221" w:type="dxa"/>
            <w:vMerge w:val="continue"/>
            <w:vAlign w:val="center"/>
          </w:tcPr>
          <w:p w14:paraId="0906EBDF">
            <w:pPr>
              <w:pStyle w:val="31"/>
              <w:widowControl w:val="0"/>
              <w:jc w:val="left"/>
              <w:rPr>
                <w:rFonts w:ascii="宋体" w:hAnsi="宋体" w:eastAsia="宋体"/>
                <w:kern w:val="2"/>
                <w:sz w:val="21"/>
                <w:szCs w:val="21"/>
              </w:rPr>
            </w:pPr>
          </w:p>
        </w:tc>
        <w:tc>
          <w:tcPr>
            <w:tcW w:w="2274" w:type="dxa"/>
            <w:vAlign w:val="center"/>
          </w:tcPr>
          <w:p w14:paraId="69936E93">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发展空间的需要</w:t>
            </w:r>
          </w:p>
        </w:tc>
        <w:tc>
          <w:tcPr>
            <w:tcW w:w="5199" w:type="dxa"/>
            <w:vAlign w:val="center"/>
          </w:tcPr>
          <w:p w14:paraId="5805EFD1">
            <w:pPr>
              <w:pStyle w:val="31"/>
              <w:widowControl w:val="0"/>
              <w:jc w:val="left"/>
              <w:rPr>
                <w:rFonts w:ascii="宋体" w:hAnsi="宋体" w:eastAsia="宋体"/>
                <w:color w:val="auto"/>
                <w:kern w:val="2"/>
                <w:sz w:val="21"/>
                <w:szCs w:val="21"/>
              </w:rPr>
            </w:pPr>
            <w:r>
              <w:rPr>
                <w:rFonts w:hint="eastAsia" w:ascii="宋体" w:hAnsi="宋体" w:eastAsia="宋体"/>
                <w:color w:val="auto"/>
                <w:kern w:val="2"/>
                <w:sz w:val="21"/>
                <w:szCs w:val="21"/>
              </w:rPr>
              <w:t>岗位轮岗、干部竞聘、配助手制</w:t>
            </w:r>
          </w:p>
        </w:tc>
      </w:tr>
      <w:tr w14:paraId="6045E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221" w:type="dxa"/>
            <w:vAlign w:val="center"/>
          </w:tcPr>
          <w:p w14:paraId="59CCFEB1">
            <w:pPr>
              <w:pStyle w:val="31"/>
              <w:widowControl w:val="0"/>
              <w:rPr>
                <w:rFonts w:ascii="宋体" w:hAnsi="宋体" w:eastAsia="宋体"/>
                <w:kern w:val="2"/>
                <w:sz w:val="21"/>
                <w:szCs w:val="21"/>
              </w:rPr>
            </w:pPr>
            <w:r>
              <w:rPr>
                <w:rFonts w:hint="eastAsia" w:ascii="宋体" w:hAnsi="宋体" w:eastAsia="宋体"/>
                <w:kern w:val="2"/>
                <w:sz w:val="21"/>
                <w:szCs w:val="21"/>
              </w:rPr>
              <w:t>高级人员</w:t>
            </w:r>
          </w:p>
        </w:tc>
        <w:tc>
          <w:tcPr>
            <w:tcW w:w="2274" w:type="dxa"/>
            <w:vAlign w:val="center"/>
          </w:tcPr>
          <w:p w14:paraId="2853A265">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事业成功的需要</w:t>
            </w:r>
          </w:p>
        </w:tc>
        <w:tc>
          <w:tcPr>
            <w:tcW w:w="5199" w:type="dxa"/>
            <w:vAlign w:val="center"/>
          </w:tcPr>
          <w:p w14:paraId="2B89CB38">
            <w:pPr>
              <w:pStyle w:val="31"/>
              <w:widowControl w:val="0"/>
              <w:jc w:val="left"/>
              <w:rPr>
                <w:rFonts w:ascii="宋体" w:hAnsi="宋体" w:eastAsia="宋体"/>
                <w:color w:val="auto"/>
                <w:kern w:val="2"/>
                <w:sz w:val="21"/>
                <w:szCs w:val="21"/>
              </w:rPr>
            </w:pPr>
            <w:r>
              <w:rPr>
                <w:rFonts w:hint="eastAsia" w:ascii="宋体" w:hAnsi="宋体" w:eastAsia="宋体"/>
                <w:color w:val="auto"/>
                <w:kern w:val="2"/>
                <w:sz w:val="21"/>
                <w:szCs w:val="21"/>
              </w:rPr>
              <w:t>改进沟通方式，营造合作氛围</w:t>
            </w:r>
          </w:p>
        </w:tc>
      </w:tr>
    </w:tbl>
    <w:p w14:paraId="745FF029">
      <w:pPr>
        <w:tabs>
          <w:tab w:val="left" w:pos="5400"/>
        </w:tabs>
        <w:spacing w:line="360" w:lineRule="auto"/>
        <w:rPr>
          <w:b/>
          <w:bCs/>
          <w:position w:val="-40"/>
        </w:rPr>
      </w:pPr>
      <w:r>
        <w:rPr>
          <w:rFonts w:hint="eastAsia"/>
          <w:b/>
          <w:bCs/>
          <w:position w:val="-40"/>
        </w:rPr>
        <w:t xml:space="preserve"> (4)整合群众性质量管理活动，创造参与平台</w:t>
      </w:r>
    </w:p>
    <w:p w14:paraId="1F8D5DA4">
      <w:pPr>
        <w:tabs>
          <w:tab w:val="left" w:pos="5400"/>
        </w:tabs>
        <w:spacing w:line="360" w:lineRule="auto"/>
        <w:ind w:firstLine="480" w:firstLineChars="200"/>
      </w:pPr>
      <w:r>
        <w:rPr>
          <w:rFonts w:hint="eastAsia"/>
        </w:rPr>
        <w:t>公司营造员工积极参与群众性质量管理活动的机制，并基于卓越模式，把合理化建议、5S活动整合为卓越班组活动，为员工的质量管理活动提供平台，并通过对活动成果评定、认可和激励，调动员工参与质量管理活动的积极性。</w:t>
      </w:r>
    </w:p>
    <w:p w14:paraId="0D4E2317">
      <w:pPr>
        <w:pStyle w:val="36"/>
        <w:spacing w:before="156" w:beforeLines="50" w:line="360" w:lineRule="auto"/>
        <w:ind w:firstLine="0" w:firstLineChars="0"/>
        <w:jc w:val="center"/>
        <w:rPr>
          <w:rFonts w:ascii="黑体" w:hAnsi="黑体" w:eastAsia="黑体"/>
          <w:b/>
          <w:bCs/>
          <w:color w:val="auto"/>
          <w:sz w:val="21"/>
          <w:szCs w:val="21"/>
        </w:rPr>
      </w:pPr>
      <w:r>
        <w:rPr>
          <w:rFonts w:hint="eastAsia" w:ascii="黑体" w:hAnsi="黑体" w:eastAsia="黑体"/>
          <w:b/>
          <w:bCs/>
          <w:color w:val="auto"/>
          <w:sz w:val="21"/>
          <w:szCs w:val="21"/>
        </w:rPr>
        <w:t>表4.4.2-8 卓越班组活动资源支持情况</w:t>
      </w:r>
    </w:p>
    <w:tbl>
      <w:tblPr>
        <w:tblStyle w:val="22"/>
        <w:tblW w:w="89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16"/>
        <w:gridCol w:w="6756"/>
      </w:tblGrid>
      <w:tr w14:paraId="3E800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blHeader/>
          <w:jc w:val="center"/>
        </w:trPr>
        <w:tc>
          <w:tcPr>
            <w:tcW w:w="2216" w:type="dxa"/>
            <w:shd w:val="clear" w:color="auto" w:fill="938953"/>
            <w:vAlign w:val="center"/>
          </w:tcPr>
          <w:p w14:paraId="09A4D9EA">
            <w:pPr>
              <w:pStyle w:val="31"/>
              <w:widowControl w:val="0"/>
              <w:rPr>
                <w:rFonts w:ascii="宋体" w:hAnsi="宋体" w:eastAsia="宋体"/>
                <w:b/>
                <w:color w:val="FFFFFF"/>
                <w:kern w:val="2"/>
              </w:rPr>
            </w:pPr>
            <w:r>
              <w:rPr>
                <w:rFonts w:hint="eastAsia" w:ascii="宋体" w:hAnsi="宋体" w:eastAsia="宋体" w:cs=".Apple Color Emoji UI"/>
                <w:b/>
                <w:color w:val="FFFFFF"/>
                <w:kern w:val="2"/>
              </w:rPr>
              <w:t>支持方面</w:t>
            </w:r>
          </w:p>
        </w:tc>
        <w:tc>
          <w:tcPr>
            <w:tcW w:w="6756" w:type="dxa"/>
            <w:shd w:val="clear" w:color="auto" w:fill="938953"/>
            <w:vAlign w:val="center"/>
          </w:tcPr>
          <w:p w14:paraId="14488E19">
            <w:pPr>
              <w:pStyle w:val="31"/>
              <w:widowControl w:val="0"/>
              <w:rPr>
                <w:rFonts w:ascii="宋体" w:hAnsi="宋体" w:eastAsia="宋体"/>
                <w:b/>
                <w:color w:val="FFFFFF"/>
                <w:kern w:val="2"/>
              </w:rPr>
            </w:pPr>
            <w:r>
              <w:rPr>
                <w:rFonts w:hint="eastAsia" w:ascii="宋体" w:hAnsi="宋体" w:eastAsia="宋体"/>
                <w:b/>
                <w:color w:val="FFFFFF"/>
                <w:kern w:val="2"/>
              </w:rPr>
              <w:t>支持措施</w:t>
            </w:r>
          </w:p>
        </w:tc>
      </w:tr>
      <w:tr w14:paraId="035AA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2216" w:type="dxa"/>
            <w:vAlign w:val="center"/>
          </w:tcPr>
          <w:p w14:paraId="51DABBDA">
            <w:pPr>
              <w:pStyle w:val="31"/>
              <w:widowControl w:val="0"/>
              <w:rPr>
                <w:rFonts w:ascii="宋体" w:hAnsi="宋体" w:eastAsia="宋体"/>
                <w:kern w:val="2"/>
                <w:sz w:val="21"/>
                <w:szCs w:val="21"/>
              </w:rPr>
            </w:pPr>
            <w:r>
              <w:rPr>
                <w:rFonts w:hint="eastAsia" w:ascii="宋体" w:hAnsi="宋体" w:eastAsia="宋体"/>
                <w:kern w:val="2"/>
                <w:sz w:val="21"/>
                <w:szCs w:val="21"/>
              </w:rPr>
              <w:t>明确组织机构</w:t>
            </w:r>
          </w:p>
        </w:tc>
        <w:tc>
          <w:tcPr>
            <w:tcW w:w="6756" w:type="dxa"/>
            <w:vAlign w:val="center"/>
          </w:tcPr>
          <w:p w14:paraId="4F657C33">
            <w:pPr>
              <w:pStyle w:val="31"/>
              <w:widowControl w:val="0"/>
              <w:jc w:val="left"/>
              <w:rPr>
                <w:rFonts w:ascii="宋体" w:hAnsi="宋体" w:eastAsia="宋体"/>
                <w:color w:val="auto"/>
                <w:kern w:val="2"/>
                <w:sz w:val="21"/>
                <w:szCs w:val="21"/>
              </w:rPr>
            </w:pPr>
            <w:r>
              <w:rPr>
                <w:rFonts w:hint="eastAsia" w:ascii="宋体" w:hAnsi="宋体" w:eastAsia="宋体"/>
                <w:color w:val="auto"/>
                <w:kern w:val="2"/>
                <w:sz w:val="21"/>
                <w:szCs w:val="21"/>
              </w:rPr>
              <w:t>行政部是卓越班组活动归口管理部门，提供避免多头管理，多头检查的机构保障</w:t>
            </w:r>
          </w:p>
        </w:tc>
      </w:tr>
      <w:tr w14:paraId="73F35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2216" w:type="dxa"/>
            <w:vAlign w:val="center"/>
          </w:tcPr>
          <w:p w14:paraId="46D96306">
            <w:pPr>
              <w:pStyle w:val="31"/>
              <w:widowControl w:val="0"/>
              <w:rPr>
                <w:rFonts w:ascii="宋体" w:hAnsi="宋体" w:eastAsia="宋体"/>
                <w:kern w:val="2"/>
                <w:sz w:val="21"/>
                <w:szCs w:val="21"/>
              </w:rPr>
            </w:pPr>
            <w:r>
              <w:rPr>
                <w:rFonts w:hint="eastAsia" w:ascii="宋体" w:hAnsi="宋体" w:eastAsia="宋体"/>
                <w:kern w:val="2"/>
                <w:sz w:val="21"/>
                <w:szCs w:val="21"/>
              </w:rPr>
              <w:t>明确活动方式方法</w:t>
            </w:r>
          </w:p>
        </w:tc>
        <w:tc>
          <w:tcPr>
            <w:tcW w:w="6756" w:type="dxa"/>
            <w:vAlign w:val="center"/>
          </w:tcPr>
          <w:p w14:paraId="1CB8ADE1">
            <w:pPr>
              <w:pStyle w:val="31"/>
              <w:widowControl w:val="0"/>
              <w:jc w:val="left"/>
              <w:rPr>
                <w:rFonts w:ascii="宋体" w:hAnsi="宋体" w:eastAsia="宋体"/>
                <w:color w:val="auto"/>
                <w:kern w:val="2"/>
                <w:sz w:val="21"/>
                <w:szCs w:val="21"/>
              </w:rPr>
            </w:pPr>
            <w:r>
              <w:rPr>
                <w:rFonts w:hint="eastAsia" w:ascii="宋体" w:hAnsi="宋体" w:eastAsia="宋体"/>
                <w:color w:val="auto"/>
                <w:kern w:val="2"/>
                <w:sz w:val="21"/>
                <w:szCs w:val="21"/>
              </w:rPr>
              <w:t>明确采用PDCA思路，通过自主创新、过程展开（5S思维行为习惯、QC方法工具、TPM业务内容）、结果（技能目标、质量目标、现场改善目标）、工作任务（成本）来运作</w:t>
            </w:r>
          </w:p>
        </w:tc>
      </w:tr>
      <w:tr w14:paraId="1740F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2216" w:type="dxa"/>
            <w:vAlign w:val="center"/>
          </w:tcPr>
          <w:p w14:paraId="5A277A23">
            <w:pPr>
              <w:pStyle w:val="31"/>
              <w:widowControl w:val="0"/>
              <w:rPr>
                <w:rFonts w:ascii="宋体" w:hAnsi="宋体" w:eastAsia="宋体"/>
                <w:kern w:val="2"/>
                <w:sz w:val="21"/>
                <w:szCs w:val="21"/>
              </w:rPr>
            </w:pPr>
            <w:r>
              <w:rPr>
                <w:rFonts w:hint="eastAsia" w:ascii="宋体" w:hAnsi="宋体" w:eastAsia="宋体"/>
                <w:kern w:val="2"/>
                <w:sz w:val="21"/>
                <w:szCs w:val="21"/>
              </w:rPr>
              <w:t>提供竞赛擂台</w:t>
            </w:r>
          </w:p>
        </w:tc>
        <w:tc>
          <w:tcPr>
            <w:tcW w:w="6756" w:type="dxa"/>
            <w:vAlign w:val="center"/>
          </w:tcPr>
          <w:p w14:paraId="37857E09">
            <w:pPr>
              <w:pStyle w:val="31"/>
              <w:widowControl w:val="0"/>
              <w:jc w:val="left"/>
              <w:rPr>
                <w:rFonts w:ascii="宋体" w:hAnsi="宋体" w:eastAsia="宋体"/>
                <w:color w:val="auto"/>
                <w:kern w:val="2"/>
                <w:sz w:val="21"/>
                <w:szCs w:val="21"/>
              </w:rPr>
            </w:pPr>
            <w:r>
              <w:rPr>
                <w:rFonts w:hint="eastAsia" w:ascii="宋体" w:hAnsi="宋体" w:eastAsia="宋体"/>
                <w:color w:val="auto"/>
                <w:kern w:val="2"/>
                <w:sz w:val="21"/>
                <w:szCs w:val="21"/>
              </w:rPr>
              <w:t>分为AAA、BBB级，各部门组织挑选本部门1～3个班组参加</w:t>
            </w:r>
          </w:p>
        </w:tc>
      </w:tr>
      <w:tr w14:paraId="463A2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2216" w:type="dxa"/>
            <w:vAlign w:val="center"/>
          </w:tcPr>
          <w:p w14:paraId="32B597F1">
            <w:pPr>
              <w:pStyle w:val="31"/>
              <w:widowControl w:val="0"/>
              <w:rPr>
                <w:rFonts w:ascii="宋体" w:hAnsi="宋体" w:eastAsia="宋体"/>
                <w:kern w:val="2"/>
                <w:sz w:val="21"/>
                <w:szCs w:val="21"/>
              </w:rPr>
            </w:pPr>
            <w:r>
              <w:rPr>
                <w:rFonts w:hint="eastAsia" w:ascii="宋体" w:hAnsi="宋体" w:eastAsia="宋体"/>
                <w:kern w:val="2"/>
                <w:sz w:val="21"/>
                <w:szCs w:val="21"/>
              </w:rPr>
              <w:t>建立评价机制</w:t>
            </w:r>
          </w:p>
        </w:tc>
        <w:tc>
          <w:tcPr>
            <w:tcW w:w="6756" w:type="dxa"/>
            <w:vAlign w:val="center"/>
          </w:tcPr>
          <w:p w14:paraId="7B92B517">
            <w:pPr>
              <w:pStyle w:val="31"/>
              <w:widowControl w:val="0"/>
              <w:jc w:val="left"/>
              <w:rPr>
                <w:rFonts w:ascii="宋体" w:hAnsi="宋体" w:eastAsia="宋体"/>
                <w:color w:val="auto"/>
                <w:kern w:val="2"/>
                <w:sz w:val="21"/>
                <w:szCs w:val="21"/>
              </w:rPr>
            </w:pPr>
            <w:r>
              <w:rPr>
                <w:rFonts w:hint="eastAsia" w:ascii="宋体" w:hAnsi="宋体" w:eastAsia="宋体"/>
                <w:color w:val="auto"/>
                <w:kern w:val="2"/>
                <w:sz w:val="21"/>
                <w:szCs w:val="21"/>
              </w:rPr>
              <w:t>由行政部组织每月评定一次，区分评定级别，并予以公布</w:t>
            </w:r>
          </w:p>
        </w:tc>
      </w:tr>
      <w:tr w14:paraId="42F5C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2216" w:type="dxa"/>
            <w:vAlign w:val="center"/>
          </w:tcPr>
          <w:p w14:paraId="407FD637">
            <w:pPr>
              <w:pStyle w:val="31"/>
              <w:widowControl w:val="0"/>
              <w:rPr>
                <w:rFonts w:ascii="宋体" w:hAnsi="宋体" w:eastAsia="宋体"/>
                <w:kern w:val="2"/>
                <w:sz w:val="21"/>
                <w:szCs w:val="21"/>
              </w:rPr>
            </w:pPr>
            <w:r>
              <w:rPr>
                <w:rFonts w:hint="eastAsia" w:ascii="宋体" w:hAnsi="宋体" w:eastAsia="宋体"/>
                <w:kern w:val="2"/>
                <w:sz w:val="21"/>
                <w:szCs w:val="21"/>
              </w:rPr>
              <w:t>激励措施</w:t>
            </w:r>
          </w:p>
        </w:tc>
        <w:tc>
          <w:tcPr>
            <w:tcW w:w="6756" w:type="dxa"/>
            <w:vAlign w:val="center"/>
          </w:tcPr>
          <w:p w14:paraId="0349D825">
            <w:pPr>
              <w:pStyle w:val="31"/>
              <w:widowControl w:val="0"/>
              <w:jc w:val="left"/>
              <w:rPr>
                <w:rFonts w:ascii="宋体" w:hAnsi="宋体" w:eastAsia="宋体"/>
                <w:color w:val="auto"/>
                <w:kern w:val="2"/>
                <w:sz w:val="21"/>
                <w:szCs w:val="21"/>
              </w:rPr>
            </w:pPr>
            <w:r>
              <w:rPr>
                <w:rFonts w:hint="eastAsia" w:ascii="宋体" w:hAnsi="宋体" w:eastAsia="宋体"/>
                <w:color w:val="auto"/>
                <w:kern w:val="2"/>
                <w:sz w:val="21"/>
                <w:szCs w:val="21"/>
              </w:rPr>
              <w:t>对有价值的合理化建议奖励30～2000元，并按改进绩效程度给予奖励</w:t>
            </w:r>
          </w:p>
        </w:tc>
      </w:tr>
    </w:tbl>
    <w:p w14:paraId="69DE4B5E">
      <w:pPr>
        <w:pStyle w:val="6"/>
        <w:spacing w:before="312" w:beforeLines="100" w:line="360" w:lineRule="auto"/>
        <w:rPr>
          <w:sz w:val="24"/>
          <w:szCs w:val="24"/>
        </w:rPr>
      </w:pPr>
      <w:r>
        <w:rPr>
          <w:rFonts w:hint="eastAsia"/>
          <w:sz w:val="24"/>
          <w:szCs w:val="24"/>
        </w:rPr>
        <w:t>4.4.2.5.2员工满意程度</w:t>
      </w:r>
    </w:p>
    <w:p w14:paraId="0FFE45FE">
      <w:pPr>
        <w:tabs>
          <w:tab w:val="left" w:pos="5400"/>
        </w:tabs>
        <w:spacing w:line="360" w:lineRule="auto"/>
        <w:rPr>
          <w:b/>
          <w:bCs/>
          <w:position w:val="-40"/>
        </w:rPr>
      </w:pPr>
      <w:r>
        <w:rPr>
          <w:rFonts w:hint="eastAsia"/>
          <w:b/>
          <w:bCs/>
          <w:position w:val="-40"/>
        </w:rPr>
        <w:t>(1)影响员工权益、满意度和积极性的关键因素</w:t>
      </w:r>
    </w:p>
    <w:p w14:paraId="28CFE9E1">
      <w:pPr>
        <w:tabs>
          <w:tab w:val="left" w:pos="5400"/>
        </w:tabs>
        <w:spacing w:line="360" w:lineRule="auto"/>
        <w:ind w:firstLine="480" w:firstLineChars="200"/>
      </w:pPr>
      <w:r>
        <w:rPr>
          <w:rFonts w:hint="eastAsia"/>
        </w:rPr>
        <w:t>公司通过总经理班子巡视、绩效面谈、听取和采纳员工建议的渠道，通过分析、评估，识别确定影响员工权益、满意度和积极性的关键因素。</w:t>
      </w:r>
    </w:p>
    <w:p w14:paraId="4B4C36F4">
      <w:pPr>
        <w:pStyle w:val="36"/>
        <w:spacing w:before="156" w:beforeLines="50" w:line="360" w:lineRule="auto"/>
        <w:ind w:firstLine="0" w:firstLineChars="0"/>
        <w:jc w:val="center"/>
        <w:rPr>
          <w:rFonts w:ascii="黑体" w:hAnsi="黑体" w:eastAsia="黑体"/>
          <w:b/>
          <w:bCs/>
          <w:color w:val="auto"/>
          <w:sz w:val="21"/>
          <w:szCs w:val="21"/>
        </w:rPr>
      </w:pPr>
      <w:r>
        <w:rPr>
          <w:rFonts w:hint="eastAsia" w:ascii="黑体" w:hAnsi="黑体" w:eastAsia="黑体"/>
          <w:b/>
          <w:bCs/>
          <w:color w:val="auto"/>
          <w:sz w:val="21"/>
          <w:szCs w:val="21"/>
        </w:rPr>
        <w:t>表4.4.2-9 影响员工权益、满意度和积极性的关键因素</w:t>
      </w:r>
    </w:p>
    <w:tbl>
      <w:tblPr>
        <w:tblStyle w:val="22"/>
        <w:tblW w:w="86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4"/>
        <w:gridCol w:w="3119"/>
        <w:gridCol w:w="2931"/>
      </w:tblGrid>
      <w:tr w14:paraId="61269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2644" w:type="dxa"/>
            <w:shd w:val="clear" w:color="auto" w:fill="938953"/>
            <w:vAlign w:val="center"/>
          </w:tcPr>
          <w:p w14:paraId="45E4FCCA">
            <w:pPr>
              <w:pStyle w:val="31"/>
              <w:widowControl w:val="0"/>
              <w:rPr>
                <w:rFonts w:ascii="宋体" w:hAnsi="宋体" w:eastAsia="宋体"/>
                <w:b/>
                <w:color w:val="FFFFFF"/>
                <w:kern w:val="2"/>
              </w:rPr>
            </w:pPr>
            <w:r>
              <w:rPr>
                <w:rFonts w:hint="eastAsia" w:ascii="宋体" w:hAnsi="宋体" w:eastAsia="宋体" w:cs=".Apple Color Emoji UI"/>
                <w:b/>
                <w:color w:val="FFFFFF"/>
                <w:kern w:val="2"/>
              </w:rPr>
              <w:t>关键因素</w:t>
            </w:r>
          </w:p>
        </w:tc>
        <w:tc>
          <w:tcPr>
            <w:tcW w:w="3119" w:type="dxa"/>
            <w:shd w:val="clear" w:color="auto" w:fill="938953"/>
            <w:vAlign w:val="center"/>
          </w:tcPr>
          <w:p w14:paraId="7CC2BC87">
            <w:pPr>
              <w:pStyle w:val="31"/>
              <w:widowControl w:val="0"/>
              <w:rPr>
                <w:rFonts w:ascii="宋体" w:hAnsi="宋体" w:eastAsia="宋体"/>
                <w:b/>
                <w:color w:val="FFFFFF"/>
                <w:kern w:val="2"/>
              </w:rPr>
            </w:pPr>
            <w:r>
              <w:rPr>
                <w:rFonts w:hint="eastAsia" w:ascii="宋体" w:hAnsi="宋体" w:eastAsia="宋体"/>
                <w:b/>
                <w:color w:val="FFFFFF"/>
                <w:kern w:val="2"/>
              </w:rPr>
              <w:t>影响对象</w:t>
            </w:r>
          </w:p>
        </w:tc>
        <w:tc>
          <w:tcPr>
            <w:tcW w:w="2931" w:type="dxa"/>
            <w:shd w:val="clear" w:color="auto" w:fill="938953"/>
            <w:vAlign w:val="center"/>
          </w:tcPr>
          <w:p w14:paraId="55C77D81">
            <w:pPr>
              <w:pStyle w:val="31"/>
              <w:widowControl w:val="0"/>
              <w:rPr>
                <w:rFonts w:ascii="宋体" w:hAnsi="宋体" w:eastAsia="宋体"/>
                <w:b/>
                <w:color w:val="FFFFFF"/>
                <w:kern w:val="2"/>
              </w:rPr>
            </w:pPr>
            <w:r>
              <w:rPr>
                <w:rFonts w:hint="eastAsia" w:ascii="宋体" w:hAnsi="宋体" w:eastAsia="宋体"/>
                <w:b/>
                <w:color w:val="FFFFFF"/>
                <w:kern w:val="2"/>
              </w:rPr>
              <w:t>可能的影响</w:t>
            </w:r>
          </w:p>
        </w:tc>
      </w:tr>
      <w:tr w14:paraId="7CEB4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2644" w:type="dxa"/>
            <w:vAlign w:val="center"/>
          </w:tcPr>
          <w:p w14:paraId="21995A6D">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粉尘、噪声、气味</w:t>
            </w:r>
          </w:p>
        </w:tc>
        <w:tc>
          <w:tcPr>
            <w:tcW w:w="3119" w:type="dxa"/>
            <w:vMerge w:val="restart"/>
            <w:vAlign w:val="center"/>
          </w:tcPr>
          <w:p w14:paraId="132EC75D">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初级人才</w:t>
            </w:r>
          </w:p>
        </w:tc>
        <w:tc>
          <w:tcPr>
            <w:tcW w:w="2931" w:type="dxa"/>
            <w:vAlign w:val="center"/>
          </w:tcPr>
          <w:p w14:paraId="04A3045E">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身体健康</w:t>
            </w:r>
          </w:p>
        </w:tc>
      </w:tr>
      <w:tr w14:paraId="318CD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2644" w:type="dxa"/>
            <w:vAlign w:val="center"/>
          </w:tcPr>
          <w:p w14:paraId="69CA1C39">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薪酬</w:t>
            </w:r>
          </w:p>
        </w:tc>
        <w:tc>
          <w:tcPr>
            <w:tcW w:w="3119" w:type="dxa"/>
            <w:vMerge w:val="continue"/>
            <w:vAlign w:val="center"/>
          </w:tcPr>
          <w:p w14:paraId="09A9A6BA">
            <w:pPr>
              <w:pStyle w:val="31"/>
              <w:widowControl w:val="0"/>
              <w:rPr>
                <w:rFonts w:ascii="宋体" w:hAnsi="宋体" w:eastAsia="宋体"/>
                <w:color w:val="auto"/>
                <w:kern w:val="2"/>
                <w:sz w:val="21"/>
                <w:szCs w:val="21"/>
              </w:rPr>
            </w:pPr>
          </w:p>
        </w:tc>
        <w:tc>
          <w:tcPr>
            <w:tcW w:w="2931" w:type="dxa"/>
            <w:vAlign w:val="center"/>
          </w:tcPr>
          <w:p w14:paraId="4C6DF640">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工作积极性</w:t>
            </w:r>
          </w:p>
        </w:tc>
      </w:tr>
      <w:tr w14:paraId="5B8E2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2644" w:type="dxa"/>
            <w:vAlign w:val="center"/>
          </w:tcPr>
          <w:p w14:paraId="030B2A5B">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福利</w:t>
            </w:r>
          </w:p>
        </w:tc>
        <w:tc>
          <w:tcPr>
            <w:tcW w:w="3119" w:type="dxa"/>
            <w:vMerge w:val="continue"/>
            <w:vAlign w:val="center"/>
          </w:tcPr>
          <w:p w14:paraId="5E64AA37">
            <w:pPr>
              <w:pStyle w:val="31"/>
              <w:widowControl w:val="0"/>
              <w:rPr>
                <w:rFonts w:ascii="宋体" w:hAnsi="宋体" w:eastAsia="宋体"/>
                <w:color w:val="auto"/>
                <w:kern w:val="2"/>
                <w:sz w:val="21"/>
                <w:szCs w:val="21"/>
              </w:rPr>
            </w:pPr>
          </w:p>
        </w:tc>
        <w:tc>
          <w:tcPr>
            <w:tcW w:w="2931" w:type="dxa"/>
            <w:vAlign w:val="center"/>
          </w:tcPr>
          <w:p w14:paraId="56E2F2EC">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工作积极性</w:t>
            </w:r>
          </w:p>
        </w:tc>
      </w:tr>
      <w:tr w14:paraId="74CB6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2644" w:type="dxa"/>
            <w:vAlign w:val="center"/>
          </w:tcPr>
          <w:p w14:paraId="7806A66C">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工作时间</w:t>
            </w:r>
          </w:p>
        </w:tc>
        <w:tc>
          <w:tcPr>
            <w:tcW w:w="3119" w:type="dxa"/>
            <w:vMerge w:val="continue"/>
            <w:vAlign w:val="center"/>
          </w:tcPr>
          <w:p w14:paraId="322B7D10">
            <w:pPr>
              <w:pStyle w:val="31"/>
              <w:widowControl w:val="0"/>
              <w:rPr>
                <w:rFonts w:ascii="宋体" w:hAnsi="宋体" w:eastAsia="宋体"/>
                <w:color w:val="auto"/>
                <w:kern w:val="2"/>
                <w:sz w:val="21"/>
                <w:szCs w:val="21"/>
              </w:rPr>
            </w:pPr>
          </w:p>
        </w:tc>
        <w:tc>
          <w:tcPr>
            <w:tcW w:w="2931" w:type="dxa"/>
            <w:vAlign w:val="center"/>
          </w:tcPr>
          <w:p w14:paraId="4969A428">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身体健康</w:t>
            </w:r>
          </w:p>
        </w:tc>
      </w:tr>
      <w:tr w14:paraId="6AD87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2644" w:type="dxa"/>
            <w:vAlign w:val="center"/>
          </w:tcPr>
          <w:p w14:paraId="3A65718E">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培训</w:t>
            </w:r>
          </w:p>
        </w:tc>
        <w:tc>
          <w:tcPr>
            <w:tcW w:w="3119" w:type="dxa"/>
            <w:vMerge w:val="continue"/>
            <w:vAlign w:val="center"/>
          </w:tcPr>
          <w:p w14:paraId="60C232C5">
            <w:pPr>
              <w:pStyle w:val="31"/>
              <w:widowControl w:val="0"/>
              <w:rPr>
                <w:rFonts w:ascii="宋体" w:hAnsi="宋体" w:eastAsia="宋体"/>
                <w:color w:val="auto"/>
                <w:kern w:val="2"/>
                <w:sz w:val="21"/>
                <w:szCs w:val="21"/>
              </w:rPr>
            </w:pPr>
          </w:p>
        </w:tc>
        <w:tc>
          <w:tcPr>
            <w:tcW w:w="2931" w:type="dxa"/>
            <w:vAlign w:val="center"/>
          </w:tcPr>
          <w:p w14:paraId="152295C6">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职业发展</w:t>
            </w:r>
          </w:p>
        </w:tc>
      </w:tr>
      <w:tr w14:paraId="1E637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2644" w:type="dxa"/>
            <w:vAlign w:val="center"/>
          </w:tcPr>
          <w:p w14:paraId="0D5E777E">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住房</w:t>
            </w:r>
          </w:p>
        </w:tc>
        <w:tc>
          <w:tcPr>
            <w:tcW w:w="3119" w:type="dxa"/>
            <w:vMerge w:val="continue"/>
            <w:vAlign w:val="center"/>
          </w:tcPr>
          <w:p w14:paraId="7C1ADC3C">
            <w:pPr>
              <w:pStyle w:val="31"/>
              <w:widowControl w:val="0"/>
              <w:rPr>
                <w:rFonts w:ascii="宋体" w:hAnsi="宋体" w:eastAsia="宋体"/>
                <w:color w:val="auto"/>
                <w:kern w:val="2"/>
                <w:sz w:val="21"/>
                <w:szCs w:val="21"/>
              </w:rPr>
            </w:pPr>
          </w:p>
        </w:tc>
        <w:tc>
          <w:tcPr>
            <w:tcW w:w="2931" w:type="dxa"/>
            <w:vAlign w:val="center"/>
          </w:tcPr>
          <w:p w14:paraId="2D7FE43B">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心理压力</w:t>
            </w:r>
          </w:p>
        </w:tc>
      </w:tr>
      <w:tr w14:paraId="3F1F2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2644" w:type="dxa"/>
            <w:vAlign w:val="center"/>
          </w:tcPr>
          <w:p w14:paraId="69DD2D08">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职业发展</w:t>
            </w:r>
          </w:p>
        </w:tc>
        <w:tc>
          <w:tcPr>
            <w:tcW w:w="3119" w:type="dxa"/>
            <w:vMerge w:val="restart"/>
            <w:vAlign w:val="center"/>
          </w:tcPr>
          <w:p w14:paraId="651581C4">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中级人才</w:t>
            </w:r>
          </w:p>
        </w:tc>
        <w:tc>
          <w:tcPr>
            <w:tcW w:w="2931" w:type="dxa"/>
            <w:vAlign w:val="center"/>
          </w:tcPr>
          <w:p w14:paraId="052031B2">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工作态度</w:t>
            </w:r>
          </w:p>
        </w:tc>
      </w:tr>
      <w:tr w14:paraId="4E20E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2644" w:type="dxa"/>
            <w:vAlign w:val="center"/>
          </w:tcPr>
          <w:p w14:paraId="28FF9C2B">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培训</w:t>
            </w:r>
          </w:p>
        </w:tc>
        <w:tc>
          <w:tcPr>
            <w:tcW w:w="3119" w:type="dxa"/>
            <w:vMerge w:val="continue"/>
            <w:vAlign w:val="center"/>
          </w:tcPr>
          <w:p w14:paraId="7116DCA2">
            <w:pPr>
              <w:pStyle w:val="31"/>
              <w:widowControl w:val="0"/>
              <w:rPr>
                <w:rFonts w:ascii="宋体" w:hAnsi="宋体" w:eastAsia="宋体"/>
                <w:color w:val="auto"/>
                <w:kern w:val="2"/>
                <w:sz w:val="21"/>
                <w:szCs w:val="21"/>
              </w:rPr>
            </w:pPr>
          </w:p>
        </w:tc>
        <w:tc>
          <w:tcPr>
            <w:tcW w:w="2931" w:type="dxa"/>
            <w:vAlign w:val="center"/>
          </w:tcPr>
          <w:p w14:paraId="151B29D7">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产生抱怨</w:t>
            </w:r>
          </w:p>
        </w:tc>
      </w:tr>
      <w:tr w14:paraId="596A5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2644" w:type="dxa"/>
            <w:vAlign w:val="center"/>
          </w:tcPr>
          <w:p w14:paraId="5E7E1850">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工作压力</w:t>
            </w:r>
          </w:p>
        </w:tc>
        <w:tc>
          <w:tcPr>
            <w:tcW w:w="3119" w:type="dxa"/>
            <w:vMerge w:val="continue"/>
            <w:vAlign w:val="center"/>
          </w:tcPr>
          <w:p w14:paraId="2677A1EF">
            <w:pPr>
              <w:pStyle w:val="31"/>
              <w:widowControl w:val="0"/>
              <w:rPr>
                <w:rFonts w:ascii="宋体" w:hAnsi="宋体" w:eastAsia="宋体"/>
                <w:color w:val="auto"/>
                <w:kern w:val="2"/>
                <w:sz w:val="21"/>
                <w:szCs w:val="21"/>
              </w:rPr>
            </w:pPr>
          </w:p>
        </w:tc>
        <w:tc>
          <w:tcPr>
            <w:tcW w:w="2931" w:type="dxa"/>
            <w:vAlign w:val="center"/>
          </w:tcPr>
          <w:p w14:paraId="568C24BD">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流失</w:t>
            </w:r>
          </w:p>
        </w:tc>
      </w:tr>
      <w:tr w14:paraId="02355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2644" w:type="dxa"/>
            <w:vAlign w:val="center"/>
          </w:tcPr>
          <w:p w14:paraId="6044119D">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团队合作</w:t>
            </w:r>
          </w:p>
        </w:tc>
        <w:tc>
          <w:tcPr>
            <w:tcW w:w="3119" w:type="dxa"/>
            <w:vAlign w:val="center"/>
          </w:tcPr>
          <w:p w14:paraId="2E649A04">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高级人才</w:t>
            </w:r>
          </w:p>
        </w:tc>
        <w:tc>
          <w:tcPr>
            <w:tcW w:w="2931" w:type="dxa"/>
            <w:vAlign w:val="center"/>
          </w:tcPr>
          <w:p w14:paraId="64754718">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惰性</w:t>
            </w:r>
          </w:p>
        </w:tc>
      </w:tr>
    </w:tbl>
    <w:p w14:paraId="52E5C1D3">
      <w:pPr>
        <w:tabs>
          <w:tab w:val="left" w:pos="5400"/>
        </w:tabs>
        <w:spacing w:line="360" w:lineRule="auto"/>
        <w:rPr>
          <w:b/>
          <w:bCs/>
          <w:position w:val="-40"/>
        </w:rPr>
      </w:pPr>
      <w:r>
        <w:rPr>
          <w:rFonts w:hint="eastAsia"/>
          <w:b/>
          <w:bCs/>
          <w:position w:val="-40"/>
        </w:rPr>
        <w:t>（3）采用先进的方法，实施员工的满意度调查</w:t>
      </w:r>
    </w:p>
    <w:p w14:paraId="53498C5A">
      <w:pPr>
        <w:tabs>
          <w:tab w:val="left" w:pos="5400"/>
        </w:tabs>
        <w:spacing w:line="360" w:lineRule="auto"/>
        <w:ind w:firstLine="480" w:firstLineChars="200"/>
        <w:rPr>
          <w:rFonts w:ascii="黑体" w:hAnsi="黑体" w:eastAsia="黑体"/>
          <w:b/>
          <w:bCs/>
          <w:sz w:val="21"/>
          <w:szCs w:val="21"/>
        </w:rPr>
      </w:pPr>
      <w:r>
        <w:rPr>
          <w:rFonts w:hint="eastAsia"/>
        </w:rPr>
        <w:t>公司领导非常关注员工的意见，每年开展一次员工满意度调查，及时收集、了解员工的意见，并作出积极反应。</w:t>
      </w:r>
    </w:p>
    <w:p w14:paraId="479A3B3A">
      <w:pPr>
        <w:pStyle w:val="36"/>
        <w:spacing w:line="360" w:lineRule="auto"/>
        <w:ind w:firstLine="0" w:firstLineChars="0"/>
        <w:jc w:val="center"/>
        <w:rPr>
          <w:rFonts w:ascii="黑体" w:hAnsi="黑体" w:eastAsia="黑体"/>
          <w:b/>
          <w:bCs/>
          <w:color w:val="auto"/>
          <w:sz w:val="21"/>
          <w:szCs w:val="21"/>
        </w:rPr>
      </w:pPr>
      <w:r>
        <w:rPr>
          <w:rFonts w:hint="eastAsia" w:ascii="黑体" w:hAnsi="黑体" w:eastAsia="黑体"/>
          <w:b/>
          <w:bCs/>
          <w:color w:val="auto"/>
          <w:sz w:val="21"/>
          <w:szCs w:val="21"/>
        </w:rPr>
        <w:t>图4.4.2-9  员工满意度调查流程</w:t>
      </w:r>
    </w:p>
    <w:p w14:paraId="02DEF472">
      <w:pPr>
        <w:tabs>
          <w:tab w:val="left" w:pos="5400"/>
        </w:tabs>
        <w:spacing w:line="360" w:lineRule="auto"/>
        <w:ind w:firstLine="2092" w:firstLineChars="872"/>
      </w:pPr>
      <w:r>
        <w:drawing>
          <wp:inline distT="0" distB="0" distL="114300" distR="114300">
            <wp:extent cx="2971800" cy="2914650"/>
            <wp:effectExtent l="0" t="0" r="0" b="0"/>
            <wp:docPr id="14" name="图片 12" descr="捕获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2" descr="捕获1"/>
                    <pic:cNvPicPr>
                      <a:picLocks noChangeAspect="1"/>
                    </pic:cNvPicPr>
                  </pic:nvPicPr>
                  <pic:blipFill>
                    <a:blip r:embed="rId24"/>
                    <a:stretch>
                      <a:fillRect/>
                    </a:stretch>
                  </pic:blipFill>
                  <pic:spPr>
                    <a:xfrm>
                      <a:off x="0" y="0"/>
                      <a:ext cx="2971800" cy="2914650"/>
                    </a:xfrm>
                    <a:prstGeom prst="rect">
                      <a:avLst/>
                    </a:prstGeom>
                    <a:noFill/>
                    <a:ln>
                      <a:noFill/>
                    </a:ln>
                  </pic:spPr>
                </pic:pic>
              </a:graphicData>
            </a:graphic>
          </wp:inline>
        </w:drawing>
      </w:r>
    </w:p>
    <w:p w14:paraId="3E545AC2">
      <w:pPr>
        <w:tabs>
          <w:tab w:val="left" w:pos="5400"/>
        </w:tabs>
        <w:spacing w:line="360" w:lineRule="auto"/>
        <w:ind w:firstLine="480" w:firstLineChars="200"/>
      </w:pPr>
      <w:r>
        <w:rPr>
          <w:rFonts w:hint="eastAsia"/>
        </w:rPr>
        <w:t xml:space="preserve">公司建立了“员工满意度改进的管理方案”，利用计算机数据自动集成系统，建立科学的员工满意度评价模型，对培训、薪酬、福利、培训、职业发展等影响职工权益、满意度的关健因素进行评价，并通过系统统计分析，对员工满意度进行量化评分，形成公司年度满意调查报告。由行政部跟踪检查，维护员工权益、提高员工的满意程度和工作积极性。 </w:t>
      </w:r>
    </w:p>
    <w:p w14:paraId="452A97CD">
      <w:pPr>
        <w:pStyle w:val="4"/>
      </w:pPr>
      <w:bookmarkStart w:id="42" w:name="_Toc99720427"/>
      <w:r>
        <w:rPr>
          <w:rFonts w:hint="eastAsia"/>
        </w:rPr>
        <w:t>4.4.3财务资源</w:t>
      </w:r>
      <w:bookmarkEnd w:id="42"/>
    </w:p>
    <w:p w14:paraId="0E0E5D5B">
      <w:pPr>
        <w:tabs>
          <w:tab w:val="left" w:pos="5400"/>
        </w:tabs>
        <w:spacing w:line="360" w:lineRule="auto"/>
        <w:ind w:firstLine="480" w:firstLineChars="200"/>
      </w:pPr>
      <w:r>
        <w:rPr>
          <w:rFonts w:hint="eastAsia"/>
        </w:rPr>
        <w:t>公司积极有效地培育和配置财务资源，促进企业利润最大化和协调化，有力支撑公司战略目标的实现。财务资源管理见</w:t>
      </w:r>
      <w:r>
        <w:rPr>
          <w:rFonts w:hint="eastAsia" w:ascii="宋体" w:hAnsi="宋体" w:cs="宋体"/>
        </w:rPr>
        <w:t>图4.4.3-1。</w:t>
      </w:r>
    </w:p>
    <w:p w14:paraId="58202348">
      <w:pPr>
        <w:pStyle w:val="36"/>
        <w:spacing w:line="400" w:lineRule="exact"/>
        <w:ind w:firstLine="0" w:firstLineChars="0"/>
        <w:jc w:val="center"/>
        <w:rPr>
          <w:rFonts w:ascii="黑体" w:hAnsi="黑体" w:eastAsia="黑体"/>
          <w:b/>
          <w:bCs/>
          <w:color w:val="auto"/>
          <w:sz w:val="21"/>
          <w:szCs w:val="21"/>
        </w:rPr>
      </w:pPr>
      <w:r>
        <w:rPr>
          <w:rFonts w:hint="eastAsia" w:ascii="黑体" w:hAnsi="黑体" w:eastAsia="黑体"/>
          <w:b/>
          <w:bCs/>
          <w:color w:val="auto"/>
          <w:sz w:val="21"/>
          <w:szCs w:val="21"/>
        </w:rPr>
        <w:t>图4.4.3-1财务资源管理体系</w:t>
      </w:r>
    </w:p>
    <w:p w14:paraId="63F655F9">
      <w:pPr>
        <w:spacing w:line="360" w:lineRule="auto"/>
        <w:ind w:firstLine="240" w:firstLineChars="100"/>
        <w:jc w:val="center"/>
        <w:rPr>
          <w:rFonts w:ascii="宋体" w:hAnsi="宋体"/>
          <w:b/>
          <w:bCs/>
          <w:position w:val="-40"/>
        </w:rPr>
      </w:pPr>
      <w:r>
        <w:drawing>
          <wp:inline distT="0" distB="0" distL="114300" distR="114300">
            <wp:extent cx="4010025" cy="4257675"/>
            <wp:effectExtent l="0" t="0" r="9525" b="9525"/>
            <wp:docPr id="1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3"/>
                    <pic:cNvPicPr>
                      <a:picLocks noChangeAspect="1"/>
                    </pic:cNvPicPr>
                  </pic:nvPicPr>
                  <pic:blipFill>
                    <a:blip r:embed="rId25"/>
                    <a:stretch>
                      <a:fillRect/>
                    </a:stretch>
                  </pic:blipFill>
                  <pic:spPr>
                    <a:xfrm>
                      <a:off x="0" y="0"/>
                      <a:ext cx="4010025" cy="4257675"/>
                    </a:xfrm>
                    <a:prstGeom prst="rect">
                      <a:avLst/>
                    </a:prstGeom>
                    <a:noFill/>
                    <a:ln>
                      <a:noFill/>
                    </a:ln>
                  </pic:spPr>
                </pic:pic>
              </a:graphicData>
            </a:graphic>
          </wp:inline>
        </w:drawing>
      </w:r>
    </w:p>
    <w:p w14:paraId="7C4D22F8">
      <w:pPr>
        <w:tabs>
          <w:tab w:val="left" w:pos="5400"/>
        </w:tabs>
        <w:spacing w:line="360" w:lineRule="auto"/>
        <w:rPr>
          <w:b/>
          <w:bCs/>
          <w:position w:val="-40"/>
        </w:rPr>
      </w:pPr>
      <w:r>
        <w:rPr>
          <w:rFonts w:hint="eastAsia"/>
          <w:b/>
          <w:bCs/>
          <w:position w:val="-40"/>
        </w:rPr>
        <w:t>(1)全面财务预算，确定资金需求</w:t>
      </w:r>
    </w:p>
    <w:p w14:paraId="36438B6A">
      <w:pPr>
        <w:tabs>
          <w:tab w:val="left" w:pos="5400"/>
        </w:tabs>
        <w:spacing w:line="360" w:lineRule="auto"/>
        <w:ind w:firstLine="480" w:firstLineChars="200"/>
      </w:pPr>
      <w:r>
        <w:rPr>
          <w:rFonts w:hint="eastAsia"/>
        </w:rPr>
        <w:t>公司根据中长期战略规划和年度经营计划，公司财务部以销售预算为起点编制短期的现金收支预算和长期的资本性支出预算等全面财务预算，确定资本性支出及生产经营流动资金的需求。</w:t>
      </w:r>
    </w:p>
    <w:p w14:paraId="58483D25">
      <w:pPr>
        <w:tabs>
          <w:tab w:val="left" w:pos="5400"/>
        </w:tabs>
        <w:spacing w:line="360" w:lineRule="auto"/>
        <w:rPr>
          <w:b/>
          <w:bCs/>
          <w:position w:val="-40"/>
        </w:rPr>
      </w:pPr>
      <w:r>
        <w:rPr>
          <w:rFonts w:hint="eastAsia"/>
          <w:b/>
          <w:bCs/>
          <w:position w:val="-40"/>
        </w:rPr>
        <w:t>(2)采用多种筹资方式，保证资金供给</w:t>
      </w:r>
    </w:p>
    <w:p w14:paraId="665E93E6">
      <w:pPr>
        <w:widowControl w:val="0"/>
        <w:autoSpaceDE w:val="0"/>
        <w:autoSpaceDN w:val="0"/>
        <w:adjustRightInd w:val="0"/>
        <w:spacing w:line="360" w:lineRule="auto"/>
        <w:ind w:firstLine="480" w:firstLineChars="200"/>
        <w:rPr>
          <w:rFonts w:ascii="宋体" w:hAnsi="宋体" w:cs="宋体"/>
        </w:rPr>
      </w:pPr>
      <w:r>
        <w:rPr>
          <w:rFonts w:hint="eastAsia"/>
        </w:rPr>
        <w:t>根据公司战略，针对不同时期的宏观环境、行业环境以及企业微观环境，制定相适应的财务融资战略，灵活选择多种不同的融资方式成功确保公司在不同发展阶段的资金供给。</w:t>
      </w:r>
      <w:r>
        <w:rPr>
          <w:rFonts w:hint="eastAsia" w:ascii="宋体" w:hAnsi="宋体" w:cs="宋体"/>
          <w:color w:val="000000"/>
        </w:rPr>
        <w:t xml:space="preserve">根据公司的发展战略及年度经营目标需要，确定资金的需求量和流动方向，在确立资金需求基础上，结合现有资金状况，充分利用公司优良资信度和自身资金积累优势，以商业信用和留存收益作为筹资主要手段，明确融资方案。通过加强销售款的回笼速度、及时与战略合作银行签订信贷额度，保证资金的供给。 </w:t>
      </w:r>
    </w:p>
    <w:p w14:paraId="51E1C237">
      <w:pPr>
        <w:tabs>
          <w:tab w:val="left" w:pos="5400"/>
        </w:tabs>
        <w:spacing w:line="360" w:lineRule="auto"/>
        <w:rPr>
          <w:b/>
          <w:bCs/>
          <w:position w:val="-40"/>
        </w:rPr>
      </w:pPr>
      <w:r>
        <w:rPr>
          <w:rFonts w:hint="eastAsia"/>
          <w:b/>
          <w:bCs/>
          <w:position w:val="-40"/>
        </w:rPr>
        <w:t xml:space="preserve"> (3)加强资金管理，提高资金使用效率</w:t>
      </w:r>
    </w:p>
    <w:p w14:paraId="5CE48827">
      <w:pPr>
        <w:tabs>
          <w:tab w:val="left" w:pos="5400"/>
        </w:tabs>
        <w:spacing w:line="360" w:lineRule="auto"/>
        <w:ind w:firstLine="480" w:firstLineChars="200"/>
      </w:pPr>
      <w:r>
        <w:rPr>
          <w:rFonts w:hint="eastAsia"/>
        </w:rPr>
        <w:t>为了提高资金的利用效率，根据年度的资金使用计划制订月度计划，合理安排资金使用。采用滚动预算的方法，紧密连接日常管理，分析资金计划的执行情况，结合各种因素的影响，及时调整、修订计划，更好地指导和控制生产经营活动。在资金使用过程，严格执行财务管理制度，有效地进行系统性的监控和管理，提高资金周转率。加强应收账款管理，实行降应收账款提成激励机制，加快货款的回笼管理。</w:t>
      </w:r>
    </w:p>
    <w:p w14:paraId="464827A5">
      <w:pPr>
        <w:tabs>
          <w:tab w:val="left" w:pos="5400"/>
        </w:tabs>
        <w:spacing w:line="360" w:lineRule="auto"/>
        <w:rPr>
          <w:b/>
          <w:bCs/>
          <w:position w:val="-40"/>
        </w:rPr>
      </w:pPr>
      <w:r>
        <w:rPr>
          <w:rFonts w:hint="eastAsia"/>
          <w:b/>
          <w:bCs/>
          <w:position w:val="-40"/>
        </w:rPr>
        <w:t>（4）资金使用效能评估</w:t>
      </w:r>
    </w:p>
    <w:p w14:paraId="5925B8DC">
      <w:pPr>
        <w:tabs>
          <w:tab w:val="left" w:pos="5400"/>
        </w:tabs>
        <w:spacing w:line="360" w:lineRule="auto"/>
        <w:ind w:firstLine="480" w:firstLineChars="200"/>
        <w:rPr>
          <w:rFonts w:ascii="宋体" w:hAnsi="宋体"/>
          <w:b/>
          <w:bCs/>
          <w:color w:val="FF0000"/>
        </w:rPr>
      </w:pPr>
      <w:r>
        <w:rPr>
          <w:rFonts w:hint="eastAsia"/>
        </w:rPr>
        <w:t>运用“杜邦财务分析法”，与同行业对比，评估资金效能。跟踪检查月度资金使用计划的执行情况，有效控制资金使用。绩效见“4.7经营结果”章节。</w:t>
      </w:r>
    </w:p>
    <w:p w14:paraId="1731BA8C">
      <w:pPr>
        <w:pStyle w:val="4"/>
      </w:pPr>
      <w:bookmarkStart w:id="43" w:name="_Toc99720428"/>
      <w:r>
        <w:rPr>
          <w:rFonts w:hint="eastAsia"/>
        </w:rPr>
        <w:t>4.4.4基础设施</w:t>
      </w:r>
      <w:bookmarkEnd w:id="43"/>
    </w:p>
    <w:p w14:paraId="69CE528A">
      <w:pPr>
        <w:tabs>
          <w:tab w:val="left" w:pos="5400"/>
        </w:tabs>
        <w:spacing w:line="360" w:lineRule="auto"/>
        <w:rPr>
          <w:b/>
          <w:bCs/>
          <w:position w:val="-40"/>
        </w:rPr>
      </w:pPr>
      <w:r>
        <w:rPr>
          <w:rFonts w:hint="eastAsia"/>
          <w:b/>
          <w:bCs/>
          <w:position w:val="-40"/>
        </w:rPr>
        <w:t>a）配置技术先进适用的基础设施，充分满足过程管理的要求</w:t>
      </w:r>
    </w:p>
    <w:p w14:paraId="2B41757D">
      <w:pPr>
        <w:tabs>
          <w:tab w:val="left" w:pos="5400"/>
        </w:tabs>
        <w:spacing w:line="360" w:lineRule="auto"/>
        <w:ind w:firstLine="480" w:firstLineChars="200"/>
      </w:pPr>
      <w:r>
        <w:rPr>
          <w:rFonts w:hint="eastAsia"/>
        </w:rPr>
        <w:t>公司充分考虑中长期战略目标及相关方的需求和期望，根据工艺技术、质量、产能提升和环境改善等要求，有效配置技术先进、高效的设备设施。</w:t>
      </w:r>
    </w:p>
    <w:p w14:paraId="094511D5">
      <w:pPr>
        <w:tabs>
          <w:tab w:val="left" w:pos="5400"/>
        </w:tabs>
        <w:spacing w:line="360" w:lineRule="auto"/>
        <w:rPr>
          <w:b/>
          <w:bCs/>
          <w:position w:val="-40"/>
        </w:rPr>
      </w:pPr>
      <w:r>
        <w:rPr>
          <w:rFonts w:hint="eastAsia"/>
          <w:b/>
          <w:bCs/>
          <w:position w:val="-40"/>
        </w:rPr>
        <w:t>b）高效的维护保养、维修体系，确保设施完好、可靠</w:t>
      </w:r>
    </w:p>
    <w:p w14:paraId="39C9CE8E">
      <w:pPr>
        <w:pStyle w:val="10"/>
        <w:spacing w:line="360" w:lineRule="auto"/>
        <w:ind w:firstLine="480" w:firstLineChars="200"/>
        <w:rPr>
          <w:sz w:val="24"/>
        </w:rPr>
      </w:pPr>
      <w:r>
        <w:rPr>
          <w:rFonts w:hint="eastAsia"/>
          <w:sz w:val="24"/>
        </w:rPr>
        <w:t>公司对设备设施进行设备预防性维护保养，制定了《基础设施控制程序》等设备设施管理制度和标准性技术文件，对基础设施使用过程的完好率、可靠性、安全性、职业健康危害等方面进行预防与控制。为了实现公司的长短期发展战略，提高产品质量和国内外市场占有率</w:t>
      </w:r>
      <w:r>
        <w:rPr>
          <w:rFonts w:hint="eastAsia"/>
          <w:sz w:val="24"/>
          <w:lang w:eastAsia="zh-CN"/>
        </w:rPr>
        <w:t>。</w:t>
      </w:r>
      <w:r>
        <w:rPr>
          <w:rFonts w:hint="eastAsia"/>
          <w:sz w:val="24"/>
        </w:rPr>
        <w:t>。</w:t>
      </w:r>
    </w:p>
    <w:p w14:paraId="0E05DD94">
      <w:pPr>
        <w:tabs>
          <w:tab w:val="left" w:pos="5400"/>
        </w:tabs>
        <w:spacing w:line="360" w:lineRule="auto"/>
        <w:rPr>
          <w:b/>
          <w:bCs/>
          <w:position w:val="-40"/>
        </w:rPr>
      </w:pPr>
      <w:r>
        <w:rPr>
          <w:rFonts w:hint="eastAsia"/>
          <w:b/>
          <w:bCs/>
          <w:position w:val="-40"/>
        </w:rPr>
        <w:t>c）加强技改，确保装备技术水平先进、适用、高效</w:t>
      </w:r>
    </w:p>
    <w:p w14:paraId="12122EE4">
      <w:pPr>
        <w:pStyle w:val="10"/>
        <w:spacing w:line="360" w:lineRule="auto"/>
        <w:ind w:firstLine="480" w:firstLineChars="200"/>
        <w:rPr>
          <w:sz w:val="24"/>
        </w:rPr>
      </w:pPr>
      <w:r>
        <w:rPr>
          <w:rFonts w:hint="eastAsia"/>
          <w:sz w:val="24"/>
        </w:rPr>
        <w:t>公司根据中长期战略和年度方针目标，设备更新改造主要考虑公司先进制造技术需要、经营规模、生产特点、产能等因素。公司建立由工艺、设备、安全、环保专业人员组成的评审小组，通过对设备有效利用时间、维修成本、加工质量等过程数据进行系统分析，对设备性能不能满足的设备设施进行评审和可行性论证，制订年度更新改造计划。</w:t>
      </w:r>
    </w:p>
    <w:p w14:paraId="5E9D962D">
      <w:pPr>
        <w:tabs>
          <w:tab w:val="left" w:pos="5400"/>
        </w:tabs>
        <w:spacing w:line="360" w:lineRule="auto"/>
        <w:rPr>
          <w:b/>
          <w:bCs/>
          <w:position w:val="-40"/>
        </w:rPr>
      </w:pPr>
      <w:r>
        <w:rPr>
          <w:rFonts w:hint="eastAsia"/>
          <w:b/>
          <w:bCs/>
          <w:position w:val="-40"/>
        </w:rPr>
        <w:t>d）有效预测和处置因基础设施引起的环境和职业健康安全问题</w:t>
      </w:r>
    </w:p>
    <w:p w14:paraId="5E9722C6">
      <w:pPr>
        <w:pStyle w:val="10"/>
        <w:spacing w:line="360" w:lineRule="auto"/>
        <w:ind w:firstLine="480" w:firstLineChars="200"/>
        <w:rPr>
          <w:bCs/>
          <w:color w:val="FF0000"/>
          <w:sz w:val="24"/>
        </w:rPr>
      </w:pPr>
      <w:r>
        <w:rPr>
          <w:rFonts w:hint="eastAsia"/>
          <w:sz w:val="24"/>
        </w:rPr>
        <w:t>公司十分重视员工的健康安全和工作环境，贯彻ISO14001环境管理体系标准和ISO18001职业安全健康管理要求，并根据公司生产情况，制订了一系列管理程序，对设施使用可能引起的环境和职业健康安全问题进行了有效的管理。</w:t>
      </w:r>
    </w:p>
    <w:p w14:paraId="671DEB61">
      <w:pPr>
        <w:pStyle w:val="4"/>
      </w:pPr>
      <w:bookmarkStart w:id="44" w:name="_Toc99720429"/>
      <w:r>
        <w:rPr>
          <w:rFonts w:hint="eastAsia"/>
        </w:rPr>
        <w:t>4.4.5信息资源</w:t>
      </w:r>
      <w:bookmarkEnd w:id="44"/>
    </w:p>
    <w:p w14:paraId="01DBE632">
      <w:pPr>
        <w:pStyle w:val="5"/>
      </w:pPr>
      <w:r>
        <w:rPr>
          <w:rFonts w:hint="eastAsia"/>
        </w:rPr>
        <w:t>4.4.5.1数据和信息获取</w:t>
      </w:r>
    </w:p>
    <w:p w14:paraId="6C1ACC9A">
      <w:pPr>
        <w:tabs>
          <w:tab w:val="left" w:pos="5400"/>
        </w:tabs>
        <w:spacing w:line="360" w:lineRule="auto"/>
        <w:rPr>
          <w:b/>
          <w:bCs/>
          <w:position w:val="-40"/>
        </w:rPr>
      </w:pPr>
      <w:r>
        <w:rPr>
          <w:rFonts w:hint="eastAsia"/>
          <w:b/>
          <w:bCs/>
          <w:position w:val="-40"/>
        </w:rPr>
        <w:t>（1）信息源识别和开发</w:t>
      </w:r>
    </w:p>
    <w:p w14:paraId="5B2811E1">
      <w:pPr>
        <w:pStyle w:val="10"/>
        <w:spacing w:line="360" w:lineRule="auto"/>
        <w:ind w:firstLine="480" w:firstLineChars="200"/>
        <w:rPr>
          <w:rFonts w:ascii="宋体"/>
          <w:b/>
          <w:bCs/>
        </w:rPr>
      </w:pPr>
      <w:r>
        <w:rPr>
          <w:rFonts w:hint="eastAsia"/>
          <w:sz w:val="24"/>
        </w:rPr>
        <w:t>根据公司发展战略需要，把信息源划分为：市场、员工、供应商、合作方，并按照各类信息与战略发展的关联程度，为建立信息系统开发提供参考依据。</w:t>
      </w:r>
    </w:p>
    <w:p w14:paraId="2B42BEBB">
      <w:pPr>
        <w:rPr>
          <w:rFonts w:ascii="宋体"/>
          <w:b/>
          <w:bCs/>
        </w:rPr>
      </w:pPr>
      <w:r>
        <w:rPr>
          <w:rFonts w:hint="eastAsia"/>
          <w:b/>
          <w:bCs/>
          <w:position w:val="-40"/>
        </w:rPr>
        <w:t>（2）信息源开发</w:t>
      </w:r>
    </w:p>
    <w:p w14:paraId="3A9BC52E">
      <w:pPr>
        <w:pStyle w:val="10"/>
        <w:spacing w:line="360" w:lineRule="auto"/>
        <w:ind w:firstLine="480" w:firstLineChars="200"/>
        <w:rPr>
          <w:sz w:val="24"/>
        </w:rPr>
      </w:pPr>
      <w:r>
        <w:rPr>
          <w:rFonts w:hint="eastAsia"/>
          <w:sz w:val="24"/>
        </w:rPr>
        <w:t>公司从发展战略的角度出发，结合公司信息系统软、硬件设施的情况，持续开发与公司发展相关的信息源，并根据已识别出信息源的优先级，制订信息源优先开发计划。同时，十分重视对目标市场所属地区及国家的政策、法规的信息收集与管理；对国内外同类企业发展策略、研发趋势、市场策略等信息的收集与管理。</w:t>
      </w:r>
    </w:p>
    <w:p w14:paraId="04E846DD">
      <w:pPr>
        <w:pStyle w:val="36"/>
        <w:spacing w:line="360" w:lineRule="auto"/>
        <w:ind w:firstLine="0" w:firstLineChars="0"/>
        <w:jc w:val="center"/>
        <w:rPr>
          <w:rFonts w:ascii="黑体" w:hAnsi="黑体" w:eastAsia="黑体"/>
          <w:b/>
          <w:bCs/>
          <w:color w:val="auto"/>
          <w:sz w:val="21"/>
          <w:szCs w:val="21"/>
        </w:rPr>
      </w:pPr>
      <w:r>
        <w:rPr>
          <w:rFonts w:hint="eastAsia" w:ascii="黑体" w:hAnsi="黑体" w:eastAsia="黑体"/>
          <w:b/>
          <w:bCs/>
          <w:color w:val="auto"/>
          <w:sz w:val="21"/>
          <w:szCs w:val="21"/>
        </w:rPr>
        <w:t>表4.4.5-1 信息源的识别和开发矩阵</w:t>
      </w:r>
    </w:p>
    <w:tbl>
      <w:tblPr>
        <w:tblStyle w:val="22"/>
        <w:tblW w:w="9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1458"/>
        <w:gridCol w:w="2263"/>
        <w:gridCol w:w="2269"/>
        <w:gridCol w:w="1418"/>
        <w:gridCol w:w="1486"/>
      </w:tblGrid>
      <w:tr w14:paraId="51FF4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844" w:type="dxa"/>
            <w:gridSpan w:val="2"/>
            <w:shd w:val="clear" w:color="auto" w:fill="938953"/>
            <w:vAlign w:val="center"/>
          </w:tcPr>
          <w:p w14:paraId="5DF334E5">
            <w:pPr>
              <w:pStyle w:val="31"/>
              <w:widowControl w:val="0"/>
              <w:rPr>
                <w:rFonts w:ascii="宋体" w:hAnsi="宋体" w:eastAsia="宋体"/>
                <w:b/>
                <w:color w:val="FFFFFF"/>
                <w:kern w:val="2"/>
                <w:sz w:val="21"/>
                <w:szCs w:val="21"/>
              </w:rPr>
            </w:pPr>
            <w:r>
              <w:rPr>
                <w:rFonts w:hint="eastAsia" w:ascii="宋体" w:hAnsi="宋体" w:eastAsia="宋体" w:cs=".Apple Color Emoji UI"/>
                <w:b/>
                <w:color w:val="FFFFFF"/>
                <w:kern w:val="2"/>
                <w:sz w:val="21"/>
                <w:szCs w:val="21"/>
              </w:rPr>
              <w:t>信息类别</w:t>
            </w:r>
          </w:p>
        </w:tc>
        <w:tc>
          <w:tcPr>
            <w:tcW w:w="2263" w:type="dxa"/>
            <w:shd w:val="clear" w:color="auto" w:fill="938953"/>
            <w:vAlign w:val="center"/>
          </w:tcPr>
          <w:p w14:paraId="56412043">
            <w:pPr>
              <w:pStyle w:val="31"/>
              <w:widowControl w:val="0"/>
              <w:rPr>
                <w:rFonts w:ascii="宋体" w:hAnsi="宋体" w:eastAsia="宋体"/>
                <w:b/>
                <w:color w:val="FFFFFF"/>
                <w:kern w:val="2"/>
                <w:sz w:val="21"/>
                <w:szCs w:val="21"/>
              </w:rPr>
            </w:pPr>
            <w:r>
              <w:rPr>
                <w:rFonts w:hint="eastAsia" w:ascii="宋体" w:hAnsi="宋体" w:eastAsia="宋体"/>
                <w:b/>
                <w:color w:val="FFFFFF"/>
                <w:kern w:val="2"/>
                <w:sz w:val="21"/>
                <w:szCs w:val="21"/>
              </w:rPr>
              <w:t>信息价值及需求部门</w:t>
            </w:r>
          </w:p>
        </w:tc>
        <w:tc>
          <w:tcPr>
            <w:tcW w:w="2269" w:type="dxa"/>
            <w:shd w:val="clear" w:color="auto" w:fill="938953"/>
            <w:vAlign w:val="center"/>
          </w:tcPr>
          <w:p w14:paraId="1B7F99D6">
            <w:pPr>
              <w:pStyle w:val="31"/>
              <w:widowControl w:val="0"/>
              <w:rPr>
                <w:rFonts w:ascii="宋体" w:hAnsi="宋体" w:eastAsia="宋体"/>
                <w:b/>
                <w:color w:val="FFFFFF"/>
                <w:kern w:val="2"/>
                <w:sz w:val="21"/>
                <w:szCs w:val="21"/>
              </w:rPr>
            </w:pPr>
            <w:r>
              <w:rPr>
                <w:rFonts w:hint="eastAsia" w:ascii="宋体" w:hAnsi="宋体" w:eastAsia="宋体"/>
                <w:b/>
                <w:color w:val="FFFFFF"/>
                <w:kern w:val="2"/>
                <w:sz w:val="21"/>
                <w:szCs w:val="21"/>
              </w:rPr>
              <w:t>识别和开发责任部门</w:t>
            </w:r>
          </w:p>
        </w:tc>
        <w:tc>
          <w:tcPr>
            <w:tcW w:w="1418" w:type="dxa"/>
            <w:shd w:val="clear" w:color="auto" w:fill="938953"/>
            <w:vAlign w:val="center"/>
          </w:tcPr>
          <w:p w14:paraId="093D6503">
            <w:pPr>
              <w:pStyle w:val="31"/>
              <w:widowControl w:val="0"/>
              <w:rPr>
                <w:rFonts w:ascii="宋体" w:hAnsi="宋体" w:eastAsia="宋体"/>
                <w:b/>
                <w:color w:val="FFFFFF"/>
                <w:kern w:val="2"/>
                <w:sz w:val="21"/>
                <w:szCs w:val="21"/>
              </w:rPr>
            </w:pPr>
            <w:r>
              <w:rPr>
                <w:rFonts w:hint="eastAsia" w:ascii="宋体" w:hAnsi="宋体" w:eastAsia="宋体"/>
                <w:b/>
                <w:color w:val="FFFFFF"/>
                <w:kern w:val="2"/>
                <w:sz w:val="21"/>
                <w:szCs w:val="21"/>
              </w:rPr>
              <w:t>信息源</w:t>
            </w:r>
          </w:p>
        </w:tc>
        <w:tc>
          <w:tcPr>
            <w:tcW w:w="1486" w:type="dxa"/>
            <w:shd w:val="clear" w:color="auto" w:fill="938953"/>
            <w:vAlign w:val="center"/>
          </w:tcPr>
          <w:p w14:paraId="1358D565">
            <w:pPr>
              <w:pStyle w:val="31"/>
              <w:widowControl w:val="0"/>
              <w:rPr>
                <w:rFonts w:ascii="宋体" w:hAnsi="宋体" w:eastAsia="宋体"/>
                <w:b/>
                <w:color w:val="FFFFFF"/>
                <w:kern w:val="2"/>
                <w:sz w:val="21"/>
                <w:szCs w:val="21"/>
              </w:rPr>
            </w:pPr>
            <w:r>
              <w:rPr>
                <w:rFonts w:hint="eastAsia" w:ascii="宋体" w:hAnsi="宋体" w:eastAsia="宋体"/>
                <w:b/>
                <w:color w:val="FFFFFF"/>
                <w:kern w:val="2"/>
                <w:sz w:val="21"/>
                <w:szCs w:val="21"/>
              </w:rPr>
              <w:t>开发渠道</w:t>
            </w:r>
          </w:p>
        </w:tc>
      </w:tr>
      <w:tr w14:paraId="4CAFA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386" w:type="dxa"/>
            <w:vAlign w:val="center"/>
          </w:tcPr>
          <w:p w14:paraId="49F0DBE4">
            <w:pPr>
              <w:pStyle w:val="31"/>
              <w:widowControl w:val="0"/>
              <w:jc w:val="left"/>
              <w:rPr>
                <w:rFonts w:ascii="宋体" w:hAnsi="宋体" w:eastAsia="宋体"/>
                <w:color w:val="auto"/>
                <w:kern w:val="2"/>
                <w:sz w:val="21"/>
                <w:szCs w:val="21"/>
              </w:rPr>
            </w:pPr>
            <w:r>
              <w:rPr>
                <w:rFonts w:hint="eastAsia" w:ascii="宋体" w:hAnsi="宋体" w:eastAsia="宋体"/>
                <w:color w:val="auto"/>
                <w:kern w:val="2"/>
                <w:sz w:val="21"/>
                <w:szCs w:val="21"/>
              </w:rPr>
              <w:t>宏观环境</w:t>
            </w:r>
          </w:p>
        </w:tc>
        <w:tc>
          <w:tcPr>
            <w:tcW w:w="1458" w:type="dxa"/>
            <w:vAlign w:val="center"/>
          </w:tcPr>
          <w:p w14:paraId="3830A38E">
            <w:pPr>
              <w:pStyle w:val="31"/>
              <w:widowControl w:val="0"/>
              <w:jc w:val="both"/>
              <w:rPr>
                <w:rFonts w:ascii="宋体" w:hAnsi="宋体" w:eastAsia="宋体"/>
                <w:color w:val="auto"/>
                <w:kern w:val="2"/>
                <w:sz w:val="21"/>
                <w:szCs w:val="21"/>
              </w:rPr>
            </w:pPr>
            <w:r>
              <w:rPr>
                <w:rFonts w:hint="eastAsia" w:ascii="宋体" w:hAnsi="宋体" w:eastAsia="宋体"/>
                <w:color w:val="auto"/>
                <w:kern w:val="2"/>
                <w:sz w:val="21"/>
                <w:szCs w:val="21"/>
              </w:rPr>
              <w:t>政治环境、金融政策、经济政策、法律法规、行业态势</w:t>
            </w:r>
          </w:p>
        </w:tc>
        <w:tc>
          <w:tcPr>
            <w:tcW w:w="2263" w:type="dxa"/>
          </w:tcPr>
          <w:p w14:paraId="3CFF3D60">
            <w:pPr>
              <w:pStyle w:val="31"/>
              <w:widowControl w:val="0"/>
              <w:jc w:val="left"/>
              <w:rPr>
                <w:rFonts w:ascii="宋体" w:hAnsi="宋体" w:eastAsia="宋体"/>
                <w:color w:val="auto"/>
                <w:kern w:val="2"/>
                <w:sz w:val="21"/>
                <w:szCs w:val="21"/>
              </w:rPr>
            </w:pPr>
            <w:r>
              <w:rPr>
                <w:rFonts w:hint="eastAsia" w:ascii="宋体" w:hAnsi="宋体" w:eastAsia="宋体"/>
                <w:color w:val="auto"/>
                <w:kern w:val="2"/>
                <w:sz w:val="21"/>
                <w:szCs w:val="21"/>
              </w:rPr>
              <w:t>高层：发展战略决策、经营决策          各部门：各类战略制定、规范制定、管理改进</w:t>
            </w:r>
          </w:p>
        </w:tc>
        <w:tc>
          <w:tcPr>
            <w:tcW w:w="2269" w:type="dxa"/>
            <w:vAlign w:val="center"/>
          </w:tcPr>
          <w:p w14:paraId="26E26DF5">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销售部、财务部、行政部</w:t>
            </w:r>
          </w:p>
        </w:tc>
        <w:tc>
          <w:tcPr>
            <w:tcW w:w="1418" w:type="dxa"/>
            <w:vAlign w:val="center"/>
          </w:tcPr>
          <w:p w14:paraId="57A120ED">
            <w:pPr>
              <w:pStyle w:val="31"/>
              <w:widowControl w:val="0"/>
              <w:jc w:val="both"/>
              <w:rPr>
                <w:rFonts w:ascii="宋体" w:hAnsi="宋体" w:eastAsia="宋体"/>
                <w:color w:val="auto"/>
                <w:kern w:val="2"/>
                <w:sz w:val="21"/>
                <w:szCs w:val="21"/>
              </w:rPr>
            </w:pPr>
            <w:r>
              <w:rPr>
                <w:rFonts w:hint="eastAsia" w:ascii="宋体" w:hAnsi="宋体" w:eastAsia="宋体"/>
                <w:color w:val="auto"/>
                <w:kern w:val="2"/>
                <w:sz w:val="21"/>
                <w:szCs w:val="21"/>
              </w:rPr>
              <w:t>官方文件、政府机构、咨询机构、合作伙伴、各类媒体</w:t>
            </w:r>
          </w:p>
        </w:tc>
        <w:tc>
          <w:tcPr>
            <w:tcW w:w="1486" w:type="dxa"/>
            <w:vAlign w:val="center"/>
          </w:tcPr>
          <w:p w14:paraId="5B790487">
            <w:pPr>
              <w:pStyle w:val="31"/>
              <w:widowControl w:val="0"/>
              <w:jc w:val="both"/>
              <w:rPr>
                <w:rFonts w:ascii="宋体" w:hAnsi="宋体" w:eastAsia="宋体"/>
                <w:color w:val="auto"/>
                <w:kern w:val="2"/>
                <w:sz w:val="21"/>
                <w:szCs w:val="21"/>
              </w:rPr>
            </w:pPr>
            <w:r>
              <w:rPr>
                <w:rFonts w:hint="eastAsia" w:ascii="宋体" w:hAnsi="宋体" w:eastAsia="宋体"/>
                <w:color w:val="auto"/>
                <w:kern w:val="2"/>
                <w:sz w:val="21"/>
                <w:szCs w:val="21"/>
              </w:rPr>
              <w:t>访问互联网、购买咨询、收集媒体资讯、市场调研</w:t>
            </w:r>
          </w:p>
        </w:tc>
      </w:tr>
      <w:tr w14:paraId="2050C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386" w:type="dxa"/>
            <w:vAlign w:val="center"/>
          </w:tcPr>
          <w:p w14:paraId="099284B1">
            <w:pPr>
              <w:pStyle w:val="31"/>
              <w:widowControl w:val="0"/>
              <w:jc w:val="left"/>
              <w:rPr>
                <w:rFonts w:ascii="宋体" w:hAnsi="宋体" w:eastAsia="宋体"/>
                <w:color w:val="auto"/>
                <w:kern w:val="2"/>
                <w:sz w:val="21"/>
                <w:szCs w:val="21"/>
              </w:rPr>
            </w:pPr>
            <w:r>
              <w:rPr>
                <w:rFonts w:hint="eastAsia" w:ascii="宋体" w:hAnsi="宋体" w:eastAsia="宋体"/>
                <w:color w:val="auto"/>
                <w:kern w:val="2"/>
                <w:sz w:val="21"/>
                <w:szCs w:val="21"/>
              </w:rPr>
              <w:t>市场</w:t>
            </w:r>
          </w:p>
        </w:tc>
        <w:tc>
          <w:tcPr>
            <w:tcW w:w="1458" w:type="dxa"/>
            <w:vAlign w:val="center"/>
          </w:tcPr>
          <w:p w14:paraId="54F94321">
            <w:pPr>
              <w:pStyle w:val="31"/>
              <w:widowControl w:val="0"/>
              <w:jc w:val="both"/>
              <w:rPr>
                <w:rFonts w:ascii="宋体" w:hAnsi="宋体" w:eastAsia="宋体"/>
                <w:color w:val="auto"/>
                <w:kern w:val="2"/>
                <w:sz w:val="21"/>
                <w:szCs w:val="21"/>
              </w:rPr>
            </w:pPr>
            <w:r>
              <w:rPr>
                <w:rFonts w:hint="eastAsia" w:ascii="宋体" w:hAnsi="宋体" w:eastAsia="宋体"/>
                <w:color w:val="auto"/>
                <w:kern w:val="2"/>
                <w:sz w:val="21"/>
                <w:szCs w:val="21"/>
              </w:rPr>
              <w:t>竞争对手、标杆企业、市场份额、国际市场、营销服务网络、顾客分布</w:t>
            </w:r>
          </w:p>
        </w:tc>
        <w:tc>
          <w:tcPr>
            <w:tcW w:w="2263" w:type="dxa"/>
          </w:tcPr>
          <w:p w14:paraId="7991381B">
            <w:pPr>
              <w:pStyle w:val="31"/>
              <w:widowControl w:val="0"/>
              <w:jc w:val="left"/>
              <w:rPr>
                <w:rFonts w:ascii="宋体" w:hAnsi="宋体" w:eastAsia="宋体"/>
                <w:color w:val="auto"/>
                <w:kern w:val="2"/>
                <w:sz w:val="21"/>
                <w:szCs w:val="21"/>
              </w:rPr>
            </w:pPr>
            <w:r>
              <w:rPr>
                <w:rFonts w:hint="eastAsia" w:ascii="宋体" w:hAnsi="宋体" w:eastAsia="宋体"/>
                <w:color w:val="auto"/>
                <w:kern w:val="2"/>
                <w:sz w:val="21"/>
                <w:szCs w:val="21"/>
              </w:rPr>
              <w:t>高层：市场战略决策、经营决策          销售部：销售战略制定、管理改进、绩效评估                 行政部：市场监管、绩效评估</w:t>
            </w:r>
          </w:p>
        </w:tc>
        <w:tc>
          <w:tcPr>
            <w:tcW w:w="2269" w:type="dxa"/>
            <w:vAlign w:val="center"/>
          </w:tcPr>
          <w:p w14:paraId="53224BF5">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销售部</w:t>
            </w:r>
          </w:p>
        </w:tc>
        <w:tc>
          <w:tcPr>
            <w:tcW w:w="1418" w:type="dxa"/>
            <w:vAlign w:val="center"/>
          </w:tcPr>
          <w:p w14:paraId="65C8E26C">
            <w:pPr>
              <w:pStyle w:val="31"/>
              <w:widowControl w:val="0"/>
              <w:jc w:val="both"/>
              <w:rPr>
                <w:rFonts w:ascii="宋体" w:hAnsi="宋体" w:eastAsia="宋体"/>
                <w:color w:val="auto"/>
                <w:kern w:val="2"/>
                <w:sz w:val="21"/>
                <w:szCs w:val="21"/>
              </w:rPr>
            </w:pPr>
            <w:r>
              <w:rPr>
                <w:rFonts w:hint="eastAsia" w:ascii="宋体" w:hAnsi="宋体" w:eastAsia="宋体"/>
                <w:color w:val="auto"/>
                <w:kern w:val="2"/>
                <w:sz w:val="21"/>
                <w:szCs w:val="21"/>
              </w:rPr>
              <w:t>官方文件、政府机构、顾客、半导体封装协会、调查机构、各类媒体</w:t>
            </w:r>
          </w:p>
        </w:tc>
        <w:tc>
          <w:tcPr>
            <w:tcW w:w="1486" w:type="dxa"/>
            <w:vAlign w:val="center"/>
          </w:tcPr>
          <w:p w14:paraId="66A34311">
            <w:pPr>
              <w:pStyle w:val="31"/>
              <w:widowControl w:val="0"/>
              <w:jc w:val="both"/>
              <w:rPr>
                <w:rFonts w:ascii="宋体" w:hAnsi="宋体" w:eastAsia="宋体"/>
                <w:color w:val="auto"/>
                <w:kern w:val="2"/>
                <w:sz w:val="21"/>
                <w:szCs w:val="21"/>
              </w:rPr>
            </w:pPr>
            <w:r>
              <w:rPr>
                <w:rFonts w:hint="eastAsia" w:ascii="宋体" w:hAnsi="宋体" w:eastAsia="宋体"/>
                <w:color w:val="auto"/>
                <w:kern w:val="2"/>
                <w:sz w:val="21"/>
                <w:szCs w:val="21"/>
              </w:rPr>
              <w:t>访问互联网、购买咨询、加入协会、收集媒体资讯、市场调研</w:t>
            </w:r>
          </w:p>
        </w:tc>
      </w:tr>
      <w:tr w14:paraId="41CA2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386" w:type="dxa"/>
            <w:vAlign w:val="center"/>
          </w:tcPr>
          <w:p w14:paraId="566FBD1B">
            <w:pPr>
              <w:pStyle w:val="31"/>
              <w:widowControl w:val="0"/>
              <w:jc w:val="left"/>
              <w:rPr>
                <w:rFonts w:ascii="宋体" w:hAnsi="宋体" w:eastAsia="宋体"/>
                <w:color w:val="auto"/>
                <w:kern w:val="2"/>
                <w:sz w:val="21"/>
                <w:szCs w:val="21"/>
              </w:rPr>
            </w:pPr>
            <w:r>
              <w:rPr>
                <w:rFonts w:hint="eastAsia" w:ascii="宋体" w:hAnsi="宋体" w:eastAsia="宋体"/>
                <w:color w:val="auto"/>
                <w:kern w:val="2"/>
                <w:sz w:val="21"/>
                <w:szCs w:val="21"/>
              </w:rPr>
              <w:t>顾客</w:t>
            </w:r>
          </w:p>
        </w:tc>
        <w:tc>
          <w:tcPr>
            <w:tcW w:w="1458" w:type="dxa"/>
            <w:vAlign w:val="center"/>
          </w:tcPr>
          <w:p w14:paraId="17B6898E">
            <w:pPr>
              <w:pStyle w:val="31"/>
              <w:widowControl w:val="0"/>
              <w:jc w:val="both"/>
              <w:rPr>
                <w:rFonts w:ascii="宋体" w:hAnsi="宋体" w:eastAsia="宋体"/>
                <w:color w:val="auto"/>
                <w:kern w:val="2"/>
                <w:sz w:val="21"/>
                <w:szCs w:val="21"/>
              </w:rPr>
            </w:pPr>
            <w:r>
              <w:rPr>
                <w:rFonts w:hint="eastAsia" w:ascii="宋体" w:hAnsi="宋体" w:eastAsia="宋体"/>
                <w:color w:val="auto"/>
                <w:kern w:val="2"/>
                <w:sz w:val="21"/>
                <w:szCs w:val="21"/>
              </w:rPr>
              <w:t>满意度、订单需求、消费趋势能力、质量投诉、服务需求</w:t>
            </w:r>
          </w:p>
        </w:tc>
        <w:tc>
          <w:tcPr>
            <w:tcW w:w="2263" w:type="dxa"/>
          </w:tcPr>
          <w:p w14:paraId="50C7D0C5">
            <w:pPr>
              <w:pStyle w:val="31"/>
              <w:widowControl w:val="0"/>
              <w:jc w:val="left"/>
              <w:rPr>
                <w:rFonts w:ascii="宋体" w:hAnsi="宋体" w:eastAsia="宋体"/>
                <w:color w:val="auto"/>
                <w:kern w:val="2"/>
                <w:sz w:val="21"/>
                <w:szCs w:val="21"/>
              </w:rPr>
            </w:pPr>
            <w:r>
              <w:rPr>
                <w:rFonts w:hint="eastAsia" w:ascii="宋体" w:hAnsi="宋体" w:eastAsia="宋体"/>
                <w:color w:val="auto"/>
                <w:kern w:val="2"/>
                <w:sz w:val="21"/>
                <w:szCs w:val="21"/>
              </w:rPr>
              <w:t>高层：经营决策分析、研发方向决策          各部门：研发改进、生产计划、质量改进、采购订单等依据</w:t>
            </w:r>
          </w:p>
        </w:tc>
        <w:tc>
          <w:tcPr>
            <w:tcW w:w="2269" w:type="dxa"/>
            <w:vAlign w:val="center"/>
          </w:tcPr>
          <w:p w14:paraId="1CA0FAA6">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销售部</w:t>
            </w:r>
          </w:p>
        </w:tc>
        <w:tc>
          <w:tcPr>
            <w:tcW w:w="1418" w:type="dxa"/>
            <w:vAlign w:val="center"/>
          </w:tcPr>
          <w:p w14:paraId="66BC670D">
            <w:pPr>
              <w:pStyle w:val="31"/>
              <w:widowControl w:val="0"/>
              <w:jc w:val="both"/>
              <w:rPr>
                <w:rFonts w:ascii="宋体" w:hAnsi="宋体" w:eastAsia="宋体"/>
                <w:color w:val="auto"/>
                <w:kern w:val="2"/>
                <w:sz w:val="21"/>
                <w:szCs w:val="21"/>
              </w:rPr>
            </w:pPr>
            <w:r>
              <w:rPr>
                <w:rFonts w:hint="eastAsia" w:ascii="宋体" w:hAnsi="宋体" w:eastAsia="宋体"/>
                <w:color w:val="auto"/>
                <w:kern w:val="2"/>
                <w:sz w:val="21"/>
                <w:szCs w:val="21"/>
              </w:rPr>
              <w:t>顾客、咨询机构、各类媒体</w:t>
            </w:r>
          </w:p>
        </w:tc>
        <w:tc>
          <w:tcPr>
            <w:tcW w:w="1486" w:type="dxa"/>
            <w:vAlign w:val="center"/>
          </w:tcPr>
          <w:p w14:paraId="64CA5921">
            <w:pPr>
              <w:pStyle w:val="31"/>
              <w:widowControl w:val="0"/>
              <w:jc w:val="both"/>
              <w:rPr>
                <w:rFonts w:ascii="宋体" w:hAnsi="宋体" w:eastAsia="宋体"/>
                <w:color w:val="auto"/>
                <w:kern w:val="2"/>
                <w:sz w:val="21"/>
                <w:szCs w:val="21"/>
              </w:rPr>
            </w:pPr>
            <w:r>
              <w:rPr>
                <w:rFonts w:hint="eastAsia" w:ascii="宋体" w:hAnsi="宋体" w:eastAsia="宋体"/>
                <w:color w:val="auto"/>
                <w:kern w:val="2"/>
                <w:sz w:val="21"/>
                <w:szCs w:val="21"/>
              </w:rPr>
              <w:t>呼叫中心、服务管理系统、公司网站、市场调研、购买第三方咨询</w:t>
            </w:r>
          </w:p>
        </w:tc>
      </w:tr>
      <w:tr w14:paraId="48911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386" w:type="dxa"/>
            <w:vAlign w:val="center"/>
          </w:tcPr>
          <w:p w14:paraId="0348CBF5">
            <w:pPr>
              <w:pStyle w:val="31"/>
              <w:widowControl w:val="0"/>
              <w:jc w:val="left"/>
              <w:rPr>
                <w:rFonts w:ascii="宋体" w:hAnsi="宋体" w:eastAsia="宋体"/>
                <w:color w:val="auto"/>
                <w:kern w:val="2"/>
                <w:sz w:val="21"/>
                <w:szCs w:val="21"/>
              </w:rPr>
            </w:pPr>
            <w:r>
              <w:rPr>
                <w:rFonts w:hint="eastAsia" w:ascii="宋体" w:hAnsi="宋体" w:eastAsia="宋体"/>
                <w:color w:val="auto"/>
                <w:kern w:val="2"/>
                <w:sz w:val="21"/>
                <w:szCs w:val="21"/>
              </w:rPr>
              <w:t>员工</w:t>
            </w:r>
          </w:p>
        </w:tc>
        <w:tc>
          <w:tcPr>
            <w:tcW w:w="1458" w:type="dxa"/>
            <w:vAlign w:val="center"/>
          </w:tcPr>
          <w:p w14:paraId="1AC52C41">
            <w:pPr>
              <w:pStyle w:val="31"/>
              <w:widowControl w:val="0"/>
              <w:jc w:val="both"/>
              <w:rPr>
                <w:rFonts w:ascii="宋体" w:hAnsi="宋体" w:eastAsia="宋体"/>
                <w:color w:val="auto"/>
                <w:kern w:val="2"/>
                <w:sz w:val="21"/>
                <w:szCs w:val="21"/>
              </w:rPr>
            </w:pPr>
            <w:r>
              <w:rPr>
                <w:rFonts w:hint="eastAsia" w:ascii="宋体" w:hAnsi="宋体" w:eastAsia="宋体"/>
                <w:color w:val="auto"/>
                <w:kern w:val="2"/>
                <w:sz w:val="21"/>
                <w:szCs w:val="21"/>
              </w:rPr>
              <w:t>综合能力、专业特长、成长需求、满意度</w:t>
            </w:r>
          </w:p>
        </w:tc>
        <w:tc>
          <w:tcPr>
            <w:tcW w:w="2263" w:type="dxa"/>
          </w:tcPr>
          <w:p w14:paraId="193F8093">
            <w:pPr>
              <w:pStyle w:val="31"/>
              <w:widowControl w:val="0"/>
              <w:jc w:val="left"/>
              <w:rPr>
                <w:rFonts w:ascii="宋体" w:hAnsi="宋体" w:eastAsia="宋体"/>
                <w:color w:val="auto"/>
                <w:kern w:val="2"/>
                <w:sz w:val="21"/>
                <w:szCs w:val="21"/>
              </w:rPr>
            </w:pPr>
            <w:r>
              <w:rPr>
                <w:rFonts w:hint="eastAsia" w:ascii="宋体" w:hAnsi="宋体" w:eastAsia="宋体"/>
                <w:color w:val="auto"/>
                <w:kern w:val="2"/>
                <w:sz w:val="21"/>
                <w:szCs w:val="21"/>
              </w:rPr>
              <w:t>高层：人才战略、选拔晋升依据             行政部、各部门：人力调配、人才培养、人力管理改进依据</w:t>
            </w:r>
          </w:p>
        </w:tc>
        <w:tc>
          <w:tcPr>
            <w:tcW w:w="2269" w:type="dxa"/>
            <w:vAlign w:val="center"/>
          </w:tcPr>
          <w:p w14:paraId="34345268">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行政部、其他各部门</w:t>
            </w:r>
          </w:p>
        </w:tc>
        <w:tc>
          <w:tcPr>
            <w:tcW w:w="1418" w:type="dxa"/>
            <w:vAlign w:val="center"/>
          </w:tcPr>
          <w:p w14:paraId="564A32CD">
            <w:pPr>
              <w:pStyle w:val="31"/>
              <w:widowControl w:val="0"/>
              <w:jc w:val="both"/>
              <w:rPr>
                <w:rFonts w:ascii="宋体" w:hAnsi="宋体" w:eastAsia="宋体"/>
                <w:color w:val="auto"/>
                <w:kern w:val="2"/>
                <w:sz w:val="21"/>
                <w:szCs w:val="21"/>
              </w:rPr>
            </w:pPr>
            <w:r>
              <w:rPr>
                <w:rFonts w:hint="eastAsia" w:ascii="宋体" w:hAnsi="宋体" w:eastAsia="宋体"/>
                <w:color w:val="auto"/>
                <w:kern w:val="2"/>
                <w:sz w:val="21"/>
                <w:szCs w:val="21"/>
              </w:rPr>
              <w:t>员工</w:t>
            </w:r>
          </w:p>
          <w:p w14:paraId="778BC633">
            <w:pPr>
              <w:pStyle w:val="31"/>
              <w:widowControl w:val="0"/>
              <w:jc w:val="both"/>
              <w:rPr>
                <w:rFonts w:ascii="宋体" w:hAnsi="宋体" w:eastAsia="宋体"/>
                <w:color w:val="auto"/>
                <w:kern w:val="2"/>
                <w:sz w:val="21"/>
                <w:szCs w:val="21"/>
              </w:rPr>
            </w:pPr>
            <w:r>
              <w:rPr>
                <w:rFonts w:hint="eastAsia" w:ascii="宋体" w:hAnsi="宋体" w:eastAsia="宋体"/>
                <w:color w:val="auto"/>
                <w:kern w:val="2"/>
                <w:sz w:val="21"/>
                <w:szCs w:val="21"/>
              </w:rPr>
              <w:t>各部门</w:t>
            </w:r>
          </w:p>
        </w:tc>
        <w:tc>
          <w:tcPr>
            <w:tcW w:w="1486" w:type="dxa"/>
            <w:vAlign w:val="center"/>
          </w:tcPr>
          <w:p w14:paraId="483F89AA">
            <w:pPr>
              <w:pStyle w:val="31"/>
              <w:widowControl w:val="0"/>
              <w:jc w:val="both"/>
              <w:rPr>
                <w:rFonts w:ascii="宋体" w:hAnsi="宋体" w:eastAsia="宋体"/>
                <w:color w:val="auto"/>
                <w:kern w:val="2"/>
                <w:sz w:val="21"/>
                <w:szCs w:val="21"/>
              </w:rPr>
            </w:pPr>
            <w:r>
              <w:rPr>
                <w:rFonts w:hint="eastAsia" w:ascii="宋体" w:hAnsi="宋体" w:eastAsia="宋体"/>
                <w:color w:val="auto"/>
                <w:kern w:val="2"/>
                <w:sz w:val="21"/>
                <w:szCs w:val="21"/>
              </w:rPr>
              <w:t>人力资源系统、调查访谈</w:t>
            </w:r>
          </w:p>
        </w:tc>
      </w:tr>
      <w:tr w14:paraId="354F7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386" w:type="dxa"/>
            <w:vAlign w:val="center"/>
          </w:tcPr>
          <w:p w14:paraId="005583AC">
            <w:pPr>
              <w:pStyle w:val="31"/>
              <w:widowControl w:val="0"/>
              <w:jc w:val="left"/>
              <w:rPr>
                <w:rFonts w:ascii="宋体" w:hAnsi="宋体" w:eastAsia="宋体"/>
                <w:color w:val="auto"/>
                <w:kern w:val="2"/>
                <w:sz w:val="21"/>
                <w:szCs w:val="21"/>
              </w:rPr>
            </w:pPr>
            <w:r>
              <w:rPr>
                <w:rFonts w:hint="eastAsia" w:ascii="宋体" w:hAnsi="宋体" w:eastAsia="宋体"/>
                <w:color w:val="auto"/>
                <w:kern w:val="2"/>
                <w:sz w:val="21"/>
                <w:szCs w:val="21"/>
              </w:rPr>
              <w:t>供应商</w:t>
            </w:r>
          </w:p>
        </w:tc>
        <w:tc>
          <w:tcPr>
            <w:tcW w:w="1458" w:type="dxa"/>
            <w:vAlign w:val="center"/>
          </w:tcPr>
          <w:p w14:paraId="6BA91C7F">
            <w:pPr>
              <w:pStyle w:val="31"/>
              <w:widowControl w:val="0"/>
              <w:jc w:val="both"/>
              <w:rPr>
                <w:rFonts w:ascii="宋体" w:hAnsi="宋体" w:eastAsia="宋体"/>
                <w:color w:val="auto"/>
                <w:kern w:val="2"/>
                <w:sz w:val="21"/>
                <w:szCs w:val="21"/>
              </w:rPr>
            </w:pPr>
            <w:r>
              <w:rPr>
                <w:rFonts w:hint="eastAsia" w:ascii="宋体" w:hAnsi="宋体" w:eastAsia="宋体"/>
                <w:color w:val="auto"/>
                <w:kern w:val="2"/>
                <w:sz w:val="21"/>
                <w:szCs w:val="21"/>
              </w:rPr>
              <w:t>产品质量、供货能力、服务能力、研发能力、管理水平</w:t>
            </w:r>
          </w:p>
        </w:tc>
        <w:tc>
          <w:tcPr>
            <w:tcW w:w="2263" w:type="dxa"/>
          </w:tcPr>
          <w:p w14:paraId="51B72B20">
            <w:pPr>
              <w:pStyle w:val="31"/>
              <w:widowControl w:val="0"/>
              <w:jc w:val="left"/>
              <w:rPr>
                <w:rFonts w:ascii="宋体" w:hAnsi="宋体" w:eastAsia="宋体"/>
                <w:color w:val="auto"/>
                <w:kern w:val="2"/>
                <w:sz w:val="21"/>
                <w:szCs w:val="21"/>
              </w:rPr>
            </w:pPr>
            <w:r>
              <w:rPr>
                <w:rFonts w:hint="eastAsia" w:ascii="宋体" w:hAnsi="宋体" w:eastAsia="宋体"/>
                <w:color w:val="auto"/>
                <w:kern w:val="2"/>
                <w:sz w:val="21"/>
                <w:szCs w:val="21"/>
              </w:rPr>
              <w:t>高层：市场战略决策、经营决策          物控部：订单依据、评价依据、供方选择依据</w:t>
            </w:r>
          </w:p>
        </w:tc>
        <w:tc>
          <w:tcPr>
            <w:tcW w:w="2269" w:type="dxa"/>
            <w:vAlign w:val="center"/>
          </w:tcPr>
          <w:p w14:paraId="7AFE3D91">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物控部、品管部、技术部</w:t>
            </w:r>
          </w:p>
        </w:tc>
        <w:tc>
          <w:tcPr>
            <w:tcW w:w="1418" w:type="dxa"/>
            <w:vAlign w:val="center"/>
          </w:tcPr>
          <w:p w14:paraId="068CE6CE">
            <w:pPr>
              <w:pStyle w:val="31"/>
              <w:widowControl w:val="0"/>
              <w:jc w:val="both"/>
              <w:rPr>
                <w:rFonts w:ascii="宋体" w:hAnsi="宋体" w:eastAsia="宋体"/>
                <w:color w:val="auto"/>
                <w:kern w:val="2"/>
                <w:sz w:val="21"/>
                <w:szCs w:val="21"/>
              </w:rPr>
            </w:pPr>
            <w:r>
              <w:rPr>
                <w:rFonts w:hint="eastAsia" w:ascii="宋体" w:hAnsi="宋体" w:eastAsia="宋体"/>
                <w:color w:val="auto"/>
                <w:kern w:val="2"/>
                <w:sz w:val="21"/>
                <w:szCs w:val="21"/>
              </w:rPr>
              <w:t>供方现场、生产现场、最终顾客</w:t>
            </w:r>
          </w:p>
        </w:tc>
        <w:tc>
          <w:tcPr>
            <w:tcW w:w="1486" w:type="dxa"/>
            <w:vAlign w:val="center"/>
          </w:tcPr>
          <w:p w14:paraId="667F1B84">
            <w:pPr>
              <w:pStyle w:val="31"/>
              <w:widowControl w:val="0"/>
              <w:jc w:val="both"/>
              <w:rPr>
                <w:rFonts w:ascii="宋体" w:hAnsi="宋体" w:eastAsia="宋体"/>
                <w:color w:val="auto"/>
                <w:kern w:val="2"/>
                <w:sz w:val="21"/>
                <w:szCs w:val="21"/>
              </w:rPr>
            </w:pPr>
            <w:r>
              <w:rPr>
                <w:rFonts w:hint="eastAsia" w:ascii="宋体" w:hAnsi="宋体" w:eastAsia="宋体"/>
                <w:color w:val="auto"/>
                <w:kern w:val="2"/>
                <w:sz w:val="21"/>
                <w:szCs w:val="21"/>
              </w:rPr>
              <w:t>供应链管理系统、</w:t>
            </w:r>
            <w:r>
              <w:rPr>
                <w:rFonts w:hint="eastAsia" w:ascii="宋体" w:hAnsi="宋体" w:eastAsia="宋体"/>
                <w:color w:val="auto"/>
                <w:kern w:val="2"/>
                <w:sz w:val="21"/>
                <w:szCs w:val="21"/>
                <w:lang w:eastAsia="zh-CN"/>
              </w:rPr>
              <w:t>财物管理</w:t>
            </w:r>
            <w:r>
              <w:rPr>
                <w:rFonts w:hint="eastAsia" w:ascii="宋体" w:hAnsi="宋体" w:eastAsia="宋体"/>
                <w:color w:val="auto"/>
                <w:kern w:val="2"/>
                <w:sz w:val="21"/>
                <w:szCs w:val="21"/>
              </w:rPr>
              <w:t>系统、质量管理系统、现场调研</w:t>
            </w:r>
          </w:p>
        </w:tc>
      </w:tr>
      <w:tr w14:paraId="5864F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386" w:type="dxa"/>
            <w:vAlign w:val="center"/>
          </w:tcPr>
          <w:p w14:paraId="449582AF">
            <w:pPr>
              <w:pStyle w:val="31"/>
              <w:widowControl w:val="0"/>
              <w:jc w:val="left"/>
              <w:rPr>
                <w:rFonts w:ascii="宋体" w:hAnsi="宋体" w:eastAsia="宋体"/>
                <w:color w:val="auto"/>
                <w:kern w:val="2"/>
                <w:sz w:val="21"/>
                <w:szCs w:val="21"/>
              </w:rPr>
            </w:pPr>
            <w:r>
              <w:rPr>
                <w:rFonts w:hint="eastAsia" w:ascii="宋体" w:hAnsi="宋体" w:eastAsia="宋体"/>
                <w:color w:val="auto"/>
                <w:kern w:val="2"/>
                <w:sz w:val="21"/>
                <w:szCs w:val="21"/>
              </w:rPr>
              <w:t>合作伙伴</w:t>
            </w:r>
          </w:p>
        </w:tc>
        <w:tc>
          <w:tcPr>
            <w:tcW w:w="1458" w:type="dxa"/>
            <w:vAlign w:val="center"/>
          </w:tcPr>
          <w:p w14:paraId="36C35030">
            <w:pPr>
              <w:pStyle w:val="31"/>
              <w:widowControl w:val="0"/>
              <w:jc w:val="both"/>
              <w:rPr>
                <w:rFonts w:ascii="宋体" w:hAnsi="宋体" w:eastAsia="宋体"/>
                <w:color w:val="auto"/>
                <w:kern w:val="2"/>
                <w:sz w:val="21"/>
                <w:szCs w:val="21"/>
              </w:rPr>
            </w:pPr>
            <w:r>
              <w:rPr>
                <w:rFonts w:hint="eastAsia" w:ascii="宋体" w:hAnsi="宋体" w:eastAsia="宋体"/>
                <w:color w:val="auto"/>
                <w:kern w:val="2"/>
                <w:sz w:val="21"/>
                <w:szCs w:val="21"/>
              </w:rPr>
              <w:t>综合实力、资质信誉、行业地位</w:t>
            </w:r>
          </w:p>
        </w:tc>
        <w:tc>
          <w:tcPr>
            <w:tcW w:w="2263" w:type="dxa"/>
            <w:vAlign w:val="center"/>
          </w:tcPr>
          <w:p w14:paraId="7DE80864">
            <w:pPr>
              <w:pStyle w:val="31"/>
              <w:widowControl w:val="0"/>
              <w:jc w:val="both"/>
              <w:rPr>
                <w:rFonts w:ascii="宋体" w:hAnsi="宋体" w:eastAsia="宋体"/>
                <w:color w:val="auto"/>
                <w:kern w:val="2"/>
                <w:sz w:val="21"/>
                <w:szCs w:val="21"/>
              </w:rPr>
            </w:pPr>
            <w:r>
              <w:rPr>
                <w:rFonts w:hint="eastAsia" w:ascii="宋体" w:hAnsi="宋体" w:eastAsia="宋体"/>
                <w:color w:val="auto"/>
                <w:kern w:val="2"/>
                <w:sz w:val="21"/>
                <w:szCs w:val="21"/>
              </w:rPr>
              <w:t>高层：战略合作依据          各部门：合作方选择、合同签订依据</w:t>
            </w:r>
          </w:p>
        </w:tc>
        <w:tc>
          <w:tcPr>
            <w:tcW w:w="2269" w:type="dxa"/>
            <w:vAlign w:val="center"/>
          </w:tcPr>
          <w:p w14:paraId="4996E50E">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财务部、物控部、销售部</w:t>
            </w:r>
          </w:p>
        </w:tc>
        <w:tc>
          <w:tcPr>
            <w:tcW w:w="1418" w:type="dxa"/>
            <w:vAlign w:val="center"/>
          </w:tcPr>
          <w:p w14:paraId="3CDE2653">
            <w:pPr>
              <w:pStyle w:val="31"/>
              <w:widowControl w:val="0"/>
              <w:jc w:val="both"/>
              <w:rPr>
                <w:rFonts w:ascii="宋体" w:hAnsi="宋体" w:eastAsia="宋体"/>
                <w:color w:val="auto"/>
                <w:kern w:val="2"/>
                <w:sz w:val="21"/>
                <w:szCs w:val="21"/>
              </w:rPr>
            </w:pPr>
            <w:r>
              <w:rPr>
                <w:rFonts w:hint="eastAsia" w:ascii="宋体" w:hAnsi="宋体" w:eastAsia="宋体"/>
                <w:color w:val="auto"/>
                <w:kern w:val="2"/>
                <w:sz w:val="21"/>
                <w:szCs w:val="21"/>
              </w:rPr>
              <w:t>合作伙伴、相关会议、各类媒体</w:t>
            </w:r>
          </w:p>
        </w:tc>
        <w:tc>
          <w:tcPr>
            <w:tcW w:w="1486" w:type="dxa"/>
            <w:vAlign w:val="center"/>
          </w:tcPr>
          <w:p w14:paraId="317108A2">
            <w:pPr>
              <w:pStyle w:val="31"/>
              <w:widowControl w:val="0"/>
              <w:jc w:val="both"/>
              <w:rPr>
                <w:rFonts w:ascii="宋体" w:hAnsi="宋体" w:eastAsia="宋体"/>
                <w:color w:val="auto"/>
                <w:kern w:val="2"/>
                <w:sz w:val="21"/>
                <w:szCs w:val="21"/>
              </w:rPr>
            </w:pPr>
            <w:r>
              <w:rPr>
                <w:rFonts w:hint="eastAsia" w:ascii="宋体" w:hAnsi="宋体" w:eastAsia="宋体"/>
                <w:color w:val="auto"/>
                <w:kern w:val="2"/>
                <w:sz w:val="21"/>
                <w:szCs w:val="21"/>
              </w:rPr>
              <w:t>供应链管理系统、互联网调研考察</w:t>
            </w:r>
          </w:p>
        </w:tc>
      </w:tr>
      <w:tr w14:paraId="77999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386" w:type="dxa"/>
            <w:vAlign w:val="center"/>
          </w:tcPr>
          <w:p w14:paraId="34761DB8">
            <w:pPr>
              <w:pStyle w:val="31"/>
              <w:widowControl w:val="0"/>
              <w:jc w:val="left"/>
              <w:rPr>
                <w:rFonts w:ascii="宋体" w:hAnsi="宋体" w:eastAsia="宋体"/>
                <w:color w:val="auto"/>
                <w:kern w:val="2"/>
                <w:sz w:val="21"/>
                <w:szCs w:val="21"/>
              </w:rPr>
            </w:pPr>
            <w:r>
              <w:rPr>
                <w:rFonts w:hint="eastAsia" w:ascii="宋体" w:hAnsi="宋体" w:eastAsia="宋体"/>
                <w:color w:val="auto"/>
                <w:kern w:val="2"/>
                <w:sz w:val="21"/>
                <w:szCs w:val="21"/>
              </w:rPr>
              <w:t>公司运营信息</w:t>
            </w:r>
          </w:p>
        </w:tc>
        <w:tc>
          <w:tcPr>
            <w:tcW w:w="1458" w:type="dxa"/>
            <w:vAlign w:val="center"/>
          </w:tcPr>
          <w:p w14:paraId="325EE9FF">
            <w:pPr>
              <w:pStyle w:val="31"/>
              <w:widowControl w:val="0"/>
              <w:jc w:val="both"/>
              <w:rPr>
                <w:rFonts w:ascii="宋体" w:hAnsi="宋体" w:eastAsia="宋体"/>
                <w:color w:val="auto"/>
                <w:kern w:val="2"/>
                <w:sz w:val="21"/>
                <w:szCs w:val="21"/>
              </w:rPr>
            </w:pPr>
            <w:r>
              <w:rPr>
                <w:rFonts w:hint="eastAsia" w:ascii="宋体" w:hAnsi="宋体" w:eastAsia="宋体"/>
                <w:color w:val="auto"/>
                <w:kern w:val="2"/>
                <w:sz w:val="21"/>
                <w:szCs w:val="21"/>
              </w:rPr>
              <w:t>产品研发、工艺设计、产能水平、产品质量、产销存数据、财务运作状况、经营绩效</w:t>
            </w:r>
          </w:p>
        </w:tc>
        <w:tc>
          <w:tcPr>
            <w:tcW w:w="2263" w:type="dxa"/>
            <w:vAlign w:val="center"/>
          </w:tcPr>
          <w:p w14:paraId="7E43A06B">
            <w:pPr>
              <w:pStyle w:val="31"/>
              <w:widowControl w:val="0"/>
              <w:jc w:val="both"/>
              <w:rPr>
                <w:rFonts w:ascii="宋体" w:hAnsi="宋体" w:eastAsia="宋体"/>
                <w:color w:val="auto"/>
                <w:kern w:val="2"/>
                <w:sz w:val="21"/>
                <w:szCs w:val="21"/>
              </w:rPr>
            </w:pPr>
            <w:r>
              <w:rPr>
                <w:rFonts w:hint="eastAsia" w:ascii="宋体" w:hAnsi="宋体" w:eastAsia="宋体"/>
                <w:color w:val="auto"/>
                <w:kern w:val="2"/>
                <w:sz w:val="21"/>
                <w:szCs w:val="21"/>
              </w:rPr>
              <w:t>高层：经营决策依据          各部门：业务操作、绩效评估、过程改进、研发创新等经营管理依据</w:t>
            </w:r>
          </w:p>
        </w:tc>
        <w:tc>
          <w:tcPr>
            <w:tcW w:w="2269" w:type="dxa"/>
            <w:vAlign w:val="center"/>
          </w:tcPr>
          <w:p w14:paraId="036E1F56">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技术部、财务部、销售部、品管部、其他部门</w:t>
            </w:r>
          </w:p>
        </w:tc>
        <w:tc>
          <w:tcPr>
            <w:tcW w:w="1418" w:type="dxa"/>
            <w:vAlign w:val="center"/>
          </w:tcPr>
          <w:p w14:paraId="32B4E076">
            <w:pPr>
              <w:pStyle w:val="31"/>
              <w:widowControl w:val="0"/>
              <w:jc w:val="both"/>
              <w:rPr>
                <w:rFonts w:ascii="宋体" w:hAnsi="宋体" w:eastAsia="宋体"/>
                <w:color w:val="auto"/>
                <w:kern w:val="2"/>
                <w:sz w:val="21"/>
                <w:szCs w:val="21"/>
              </w:rPr>
            </w:pPr>
            <w:r>
              <w:rPr>
                <w:rFonts w:hint="eastAsia" w:ascii="宋体" w:hAnsi="宋体" w:eastAsia="宋体"/>
                <w:color w:val="auto"/>
                <w:kern w:val="2"/>
                <w:sz w:val="21"/>
                <w:szCs w:val="21"/>
              </w:rPr>
              <w:t>研发过程、生产过程、采购过程、营销过程、财务过程、信息系统</w:t>
            </w:r>
          </w:p>
        </w:tc>
        <w:tc>
          <w:tcPr>
            <w:tcW w:w="1486" w:type="dxa"/>
            <w:vAlign w:val="center"/>
          </w:tcPr>
          <w:p w14:paraId="6013EDE0">
            <w:pPr>
              <w:pStyle w:val="31"/>
              <w:widowControl w:val="0"/>
              <w:jc w:val="both"/>
              <w:rPr>
                <w:rFonts w:ascii="宋体" w:hAnsi="宋体" w:eastAsia="宋体"/>
                <w:color w:val="auto"/>
                <w:kern w:val="2"/>
                <w:sz w:val="21"/>
                <w:szCs w:val="21"/>
              </w:rPr>
            </w:pPr>
            <w:r>
              <w:rPr>
                <w:rFonts w:hint="eastAsia" w:ascii="宋体" w:hAnsi="宋体" w:eastAsia="宋体"/>
                <w:color w:val="auto"/>
                <w:kern w:val="2"/>
                <w:sz w:val="21"/>
                <w:szCs w:val="21"/>
              </w:rPr>
              <w:t>研发设计各系统、</w:t>
            </w:r>
            <w:r>
              <w:rPr>
                <w:rFonts w:hint="eastAsia" w:ascii="宋体" w:hAnsi="宋体" w:eastAsia="宋体"/>
                <w:color w:val="auto"/>
                <w:kern w:val="2"/>
                <w:sz w:val="21"/>
                <w:szCs w:val="21"/>
                <w:lang w:eastAsia="zh-CN"/>
              </w:rPr>
              <w:t>财物管理</w:t>
            </w:r>
            <w:r>
              <w:rPr>
                <w:rFonts w:hint="eastAsia" w:ascii="宋体" w:hAnsi="宋体" w:eastAsia="宋体"/>
                <w:color w:val="auto"/>
                <w:kern w:val="2"/>
                <w:sz w:val="21"/>
                <w:szCs w:val="21"/>
              </w:rPr>
              <w:t>系统、MES系统、质量系统、财务系统、人力资源系统、供应链管理系统</w:t>
            </w:r>
          </w:p>
        </w:tc>
      </w:tr>
    </w:tbl>
    <w:p w14:paraId="59496E71">
      <w:pPr>
        <w:pStyle w:val="5"/>
      </w:pPr>
      <w:r>
        <w:rPr>
          <w:rFonts w:hint="eastAsia"/>
        </w:rPr>
        <w:t>4.4.5.2完善信息化设施</w:t>
      </w:r>
    </w:p>
    <w:p w14:paraId="711ECD46">
      <w:pPr>
        <w:pStyle w:val="10"/>
        <w:spacing w:line="360" w:lineRule="auto"/>
        <w:ind w:firstLine="480" w:firstLineChars="200"/>
        <w:rPr>
          <w:sz w:val="24"/>
        </w:rPr>
      </w:pPr>
      <w:r>
        <w:rPr>
          <w:rFonts w:hint="eastAsia"/>
          <w:sz w:val="24"/>
        </w:rPr>
        <w:t>为了支持高效的业务运营与公司宏大的发展战略保持一致，公司信息化建设着眼于高起点和长远性，以总体规划，分步实施为原则，对信息化建设进行系统规划。</w:t>
      </w:r>
    </w:p>
    <w:p w14:paraId="45B5E9AB">
      <w:pPr>
        <w:pStyle w:val="5"/>
        <w:spacing w:line="360" w:lineRule="auto"/>
      </w:pPr>
      <w:r>
        <w:rPr>
          <w:rFonts w:hint="eastAsia"/>
        </w:rPr>
        <w:t>4.4.5.3知识管理</w:t>
      </w:r>
    </w:p>
    <w:p w14:paraId="6ED22D0B">
      <w:pPr>
        <w:pStyle w:val="36"/>
        <w:spacing w:line="360" w:lineRule="auto"/>
        <w:ind w:firstLine="0" w:firstLineChars="0"/>
        <w:jc w:val="center"/>
        <w:rPr>
          <w:rFonts w:ascii="黑体" w:hAnsi="黑体" w:eastAsia="黑体"/>
          <w:b/>
          <w:bCs/>
          <w:color w:val="auto"/>
          <w:sz w:val="21"/>
          <w:szCs w:val="21"/>
        </w:rPr>
      </w:pPr>
      <w:r>
        <w:rPr>
          <w:rFonts w:hint="eastAsia" w:ascii="黑体" w:hAnsi="黑体" w:eastAsia="黑体"/>
          <w:b/>
          <w:bCs/>
          <w:color w:val="auto"/>
          <w:sz w:val="21"/>
          <w:szCs w:val="21"/>
        </w:rPr>
        <w:t>表4.4.4-1 知识的分类收集与管理</w:t>
      </w:r>
    </w:p>
    <w:tbl>
      <w:tblPr>
        <w:tblStyle w:val="22"/>
        <w:tblW w:w="9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4"/>
        <w:gridCol w:w="1701"/>
        <w:gridCol w:w="3686"/>
        <w:gridCol w:w="1701"/>
        <w:gridCol w:w="1098"/>
      </w:tblGrid>
      <w:tr w14:paraId="45CCB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1094" w:type="dxa"/>
            <w:shd w:val="clear" w:color="auto" w:fill="938953"/>
            <w:vAlign w:val="center"/>
          </w:tcPr>
          <w:p w14:paraId="1016FCBB">
            <w:pPr>
              <w:pStyle w:val="31"/>
              <w:widowControl w:val="0"/>
              <w:rPr>
                <w:rFonts w:ascii="宋体" w:hAnsi="宋体" w:eastAsia="宋体"/>
                <w:b/>
                <w:color w:val="FFFFFF"/>
                <w:kern w:val="2"/>
                <w:sz w:val="21"/>
                <w:szCs w:val="21"/>
              </w:rPr>
            </w:pPr>
            <w:r>
              <w:rPr>
                <w:rFonts w:hint="eastAsia" w:ascii="宋体" w:hAnsi="宋体" w:eastAsia="宋体" w:cs=".Apple Color Emoji UI"/>
                <w:b/>
                <w:color w:val="FFFFFF"/>
                <w:kern w:val="2"/>
                <w:sz w:val="21"/>
                <w:szCs w:val="21"/>
              </w:rPr>
              <w:t>知识来源</w:t>
            </w:r>
          </w:p>
        </w:tc>
        <w:tc>
          <w:tcPr>
            <w:tcW w:w="1701" w:type="dxa"/>
            <w:shd w:val="clear" w:color="auto" w:fill="938953"/>
            <w:vAlign w:val="center"/>
          </w:tcPr>
          <w:p w14:paraId="5CEA3D9E">
            <w:pPr>
              <w:pStyle w:val="31"/>
              <w:widowControl w:val="0"/>
              <w:rPr>
                <w:rFonts w:ascii="宋体" w:hAnsi="宋体" w:eastAsia="宋体"/>
                <w:b/>
                <w:color w:val="FFFFFF"/>
                <w:kern w:val="2"/>
                <w:sz w:val="21"/>
                <w:szCs w:val="21"/>
              </w:rPr>
            </w:pPr>
            <w:r>
              <w:rPr>
                <w:rFonts w:hint="eastAsia" w:ascii="宋体" w:hAnsi="宋体" w:eastAsia="宋体"/>
                <w:b/>
                <w:color w:val="FFFFFF"/>
                <w:kern w:val="2"/>
                <w:sz w:val="21"/>
                <w:szCs w:val="21"/>
              </w:rPr>
              <w:t>知识类别</w:t>
            </w:r>
          </w:p>
        </w:tc>
        <w:tc>
          <w:tcPr>
            <w:tcW w:w="3686" w:type="dxa"/>
            <w:shd w:val="clear" w:color="auto" w:fill="938953"/>
            <w:vAlign w:val="center"/>
          </w:tcPr>
          <w:p w14:paraId="214AAC45">
            <w:pPr>
              <w:pStyle w:val="31"/>
              <w:widowControl w:val="0"/>
              <w:rPr>
                <w:rFonts w:ascii="宋体" w:hAnsi="宋体" w:eastAsia="宋体"/>
                <w:b/>
                <w:color w:val="FFFFFF"/>
                <w:kern w:val="2"/>
                <w:sz w:val="21"/>
                <w:szCs w:val="21"/>
              </w:rPr>
            </w:pPr>
            <w:r>
              <w:rPr>
                <w:rFonts w:hint="eastAsia" w:ascii="宋体" w:hAnsi="宋体" w:eastAsia="宋体"/>
                <w:b/>
                <w:color w:val="FFFFFF"/>
                <w:kern w:val="2"/>
                <w:sz w:val="21"/>
                <w:szCs w:val="21"/>
              </w:rPr>
              <w:t>知识内容</w:t>
            </w:r>
          </w:p>
        </w:tc>
        <w:tc>
          <w:tcPr>
            <w:tcW w:w="1701" w:type="dxa"/>
            <w:shd w:val="clear" w:color="auto" w:fill="938953"/>
            <w:vAlign w:val="center"/>
          </w:tcPr>
          <w:p w14:paraId="48BF8CB0">
            <w:pPr>
              <w:pStyle w:val="31"/>
              <w:widowControl w:val="0"/>
              <w:rPr>
                <w:rFonts w:ascii="宋体" w:hAnsi="宋体" w:eastAsia="宋体"/>
                <w:b/>
                <w:color w:val="FFFFFF"/>
                <w:kern w:val="2"/>
                <w:sz w:val="21"/>
                <w:szCs w:val="21"/>
              </w:rPr>
            </w:pPr>
            <w:r>
              <w:rPr>
                <w:rFonts w:hint="eastAsia" w:ascii="宋体" w:hAnsi="宋体" w:eastAsia="宋体"/>
                <w:b/>
                <w:color w:val="FFFFFF"/>
                <w:kern w:val="2"/>
                <w:sz w:val="21"/>
                <w:szCs w:val="21"/>
              </w:rPr>
              <w:t>知识收集</w:t>
            </w:r>
          </w:p>
        </w:tc>
        <w:tc>
          <w:tcPr>
            <w:tcW w:w="1098" w:type="dxa"/>
            <w:shd w:val="clear" w:color="auto" w:fill="938953"/>
            <w:vAlign w:val="center"/>
          </w:tcPr>
          <w:p w14:paraId="7785098F">
            <w:pPr>
              <w:pStyle w:val="31"/>
              <w:widowControl w:val="0"/>
              <w:rPr>
                <w:rFonts w:ascii="宋体" w:hAnsi="宋体" w:eastAsia="宋体"/>
                <w:b/>
                <w:color w:val="FFFFFF"/>
                <w:kern w:val="2"/>
                <w:sz w:val="21"/>
                <w:szCs w:val="21"/>
              </w:rPr>
            </w:pPr>
            <w:r>
              <w:rPr>
                <w:rFonts w:hint="eastAsia" w:ascii="宋体" w:hAnsi="宋体" w:eastAsia="宋体"/>
                <w:b/>
                <w:color w:val="FFFFFF"/>
                <w:kern w:val="2"/>
                <w:sz w:val="21"/>
                <w:szCs w:val="21"/>
              </w:rPr>
              <w:t>管理系统</w:t>
            </w:r>
          </w:p>
        </w:tc>
      </w:tr>
      <w:tr w14:paraId="797E8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1094" w:type="dxa"/>
            <w:vMerge w:val="restart"/>
            <w:vAlign w:val="center"/>
          </w:tcPr>
          <w:p w14:paraId="5A0A2504">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内部</w:t>
            </w:r>
          </w:p>
        </w:tc>
        <w:tc>
          <w:tcPr>
            <w:tcW w:w="1701" w:type="dxa"/>
            <w:vAlign w:val="center"/>
          </w:tcPr>
          <w:p w14:paraId="523AEF4E">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技术成果</w:t>
            </w:r>
          </w:p>
        </w:tc>
        <w:tc>
          <w:tcPr>
            <w:tcW w:w="3686" w:type="dxa"/>
            <w:vAlign w:val="center"/>
          </w:tcPr>
          <w:p w14:paraId="39FB6FE8">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专利文件、技术资料、图纸、设计资料</w:t>
            </w:r>
          </w:p>
        </w:tc>
        <w:tc>
          <w:tcPr>
            <w:tcW w:w="1701" w:type="dxa"/>
            <w:vMerge w:val="restart"/>
            <w:vAlign w:val="center"/>
          </w:tcPr>
          <w:p w14:paraId="7E00F8AF">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各部门按照业务内部不同职能负责收集、整理</w:t>
            </w:r>
          </w:p>
        </w:tc>
        <w:tc>
          <w:tcPr>
            <w:tcW w:w="1098" w:type="dxa"/>
            <w:vAlign w:val="center"/>
          </w:tcPr>
          <w:p w14:paraId="065156E0">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w:t>
            </w:r>
          </w:p>
        </w:tc>
      </w:tr>
      <w:tr w14:paraId="31D8A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094" w:type="dxa"/>
            <w:vMerge w:val="continue"/>
            <w:vAlign w:val="center"/>
          </w:tcPr>
          <w:p w14:paraId="063DAD8F">
            <w:pPr>
              <w:pStyle w:val="31"/>
              <w:widowControl w:val="0"/>
              <w:rPr>
                <w:rFonts w:ascii="宋体" w:hAnsi="宋体" w:eastAsia="宋体"/>
                <w:color w:val="auto"/>
                <w:kern w:val="2"/>
                <w:sz w:val="21"/>
                <w:szCs w:val="21"/>
              </w:rPr>
            </w:pPr>
          </w:p>
        </w:tc>
        <w:tc>
          <w:tcPr>
            <w:tcW w:w="1701" w:type="dxa"/>
            <w:vAlign w:val="center"/>
          </w:tcPr>
          <w:p w14:paraId="07380452">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员工知识</w:t>
            </w:r>
          </w:p>
        </w:tc>
        <w:tc>
          <w:tcPr>
            <w:tcW w:w="3686" w:type="dxa"/>
            <w:vAlign w:val="center"/>
          </w:tcPr>
          <w:p w14:paraId="0B0A6834">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个人技能、工作经验、工作记录</w:t>
            </w:r>
          </w:p>
        </w:tc>
        <w:tc>
          <w:tcPr>
            <w:tcW w:w="1701" w:type="dxa"/>
            <w:vMerge w:val="continue"/>
            <w:vAlign w:val="center"/>
          </w:tcPr>
          <w:p w14:paraId="294C3F06">
            <w:pPr>
              <w:pStyle w:val="31"/>
              <w:widowControl w:val="0"/>
              <w:rPr>
                <w:rFonts w:ascii="宋体" w:hAnsi="宋体" w:eastAsia="宋体"/>
                <w:color w:val="auto"/>
                <w:kern w:val="2"/>
                <w:sz w:val="21"/>
                <w:szCs w:val="21"/>
              </w:rPr>
            </w:pPr>
          </w:p>
        </w:tc>
        <w:tc>
          <w:tcPr>
            <w:tcW w:w="1098" w:type="dxa"/>
            <w:vAlign w:val="center"/>
          </w:tcPr>
          <w:p w14:paraId="6D1AA27E">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w:t>
            </w:r>
          </w:p>
        </w:tc>
      </w:tr>
      <w:tr w14:paraId="0FE6A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094" w:type="dxa"/>
            <w:vMerge w:val="continue"/>
            <w:vAlign w:val="center"/>
          </w:tcPr>
          <w:p w14:paraId="5FE757A3">
            <w:pPr>
              <w:pStyle w:val="31"/>
              <w:widowControl w:val="0"/>
              <w:rPr>
                <w:rFonts w:ascii="宋体" w:hAnsi="宋体" w:eastAsia="宋体"/>
                <w:color w:val="auto"/>
                <w:kern w:val="2"/>
                <w:sz w:val="21"/>
                <w:szCs w:val="21"/>
              </w:rPr>
            </w:pPr>
          </w:p>
        </w:tc>
        <w:tc>
          <w:tcPr>
            <w:tcW w:w="1701" w:type="dxa"/>
            <w:vAlign w:val="center"/>
          </w:tcPr>
          <w:p w14:paraId="491A0126">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规范制度</w:t>
            </w:r>
          </w:p>
        </w:tc>
        <w:tc>
          <w:tcPr>
            <w:tcW w:w="3686" w:type="dxa"/>
            <w:vAlign w:val="center"/>
          </w:tcPr>
          <w:p w14:paraId="05AAEF17">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体系文件、流程标准</w:t>
            </w:r>
          </w:p>
        </w:tc>
        <w:tc>
          <w:tcPr>
            <w:tcW w:w="1701" w:type="dxa"/>
            <w:vMerge w:val="continue"/>
            <w:vAlign w:val="center"/>
          </w:tcPr>
          <w:p w14:paraId="09A3087F">
            <w:pPr>
              <w:pStyle w:val="31"/>
              <w:widowControl w:val="0"/>
              <w:rPr>
                <w:rFonts w:ascii="宋体" w:hAnsi="宋体" w:eastAsia="宋体"/>
                <w:color w:val="auto"/>
                <w:kern w:val="2"/>
                <w:sz w:val="21"/>
                <w:szCs w:val="21"/>
              </w:rPr>
            </w:pPr>
          </w:p>
        </w:tc>
        <w:tc>
          <w:tcPr>
            <w:tcW w:w="1098" w:type="dxa"/>
            <w:vAlign w:val="center"/>
          </w:tcPr>
          <w:p w14:paraId="4E899A05">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w:t>
            </w:r>
          </w:p>
        </w:tc>
      </w:tr>
      <w:tr w14:paraId="1EA80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094" w:type="dxa"/>
            <w:vMerge w:val="continue"/>
            <w:vAlign w:val="center"/>
          </w:tcPr>
          <w:p w14:paraId="1D9EFA24">
            <w:pPr>
              <w:pStyle w:val="31"/>
              <w:widowControl w:val="0"/>
              <w:rPr>
                <w:rFonts w:ascii="宋体" w:hAnsi="宋体" w:eastAsia="宋体"/>
                <w:color w:val="auto"/>
                <w:kern w:val="2"/>
                <w:sz w:val="21"/>
                <w:szCs w:val="21"/>
              </w:rPr>
            </w:pPr>
          </w:p>
        </w:tc>
        <w:tc>
          <w:tcPr>
            <w:tcW w:w="1701" w:type="dxa"/>
            <w:vAlign w:val="center"/>
          </w:tcPr>
          <w:p w14:paraId="76EEFBB6">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岗位知识</w:t>
            </w:r>
          </w:p>
        </w:tc>
        <w:tc>
          <w:tcPr>
            <w:tcW w:w="3686" w:type="dxa"/>
            <w:vAlign w:val="center"/>
          </w:tcPr>
          <w:p w14:paraId="493B5DA4">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业务说明、岗位说明书</w:t>
            </w:r>
          </w:p>
        </w:tc>
        <w:tc>
          <w:tcPr>
            <w:tcW w:w="1701" w:type="dxa"/>
            <w:vMerge w:val="continue"/>
            <w:vAlign w:val="center"/>
          </w:tcPr>
          <w:p w14:paraId="05844568">
            <w:pPr>
              <w:pStyle w:val="31"/>
              <w:widowControl w:val="0"/>
              <w:rPr>
                <w:rFonts w:ascii="宋体" w:hAnsi="宋体" w:eastAsia="宋体"/>
                <w:color w:val="auto"/>
                <w:kern w:val="2"/>
                <w:sz w:val="21"/>
                <w:szCs w:val="21"/>
              </w:rPr>
            </w:pPr>
          </w:p>
        </w:tc>
        <w:tc>
          <w:tcPr>
            <w:tcW w:w="1098" w:type="dxa"/>
            <w:vAlign w:val="center"/>
          </w:tcPr>
          <w:p w14:paraId="3E675EAE">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w:t>
            </w:r>
          </w:p>
        </w:tc>
      </w:tr>
      <w:tr w14:paraId="5CE1C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094" w:type="dxa"/>
            <w:vMerge w:val="restart"/>
            <w:vAlign w:val="center"/>
          </w:tcPr>
          <w:p w14:paraId="2E158C3F">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外部</w:t>
            </w:r>
          </w:p>
        </w:tc>
        <w:tc>
          <w:tcPr>
            <w:tcW w:w="1701" w:type="dxa"/>
            <w:vAlign w:val="center"/>
          </w:tcPr>
          <w:p w14:paraId="0BB20ADB">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行业政策</w:t>
            </w:r>
          </w:p>
        </w:tc>
        <w:tc>
          <w:tcPr>
            <w:tcW w:w="3686" w:type="dxa"/>
            <w:vAlign w:val="center"/>
          </w:tcPr>
          <w:p w14:paraId="48572F5A">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国家、行业的宏观政策</w:t>
            </w:r>
          </w:p>
        </w:tc>
        <w:tc>
          <w:tcPr>
            <w:tcW w:w="1701" w:type="dxa"/>
            <w:vMerge w:val="restart"/>
            <w:vAlign w:val="center"/>
          </w:tcPr>
          <w:p w14:paraId="53C06796">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由公司营销部、物控部等通过行业网站、行业协会、展会等方式获取</w:t>
            </w:r>
          </w:p>
        </w:tc>
        <w:tc>
          <w:tcPr>
            <w:tcW w:w="1098" w:type="dxa"/>
            <w:vAlign w:val="center"/>
          </w:tcPr>
          <w:p w14:paraId="1752C1CF">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w:t>
            </w:r>
          </w:p>
        </w:tc>
      </w:tr>
      <w:tr w14:paraId="414A6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094" w:type="dxa"/>
            <w:vMerge w:val="continue"/>
            <w:vAlign w:val="center"/>
          </w:tcPr>
          <w:p w14:paraId="5D8D2E01">
            <w:pPr>
              <w:pStyle w:val="31"/>
              <w:widowControl w:val="0"/>
              <w:rPr>
                <w:rFonts w:ascii="宋体" w:hAnsi="宋体" w:eastAsia="宋体"/>
                <w:color w:val="auto"/>
                <w:kern w:val="2"/>
                <w:sz w:val="21"/>
                <w:szCs w:val="21"/>
              </w:rPr>
            </w:pPr>
          </w:p>
        </w:tc>
        <w:tc>
          <w:tcPr>
            <w:tcW w:w="1701" w:type="dxa"/>
            <w:vAlign w:val="center"/>
          </w:tcPr>
          <w:p w14:paraId="0C2AB6F4">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竞争对手信息</w:t>
            </w:r>
          </w:p>
        </w:tc>
        <w:tc>
          <w:tcPr>
            <w:tcW w:w="3686" w:type="dxa"/>
            <w:vAlign w:val="center"/>
          </w:tcPr>
          <w:p w14:paraId="5DB97945">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市场份额、竞争策略</w:t>
            </w:r>
          </w:p>
        </w:tc>
        <w:tc>
          <w:tcPr>
            <w:tcW w:w="1701" w:type="dxa"/>
            <w:vMerge w:val="continue"/>
            <w:vAlign w:val="center"/>
          </w:tcPr>
          <w:p w14:paraId="2F6E229C">
            <w:pPr>
              <w:pStyle w:val="31"/>
              <w:widowControl w:val="0"/>
              <w:rPr>
                <w:rFonts w:ascii="宋体" w:hAnsi="宋体" w:eastAsia="宋体"/>
                <w:color w:val="auto"/>
                <w:kern w:val="2"/>
                <w:sz w:val="21"/>
                <w:szCs w:val="21"/>
              </w:rPr>
            </w:pPr>
          </w:p>
        </w:tc>
        <w:tc>
          <w:tcPr>
            <w:tcW w:w="1098" w:type="dxa"/>
            <w:vAlign w:val="center"/>
          </w:tcPr>
          <w:p w14:paraId="2F328CA5">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w:t>
            </w:r>
          </w:p>
        </w:tc>
      </w:tr>
      <w:tr w14:paraId="2489B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094" w:type="dxa"/>
            <w:vMerge w:val="continue"/>
            <w:vAlign w:val="center"/>
          </w:tcPr>
          <w:p w14:paraId="5E0B7035">
            <w:pPr>
              <w:pStyle w:val="31"/>
              <w:widowControl w:val="0"/>
              <w:rPr>
                <w:rFonts w:ascii="宋体" w:hAnsi="宋体" w:eastAsia="宋体"/>
                <w:color w:val="auto"/>
                <w:kern w:val="2"/>
                <w:sz w:val="21"/>
                <w:szCs w:val="21"/>
              </w:rPr>
            </w:pPr>
          </w:p>
        </w:tc>
        <w:tc>
          <w:tcPr>
            <w:tcW w:w="1701" w:type="dxa"/>
            <w:vAlign w:val="center"/>
          </w:tcPr>
          <w:p w14:paraId="77DC94DD">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顾客信息</w:t>
            </w:r>
          </w:p>
        </w:tc>
        <w:tc>
          <w:tcPr>
            <w:tcW w:w="3686" w:type="dxa"/>
            <w:vAlign w:val="center"/>
          </w:tcPr>
          <w:p w14:paraId="6447ECE7">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顾客满意度、客户意见</w:t>
            </w:r>
          </w:p>
        </w:tc>
        <w:tc>
          <w:tcPr>
            <w:tcW w:w="1701" w:type="dxa"/>
            <w:vMerge w:val="continue"/>
            <w:vAlign w:val="center"/>
          </w:tcPr>
          <w:p w14:paraId="36583542">
            <w:pPr>
              <w:pStyle w:val="31"/>
              <w:widowControl w:val="0"/>
              <w:rPr>
                <w:rFonts w:ascii="宋体" w:hAnsi="宋体" w:eastAsia="宋体"/>
                <w:color w:val="auto"/>
                <w:kern w:val="2"/>
                <w:sz w:val="21"/>
                <w:szCs w:val="21"/>
              </w:rPr>
            </w:pPr>
          </w:p>
        </w:tc>
        <w:tc>
          <w:tcPr>
            <w:tcW w:w="1098" w:type="dxa"/>
            <w:vAlign w:val="center"/>
          </w:tcPr>
          <w:p w14:paraId="70FFE88F">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w:t>
            </w:r>
          </w:p>
        </w:tc>
      </w:tr>
      <w:tr w14:paraId="334EF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094" w:type="dxa"/>
            <w:vMerge w:val="continue"/>
            <w:vAlign w:val="center"/>
          </w:tcPr>
          <w:p w14:paraId="51321285">
            <w:pPr>
              <w:pStyle w:val="31"/>
              <w:widowControl w:val="0"/>
              <w:rPr>
                <w:rFonts w:ascii="宋体" w:hAnsi="宋体" w:eastAsia="宋体"/>
                <w:color w:val="auto"/>
                <w:kern w:val="2"/>
                <w:sz w:val="21"/>
                <w:szCs w:val="21"/>
              </w:rPr>
            </w:pPr>
          </w:p>
        </w:tc>
        <w:tc>
          <w:tcPr>
            <w:tcW w:w="1701" w:type="dxa"/>
            <w:vAlign w:val="center"/>
          </w:tcPr>
          <w:p w14:paraId="08FD5156">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供应商</w:t>
            </w:r>
          </w:p>
        </w:tc>
        <w:tc>
          <w:tcPr>
            <w:tcW w:w="3686" w:type="dxa"/>
            <w:vAlign w:val="center"/>
          </w:tcPr>
          <w:p w14:paraId="7925FB9F">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能力水平、供货系列、信用度等</w:t>
            </w:r>
          </w:p>
        </w:tc>
        <w:tc>
          <w:tcPr>
            <w:tcW w:w="1701" w:type="dxa"/>
            <w:vMerge w:val="continue"/>
            <w:vAlign w:val="center"/>
          </w:tcPr>
          <w:p w14:paraId="4133097C">
            <w:pPr>
              <w:pStyle w:val="31"/>
              <w:widowControl w:val="0"/>
              <w:rPr>
                <w:rFonts w:ascii="宋体" w:hAnsi="宋体" w:eastAsia="宋体"/>
                <w:color w:val="auto"/>
                <w:kern w:val="2"/>
                <w:sz w:val="21"/>
                <w:szCs w:val="21"/>
              </w:rPr>
            </w:pPr>
          </w:p>
        </w:tc>
        <w:tc>
          <w:tcPr>
            <w:tcW w:w="1098" w:type="dxa"/>
            <w:vAlign w:val="center"/>
          </w:tcPr>
          <w:p w14:paraId="5DFFA44D">
            <w:pPr>
              <w:pStyle w:val="31"/>
              <w:widowControl w:val="0"/>
              <w:rPr>
                <w:rFonts w:hint="eastAsia" w:ascii="宋体" w:hAnsi="宋体" w:eastAsia="宋体"/>
                <w:color w:val="auto"/>
                <w:kern w:val="2"/>
                <w:sz w:val="21"/>
                <w:szCs w:val="21"/>
                <w:lang w:eastAsia="zh-CN"/>
              </w:rPr>
            </w:pPr>
            <w:r>
              <w:rPr>
                <w:rFonts w:hint="eastAsia" w:ascii="宋体" w:hAnsi="宋体" w:eastAsia="宋体"/>
                <w:color w:val="auto"/>
                <w:kern w:val="2"/>
                <w:sz w:val="21"/>
                <w:szCs w:val="21"/>
                <w:lang w:eastAsia="zh-CN"/>
              </w:rPr>
              <w:t>财物管理</w:t>
            </w:r>
          </w:p>
        </w:tc>
      </w:tr>
    </w:tbl>
    <w:p w14:paraId="778E57D8">
      <w:pPr>
        <w:pStyle w:val="4"/>
      </w:pPr>
      <w:bookmarkStart w:id="45" w:name="_Toc99720430"/>
      <w:r>
        <w:rPr>
          <w:rFonts w:hint="eastAsia"/>
        </w:rPr>
        <w:t>4.4.6 技术资源</w:t>
      </w:r>
      <w:bookmarkEnd w:id="45"/>
    </w:p>
    <w:p w14:paraId="2ACCECDC">
      <w:pPr>
        <w:pStyle w:val="5"/>
      </w:pPr>
      <w:r>
        <w:rPr>
          <w:rFonts w:hint="eastAsia"/>
        </w:rPr>
        <w:t>4.4.6.1建立卓有成效的技术评估体系，为制定战略提供依据</w:t>
      </w:r>
    </w:p>
    <w:p w14:paraId="12A78346">
      <w:pPr>
        <w:pStyle w:val="10"/>
        <w:spacing w:line="360" w:lineRule="auto"/>
        <w:ind w:firstLine="480" w:firstLineChars="200"/>
      </w:pPr>
      <w:r>
        <w:rPr>
          <w:rFonts w:hint="eastAsia"/>
          <w:sz w:val="24"/>
        </w:rPr>
        <w:t>公司建立了产品和技术信息收集分析体系，负责收集国际国内同行业科技信息，运用SWOT分析方法，评估公司现有技术水平及未来技术的研究方向，提出公司的技术优势和差距，调整和完善技术发展战略。</w:t>
      </w:r>
    </w:p>
    <w:p w14:paraId="3F63D59E">
      <w:pPr>
        <w:pStyle w:val="5"/>
      </w:pPr>
      <w:r>
        <w:rPr>
          <w:rFonts w:hint="eastAsia"/>
        </w:rPr>
        <w:t>4.4.6.2以国际先进技术为目标，提高技术创新能力</w:t>
      </w:r>
    </w:p>
    <w:p w14:paraId="7406E949">
      <w:pPr>
        <w:pStyle w:val="10"/>
        <w:spacing w:line="360" w:lineRule="auto"/>
        <w:ind w:firstLine="480" w:firstLineChars="200"/>
        <w:rPr>
          <w:sz w:val="24"/>
        </w:rPr>
      </w:pPr>
      <w:r>
        <w:rPr>
          <w:rFonts w:hint="eastAsia"/>
          <w:sz w:val="24"/>
        </w:rPr>
        <w:t>公司积极引进先进技术和技术标准，广泛地开展产学研等技术交流与合作，收集了当前主要工业发达国家的技术标准，支持公司产品和技术开发。在企业内部建立了技术研发与技术标准相结合的管理机制，注重先进技术的运用、 消化和吸收，并逐步在产品开发过程推广运用，为公司取得良好的业绩发挥了重要作用。</w:t>
      </w:r>
    </w:p>
    <w:p w14:paraId="48307C05">
      <w:pPr>
        <w:widowControl w:val="0"/>
        <w:adjustRightInd w:val="0"/>
        <w:spacing w:line="360" w:lineRule="auto"/>
        <w:ind w:firstLine="480" w:firstLineChars="200"/>
        <w:jc w:val="both"/>
        <w:rPr>
          <w:rFonts w:ascii="宋体" w:hAnsi="宋体"/>
          <w:kern w:val="2"/>
          <w:lang w:val="zh-CN"/>
        </w:rPr>
      </w:pPr>
      <w:r>
        <w:rPr>
          <w:rFonts w:hint="eastAsia" w:ascii="宋体" w:hAnsi="宋体"/>
          <w:kern w:val="2"/>
          <w:lang w:val="zh-CN"/>
        </w:rPr>
        <w:t>技术开发中心设在台州市中凯涂料有限公司内部。技术中心坚持以市场为主导围绕产品进行结构、工艺等研究开发，是公司技术创新体系建设的核心与基础，新产品、新技术、新工艺和基础理论的重要研究开发机构。</w:t>
      </w:r>
    </w:p>
    <w:p w14:paraId="0712B83E">
      <w:pPr>
        <w:pStyle w:val="5"/>
      </w:pPr>
      <w:r>
        <w:rPr>
          <w:rFonts w:hint="eastAsia"/>
        </w:rPr>
        <w:t>4.4.6.3制定清晰的技术开发目标，增强技术领先和适用水平</w:t>
      </w:r>
    </w:p>
    <w:p w14:paraId="7432CFA1">
      <w:pPr>
        <w:spacing w:line="360" w:lineRule="auto"/>
        <w:ind w:firstLine="480" w:firstLineChars="200"/>
      </w:pPr>
      <w:r>
        <w:rPr>
          <w:rFonts w:hint="eastAsia"/>
        </w:rPr>
        <w:t>公司依据产品战略和技术发展观，充分利用科技信息，运用SWOT法进行综合分析，每季度提交技术开发项目建议，通过技术委员会的论证，制订公司的技术开发目标和计划。</w:t>
      </w:r>
    </w:p>
    <w:p w14:paraId="5C543AAA">
      <w:pPr>
        <w:pStyle w:val="4"/>
      </w:pPr>
      <w:bookmarkStart w:id="46" w:name="_Toc99720431"/>
      <w:r>
        <w:rPr>
          <w:rFonts w:hint="eastAsia"/>
        </w:rPr>
        <w:t>4.4.7 相关方关系</w:t>
      </w:r>
      <w:bookmarkEnd w:id="46"/>
    </w:p>
    <w:p w14:paraId="265B6A3F">
      <w:pPr>
        <w:spacing w:line="360" w:lineRule="auto"/>
        <w:ind w:firstLine="480" w:firstLineChars="200"/>
      </w:pPr>
      <w:r>
        <w:rPr>
          <w:rFonts w:hint="eastAsia"/>
        </w:rPr>
        <w:t>公司特别注重与供应商建立良好的战略合作关系，以满足公司发展战略需要，实现互利双赢、共同发展。</w:t>
      </w:r>
    </w:p>
    <w:p w14:paraId="1C07A83D">
      <w:pPr>
        <w:tabs>
          <w:tab w:val="left" w:pos="5400"/>
        </w:tabs>
        <w:spacing w:line="360" w:lineRule="auto"/>
        <w:rPr>
          <w:b/>
          <w:bCs/>
          <w:position w:val="-40"/>
        </w:rPr>
      </w:pPr>
      <w:r>
        <w:rPr>
          <w:rFonts w:hint="eastAsia"/>
          <w:b/>
          <w:bCs/>
          <w:position w:val="-40"/>
        </w:rPr>
        <w:t>（1）加强战略合作，构建双赢机制</w:t>
      </w:r>
    </w:p>
    <w:p w14:paraId="6CCDEC39">
      <w:pPr>
        <w:spacing w:line="360" w:lineRule="auto"/>
        <w:ind w:firstLine="480" w:firstLineChars="200"/>
      </w:pPr>
      <w:r>
        <w:rPr>
          <w:rFonts w:hint="eastAsia"/>
          <w:lang w:val="zh-CN"/>
        </w:rPr>
        <w:t>公司建立供方名录，</w:t>
      </w:r>
      <w:r>
        <w:rPr>
          <w:rFonts w:hint="eastAsia"/>
        </w:rPr>
        <w:t>由评定小组按照《合格供方评价标准》综合评价，</w:t>
      </w:r>
      <w:r>
        <w:rPr>
          <w:rFonts w:hint="eastAsia"/>
          <w:lang w:val="zh-CN"/>
        </w:rPr>
        <w:t>进行供应商管理。</w:t>
      </w:r>
      <w:r>
        <w:rPr>
          <w:rFonts w:hint="eastAsia"/>
        </w:rPr>
        <w:t>在此基础上，根据供应商业绩和所供产品的重要度，把供应商分核心供应商、主要供应商、一般供应商和临时供应商4个级别，与核心供应商建立战略合作伙伴关系，与主要供应商、一般供应商建立长期合作关系；同时，在资金、技术、管理上对供应商给予积极扶持和帮助，确保供应商持续发展。</w:t>
      </w:r>
    </w:p>
    <w:p w14:paraId="32EC2C29">
      <w:pPr>
        <w:tabs>
          <w:tab w:val="left" w:pos="5400"/>
        </w:tabs>
        <w:spacing w:line="360" w:lineRule="auto"/>
        <w:rPr>
          <w:rFonts w:ascii="宋体" w:hAnsi="宋体"/>
          <w:b/>
          <w:bCs/>
        </w:rPr>
      </w:pPr>
      <w:r>
        <w:rPr>
          <w:rFonts w:hint="eastAsia" w:ascii="宋体" w:hAnsi="宋体"/>
          <w:b/>
          <w:bCs/>
        </w:rPr>
        <w:t>（2）加强互动沟通，提高协同效率</w:t>
      </w:r>
    </w:p>
    <w:p w14:paraId="2966F8A3">
      <w:pPr>
        <w:spacing w:line="360" w:lineRule="auto"/>
        <w:ind w:firstLine="480" w:firstLineChars="200"/>
      </w:pPr>
      <w:r>
        <w:rPr>
          <w:rFonts w:hint="eastAsia"/>
        </w:rPr>
        <w:t>公司通过监事会、高层互访和各种分析会、研讨会等形式，实现了与各供应商发展策略、企业文化，到业务信息的有效沟通。</w:t>
      </w:r>
    </w:p>
    <w:p w14:paraId="6E5D5396">
      <w:pPr>
        <w:spacing w:line="360" w:lineRule="auto"/>
        <w:ind w:firstLine="480" w:firstLineChars="200"/>
      </w:pPr>
      <w:r>
        <w:rPr>
          <w:rFonts w:hint="eastAsia"/>
        </w:rPr>
        <w:t>构建了信息管理平台，实现采购订单、质量信息反馈、库存查询等信息即时传送和共享，提高协同效率，保证了公司对市场变化的快速反应能力，缩短采购周期，降低采购成本，提高服务效率。</w:t>
      </w:r>
      <w:bookmarkStart w:id="47" w:name="_Toc339617478"/>
    </w:p>
    <w:p w14:paraId="0D5CA18C">
      <w:pPr>
        <w:spacing w:line="360" w:lineRule="auto"/>
        <w:ind w:firstLine="480" w:firstLineChars="200"/>
      </w:pPr>
    </w:p>
    <w:p w14:paraId="35AE3BAC">
      <w:pPr>
        <w:spacing w:line="360" w:lineRule="auto"/>
        <w:ind w:firstLine="480" w:firstLineChars="200"/>
      </w:pPr>
    </w:p>
    <w:p w14:paraId="7833F7B8">
      <w:pPr>
        <w:spacing w:line="360" w:lineRule="auto"/>
        <w:ind w:firstLine="480" w:firstLineChars="200"/>
      </w:pPr>
    </w:p>
    <w:p w14:paraId="7CB33D8F">
      <w:pPr>
        <w:spacing w:line="360" w:lineRule="auto"/>
        <w:ind w:firstLine="480" w:firstLineChars="200"/>
      </w:pPr>
    </w:p>
    <w:p w14:paraId="034D9090"/>
    <w:bookmarkEnd w:id="47"/>
    <w:p w14:paraId="51AF904B">
      <w:pPr>
        <w:pStyle w:val="3"/>
        <w:jc w:val="center"/>
      </w:pPr>
      <w:bookmarkStart w:id="48" w:name="_Toc99720432"/>
      <w:r>
        <w:t>4.</w:t>
      </w:r>
      <w:r>
        <w:rPr>
          <w:rFonts w:hint="eastAsia"/>
        </w:rPr>
        <w:t>5过程管理</w:t>
      </w:r>
      <w:bookmarkEnd w:id="48"/>
    </w:p>
    <w:p w14:paraId="573F7EFD">
      <w:pPr>
        <w:pStyle w:val="3"/>
        <w:ind w:firstLine="480" w:firstLineChars="200"/>
        <w:rPr>
          <w:rFonts w:ascii="Times New Roman" w:hAnsi="Times New Roman"/>
          <w:b w:val="0"/>
          <w:bCs w:val="0"/>
          <w:sz w:val="24"/>
        </w:rPr>
      </w:pPr>
      <w:bookmarkStart w:id="49" w:name="_Toc99720433"/>
      <w:r>
        <w:rPr>
          <w:rFonts w:hint="eastAsia" w:ascii="Times New Roman" w:hAnsi="Times New Roman"/>
          <w:b w:val="0"/>
          <w:bCs w:val="0"/>
          <w:sz w:val="24"/>
        </w:rPr>
        <w:t>公司根据战略目标，组织相关部门，聘请行业专家，识别出价值创造过程、关键支持过程及过程要求，建立了一套完整的管理体系。基于为顾客、员工、股东、供方乃至社会创造价值的理念，梳理产品和服务实现的所有过程。</w:t>
      </w:r>
      <w:bookmarkEnd w:id="49"/>
    </w:p>
    <w:p w14:paraId="39F7966A">
      <w:pPr>
        <w:pStyle w:val="32"/>
        <w:spacing w:before="312" w:beforeLines="100" w:line="460" w:lineRule="exact"/>
        <w:rPr>
          <w:rFonts w:ascii="Times New Roman" w:eastAsia="宋体"/>
        </w:rPr>
      </w:pPr>
      <w:bookmarkStart w:id="50" w:name="_Toc99720434"/>
      <w:r>
        <w:rPr>
          <w:rFonts w:hint="eastAsia" w:ascii="Times New Roman" w:eastAsia="宋体"/>
        </w:rPr>
        <w:t>4.5.1总则</w:t>
      </w:r>
      <w:bookmarkEnd w:id="50"/>
    </w:p>
    <w:p w14:paraId="6A522690">
      <w:pPr>
        <w:pStyle w:val="4"/>
        <w:ind w:firstLine="480" w:firstLineChars="200"/>
        <w:rPr>
          <w:b w:val="0"/>
          <w:bCs w:val="0"/>
          <w:sz w:val="24"/>
        </w:rPr>
      </w:pPr>
      <w:bookmarkStart w:id="51" w:name="_Toc99720435"/>
      <w:r>
        <w:rPr>
          <w:rFonts w:hint="eastAsia"/>
          <w:b w:val="0"/>
          <w:bCs w:val="0"/>
          <w:sz w:val="24"/>
        </w:rPr>
        <w:t>公司运用过程方法，设计简洁、科学的流程。配置优质资源，保证过程的有效实施。通过对过程需求识别、确认、设计、控制、测量分析以及改进等活动，不断提高过程效率，为顾客和相关方创造价值，以顾客和市场为中心，始于顾客，终于顾客，确立了公司的价值创造过程和支持过程。泰然构筑了“科学规范、反应敏捷、实施高效、改进创新”的过程管理体系，实现公司战略目标。见图4.5.1-1过程管理框架图。</w:t>
      </w:r>
      <w:bookmarkEnd w:id="51"/>
    </w:p>
    <w:p w14:paraId="6C9E5C25">
      <w:pPr>
        <w:spacing w:line="360" w:lineRule="auto"/>
        <w:jc w:val="center"/>
        <w:rPr>
          <w:rFonts w:ascii="宋体" w:hAnsi="宋体"/>
          <w:bCs/>
          <w:color w:val="FF0000"/>
          <w:sz w:val="21"/>
          <w:szCs w:val="21"/>
        </w:rPr>
      </w:pPr>
      <w:r>
        <w:rPr>
          <w:b/>
          <w:bCs/>
          <w:color w:val="000000"/>
          <w:sz w:val="28"/>
          <w:szCs w:val="28"/>
        </w:rPr>
        <mc:AlternateContent>
          <mc:Choice Requires="wps">
            <w:drawing>
              <wp:anchor distT="0" distB="0" distL="114300" distR="114300" simplePos="0" relativeHeight="251663360" behindDoc="0" locked="0" layoutInCell="1" allowOverlap="1">
                <wp:simplePos x="0" y="0"/>
                <wp:positionH relativeFrom="column">
                  <wp:posOffset>571500</wp:posOffset>
                </wp:positionH>
                <wp:positionV relativeFrom="paragraph">
                  <wp:posOffset>297180</wp:posOffset>
                </wp:positionV>
                <wp:extent cx="4457700" cy="4288790"/>
                <wp:effectExtent l="9525" t="9525" r="9525" b="26035"/>
                <wp:wrapNone/>
                <wp:docPr id="61" name="矩形 61"/>
                <wp:cNvGraphicFramePr/>
                <a:graphic xmlns:a="http://schemas.openxmlformats.org/drawingml/2006/main">
                  <a:graphicData uri="http://schemas.microsoft.com/office/word/2010/wordprocessingShape">
                    <wps:wsp>
                      <wps:cNvSpPr/>
                      <wps:spPr>
                        <a:xfrm>
                          <a:off x="0" y="0"/>
                          <a:ext cx="4457700" cy="4288790"/>
                        </a:xfrm>
                        <a:prstGeom prst="rect">
                          <a:avLst/>
                        </a:prstGeom>
                        <a:solidFill>
                          <a:srgbClr val="FFFFFF"/>
                        </a:solidFill>
                        <a:ln w="19050" cap="flat" cmpd="sng">
                          <a:solidFill>
                            <a:srgbClr val="000000"/>
                          </a:solidFill>
                          <a:prstDash val="dash"/>
                          <a:miter/>
                          <a:headEnd type="none" w="med" len="med"/>
                          <a:tailEnd type="none" w="med" len="med"/>
                        </a:ln>
                        <a:effectLst/>
                      </wps:spPr>
                      <wps:txbx>
                        <w:txbxContent>
                          <w:p w14:paraId="07854CC7"/>
                        </w:txbxContent>
                      </wps:txbx>
                      <wps:bodyPr wrap="square" upright="1"/>
                    </wps:wsp>
                  </a:graphicData>
                </a:graphic>
              </wp:anchor>
            </w:drawing>
          </mc:Choice>
          <mc:Fallback>
            <w:pict>
              <v:rect id="_x0000_s1026" o:spid="_x0000_s1026" o:spt="1" style="position:absolute;left:0pt;margin-left:45pt;margin-top:23.4pt;height:337.7pt;width:351pt;z-index:251663360;mso-width-relative:page;mso-height-relative:page;" fillcolor="#FFFFFF" filled="t" stroked="t" coordsize="21600,21600" o:gfxdata="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BsvigNkAAAAJAQAADwAA&#10;AAAAAAABACAAAAAiAAAAZHJzL2Rvd25yZXYueG1sUEsBAhQAFAAAAAgAh07iQMGvDKoVAgAASAQA&#10;AA4AAAAAAAAAAQAgAAAAKAEAAGRycy9lMm9Eb2MueG1sUEsFBgAAAAAGAAYAWQEAAK8FAAAAAA==&#10;">
                <v:fill on="t" focussize="0,0"/>
                <v:stroke weight="1.5pt" color="#000000" joinstyle="miter" dashstyle="dash"/>
                <v:imagedata o:title=""/>
                <o:lock v:ext="edit" aspectratio="f"/>
                <v:textbox>
                  <w:txbxContent>
                    <w:p w14:paraId="07854CC7"/>
                  </w:txbxContent>
                </v:textbox>
              </v:rect>
            </w:pict>
          </mc:Fallback>
        </mc:AlternateContent>
      </w:r>
      <w:r>
        <w:rPr>
          <w:rFonts w:hint="eastAsia" w:ascii="黑体" w:hAnsi="黑体" w:eastAsia="黑体" w:cs="黑体"/>
          <w:b/>
          <w:sz w:val="21"/>
          <w:szCs w:val="21"/>
        </w:rPr>
        <w:t>图4.5.1-1过程管理框架图</w:t>
      </w:r>
    </w:p>
    <w:p w14:paraId="1241DE9F">
      <w:pPr>
        <w:spacing w:line="360" w:lineRule="auto"/>
        <w:rPr>
          <w:b/>
          <w:bCs/>
          <w:sz w:val="28"/>
          <w:szCs w:val="28"/>
        </w:rPr>
      </w:pPr>
      <w:r>
        <w:rPr>
          <w:b/>
          <w:bCs/>
          <w:sz w:val="28"/>
          <w:szCs w:val="28"/>
        </w:rPr>
        <mc:AlternateContent>
          <mc:Choice Requires="wps">
            <w:drawing>
              <wp:anchor distT="0" distB="0" distL="114300" distR="114300" simplePos="0" relativeHeight="251664384" behindDoc="0" locked="0" layoutInCell="1" allowOverlap="1">
                <wp:simplePos x="0" y="0"/>
                <wp:positionH relativeFrom="column">
                  <wp:posOffset>914400</wp:posOffset>
                </wp:positionH>
                <wp:positionV relativeFrom="paragraph">
                  <wp:posOffset>38100</wp:posOffset>
                </wp:positionV>
                <wp:extent cx="4114800" cy="1981200"/>
                <wp:effectExtent l="14605" t="14605" r="23495" b="23495"/>
                <wp:wrapNone/>
                <wp:docPr id="62" name="矩形 62"/>
                <wp:cNvGraphicFramePr/>
                <a:graphic xmlns:a="http://schemas.openxmlformats.org/drawingml/2006/main">
                  <a:graphicData uri="http://schemas.microsoft.com/office/word/2010/wordprocessingShape">
                    <wps:wsp>
                      <wps:cNvSpPr/>
                      <wps:spPr>
                        <a:xfrm>
                          <a:off x="0" y="0"/>
                          <a:ext cx="4114800" cy="1981200"/>
                        </a:xfrm>
                        <a:prstGeom prst="rect">
                          <a:avLst/>
                        </a:prstGeom>
                        <a:solidFill>
                          <a:srgbClr val="FFFFFF"/>
                        </a:solidFill>
                        <a:ln w="28575" cap="flat" cmpd="sng">
                          <a:solidFill>
                            <a:srgbClr val="000000"/>
                          </a:solidFill>
                          <a:prstDash val="solid"/>
                          <a:miter/>
                          <a:headEnd type="none" w="med" len="med"/>
                          <a:tailEnd type="none" w="med" len="med"/>
                        </a:ln>
                        <a:effectLst/>
                      </wps:spPr>
                      <wps:txbx>
                        <w:txbxContent>
                          <w:p w14:paraId="4D02C10B"/>
                        </w:txbxContent>
                      </wps:txbx>
                      <wps:bodyPr wrap="square" upright="1"/>
                    </wps:wsp>
                  </a:graphicData>
                </a:graphic>
              </wp:anchor>
            </w:drawing>
          </mc:Choice>
          <mc:Fallback>
            <w:pict>
              <v:rect id="_x0000_s1026" o:spid="_x0000_s1026" o:spt="1" style="position:absolute;left:0pt;margin-left:72pt;margin-top:3pt;height:156pt;width:324pt;z-index:251664384;mso-width-relative:page;mso-height-relative:page;" fillcolor="#FFFFFF" filled="t" stroked="t" coordsize="21600,21600" o:gfxdata="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ectlq2AAAAAkBAAAPAAAAAAAA&#10;AAEAIAAAACIAAABkcnMvZG93bnJldi54bWxQSwECFAAUAAAACACHTuJAYpLEERICAABJBAAADgAA&#10;AAAAAAABACAAAAAnAQAAZHJzL2Uyb0RvYy54bWxQSwUGAAAAAAYABgBZAQAAqwUAAAAA&#10;">
                <v:fill on="t" focussize="0,0"/>
                <v:stroke weight="2.25pt" color="#000000" joinstyle="miter"/>
                <v:imagedata o:title=""/>
                <o:lock v:ext="edit" aspectratio="f"/>
                <v:textbox>
                  <w:txbxContent>
                    <w:p w14:paraId="4D02C10B"/>
                  </w:txbxContent>
                </v:textbox>
              </v:rect>
            </w:pict>
          </mc:Fallback>
        </mc:AlternateContent>
      </w:r>
      <w:r>
        <w:rPr>
          <w:b/>
          <w:bCs/>
          <w:sz w:val="28"/>
          <w:szCs w:val="28"/>
        </w:rPr>
        <mc:AlternateContent>
          <mc:Choice Requires="wps">
            <w:drawing>
              <wp:anchor distT="0" distB="0" distL="114300" distR="114300" simplePos="0" relativeHeight="251665408" behindDoc="0" locked="0" layoutInCell="1" allowOverlap="1">
                <wp:simplePos x="0" y="0"/>
                <wp:positionH relativeFrom="column">
                  <wp:posOffset>-114300</wp:posOffset>
                </wp:positionH>
                <wp:positionV relativeFrom="paragraph">
                  <wp:posOffset>99060</wp:posOffset>
                </wp:positionV>
                <wp:extent cx="571500" cy="3863340"/>
                <wp:effectExtent l="4445" t="4445" r="14605" b="18415"/>
                <wp:wrapNone/>
                <wp:docPr id="63" name="文本框 63"/>
                <wp:cNvGraphicFramePr/>
                <a:graphic xmlns:a="http://schemas.openxmlformats.org/drawingml/2006/main">
                  <a:graphicData uri="http://schemas.microsoft.com/office/word/2010/wordprocessingShape">
                    <wps:wsp>
                      <wps:cNvSpPr txBox="1"/>
                      <wps:spPr>
                        <a:xfrm>
                          <a:off x="0" y="0"/>
                          <a:ext cx="571500" cy="3863340"/>
                        </a:xfrm>
                        <a:prstGeom prst="rect">
                          <a:avLst/>
                        </a:prstGeom>
                        <a:solidFill>
                          <a:srgbClr val="00FFFF"/>
                        </a:solidFill>
                        <a:ln w="9525" cap="flat" cmpd="sng">
                          <a:solidFill>
                            <a:srgbClr val="000000"/>
                          </a:solidFill>
                          <a:prstDash val="solid"/>
                          <a:miter/>
                          <a:headEnd type="none" w="med" len="med"/>
                          <a:tailEnd type="none" w="med" len="med"/>
                        </a:ln>
                        <a:effectLst/>
                      </wps:spPr>
                      <wps:txbx>
                        <w:txbxContent>
                          <w:p w14:paraId="12C6C861">
                            <w:pPr>
                              <w:jc w:val="center"/>
                              <w:rPr>
                                <w:b/>
                                <w:bCs/>
                              </w:rPr>
                            </w:pPr>
                            <w:r>
                              <w:rPr>
                                <w:rFonts w:hint="eastAsia"/>
                                <w:b/>
                                <w:bCs/>
                              </w:rPr>
                              <w:t>产品、行业、相关方等信息的收集分析及战略的展开</w:t>
                            </w:r>
                          </w:p>
                        </w:txbxContent>
                      </wps:txbx>
                      <wps:bodyPr vert="eaVert" wrap="square" upright="1"/>
                    </wps:wsp>
                  </a:graphicData>
                </a:graphic>
              </wp:anchor>
            </w:drawing>
          </mc:Choice>
          <mc:Fallback>
            <w:pict>
              <v:shape id="_x0000_s1026" o:spid="_x0000_s1026" o:spt="202" type="#_x0000_t202" style="position:absolute;left:0pt;margin-left:-9pt;margin-top:7.8pt;height:304.2pt;width:45pt;z-index:251665408;mso-width-relative:page;mso-height-relative:page;" fillcolor="#00FFFF" filled="t" stroked="t" coordsize="21600,21600" o:gfxdata="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NwitRnXAAAACQEAAA8AAAAAAAAAAQAgAAAAIgAAAGRycy9kb3ducmV2LnhtbFBLAQIUABQAAAAI&#10;AIdO4kDXg0eYJwIAAGIEAAAOAAAAAAAAAAEAIAAAACYBAABkcnMvZTJvRG9jLnhtbFBLBQYAAAAA&#10;BgAGAFkBAAC/BQAAAAA=&#10;">
                <v:fill on="t" focussize="0,0"/>
                <v:stroke color="#000000" joinstyle="miter"/>
                <v:imagedata o:title=""/>
                <o:lock v:ext="edit" aspectratio="f"/>
                <v:textbox style="layout-flow:vertical-ideographic;">
                  <w:txbxContent>
                    <w:p w14:paraId="12C6C861">
                      <w:pPr>
                        <w:jc w:val="center"/>
                        <w:rPr>
                          <w:b/>
                          <w:bCs/>
                        </w:rPr>
                      </w:pPr>
                      <w:r>
                        <w:rPr>
                          <w:rFonts w:hint="eastAsia"/>
                          <w:b/>
                          <w:bCs/>
                        </w:rPr>
                        <w:t>产品、行业、相关方等信息的收集分析及战略的展开</w:t>
                      </w:r>
                    </w:p>
                  </w:txbxContent>
                </v:textbox>
              </v:shape>
            </w:pict>
          </mc:Fallback>
        </mc:AlternateContent>
      </w:r>
      <w:r>
        <w:rPr>
          <w:b/>
          <w:bCs/>
          <w:sz w:val="28"/>
          <w:szCs w:val="28"/>
        </w:rPr>
        <mc:AlternateContent>
          <mc:Choice Requires="wps">
            <w:drawing>
              <wp:anchor distT="0" distB="0" distL="114300" distR="114300" simplePos="0" relativeHeight="251666432" behindDoc="0" locked="0" layoutInCell="1" allowOverlap="1">
                <wp:simplePos x="0" y="0"/>
                <wp:positionH relativeFrom="column">
                  <wp:posOffset>1028700</wp:posOffset>
                </wp:positionH>
                <wp:positionV relativeFrom="paragraph">
                  <wp:posOffset>99060</wp:posOffset>
                </wp:positionV>
                <wp:extent cx="4000500" cy="1872615"/>
                <wp:effectExtent l="4445" t="4445" r="14605" b="8890"/>
                <wp:wrapNone/>
                <wp:docPr id="64" name="五边形 64"/>
                <wp:cNvGraphicFramePr/>
                <a:graphic xmlns:a="http://schemas.openxmlformats.org/drawingml/2006/main">
                  <a:graphicData uri="http://schemas.microsoft.com/office/word/2010/wordprocessingShape">
                    <wps:wsp>
                      <wps:cNvSpPr/>
                      <wps:spPr>
                        <a:xfrm>
                          <a:off x="0" y="0"/>
                          <a:ext cx="4000500" cy="1872615"/>
                        </a:xfrm>
                        <a:prstGeom prst="homePlate">
                          <a:avLst>
                            <a:gd name="adj" fmla="val 53407"/>
                          </a:avLst>
                        </a:prstGeom>
                        <a:solidFill>
                          <a:srgbClr val="00FF00"/>
                        </a:solidFill>
                        <a:ln w="9525" cap="flat" cmpd="sng">
                          <a:solidFill>
                            <a:srgbClr val="000000"/>
                          </a:solidFill>
                          <a:prstDash val="sysDot"/>
                          <a:miter/>
                          <a:headEnd type="none" w="med" len="med"/>
                          <a:tailEnd type="none" w="med" len="med"/>
                        </a:ln>
                        <a:effectLst/>
                      </wps:spPr>
                      <wps:txbx>
                        <w:txbxContent>
                          <w:p w14:paraId="3517E484"/>
                        </w:txbxContent>
                      </wps:txbx>
                      <wps:bodyPr wrap="square" upright="1"/>
                    </wps:wsp>
                  </a:graphicData>
                </a:graphic>
              </wp:anchor>
            </w:drawing>
          </mc:Choice>
          <mc:Fallback>
            <w:pict>
              <v:shape id="_x0000_s1026" o:spid="_x0000_s1026" o:spt="15" type="#_x0000_t15" style="position:absolute;left:0pt;margin-left:81pt;margin-top:7.8pt;height:147.45pt;width:315pt;z-index:251666432;mso-width-relative:page;mso-height-relative:page;" fillcolor="#00FF00" filled="t" stroked="t" coordsize="21600,21600" o:gfxdata="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EOUO61wAAAAoBAAAPAAAAAAAAAAEAIAAAACIAAABkcnMvZG93bnJl&#10;di54bWxQSwECFAAUAAAACACHTuJAbGnmhzcCAAB9BAAADgAAAAAAAAABACAAAAAmAQAAZHJzL2Uy&#10;b0RvYy54bWxQSwUGAAAAAAYABgBZAQAAzwUAAAAA&#10;" adj="16201">
                <v:fill on="t" focussize="0,0"/>
                <v:stroke color="#000000" joinstyle="miter" dashstyle="1 1"/>
                <v:imagedata o:title=""/>
                <o:lock v:ext="edit" aspectratio="f"/>
                <v:textbox>
                  <w:txbxContent>
                    <w:p w14:paraId="3517E484"/>
                  </w:txbxContent>
                </v:textbox>
              </v:shape>
            </w:pict>
          </mc:Fallback>
        </mc:AlternateContent>
      </w:r>
      <w:r>
        <w:rPr>
          <w:b/>
          <w:bCs/>
          <w:sz w:val="28"/>
          <w:szCs w:val="28"/>
        </w:rPr>
        <mc:AlternateContent>
          <mc:Choice Requires="wps">
            <w:drawing>
              <wp:anchor distT="0" distB="0" distL="114300" distR="114300" simplePos="0" relativeHeight="251667456" behindDoc="0" locked="0" layoutInCell="1" allowOverlap="1">
                <wp:simplePos x="0" y="0"/>
                <wp:positionH relativeFrom="column">
                  <wp:posOffset>5372100</wp:posOffset>
                </wp:positionH>
                <wp:positionV relativeFrom="paragraph">
                  <wp:posOffset>0</wp:posOffset>
                </wp:positionV>
                <wp:extent cx="571500" cy="4259580"/>
                <wp:effectExtent l="4445" t="5080" r="14605" b="21590"/>
                <wp:wrapNone/>
                <wp:docPr id="65" name="文本框 65"/>
                <wp:cNvGraphicFramePr/>
                <a:graphic xmlns:a="http://schemas.openxmlformats.org/drawingml/2006/main">
                  <a:graphicData uri="http://schemas.microsoft.com/office/word/2010/wordprocessingShape">
                    <wps:wsp>
                      <wps:cNvSpPr txBox="1"/>
                      <wps:spPr>
                        <a:xfrm>
                          <a:off x="0" y="0"/>
                          <a:ext cx="571500" cy="4259580"/>
                        </a:xfrm>
                        <a:prstGeom prst="rect">
                          <a:avLst/>
                        </a:prstGeom>
                        <a:solidFill>
                          <a:srgbClr val="FFCC00"/>
                        </a:solidFill>
                        <a:ln w="9525" cap="flat" cmpd="sng">
                          <a:solidFill>
                            <a:srgbClr val="000000"/>
                          </a:solidFill>
                          <a:prstDash val="solid"/>
                          <a:miter/>
                          <a:headEnd type="none" w="med" len="med"/>
                          <a:tailEnd type="none" w="med" len="med"/>
                        </a:ln>
                        <a:effectLst/>
                      </wps:spPr>
                      <wps:txbx>
                        <w:txbxContent>
                          <w:p w14:paraId="3E662E62">
                            <w:pPr>
                              <w:jc w:val="center"/>
                              <w:rPr>
                                <w:b/>
                                <w:bCs/>
                                <w:sz w:val="28"/>
                              </w:rPr>
                            </w:pPr>
                            <w:r>
                              <w:rPr>
                                <w:rFonts w:hint="eastAsia"/>
                                <w:b/>
                                <w:bCs/>
                                <w:sz w:val="28"/>
                              </w:rPr>
                              <w:t>为顾客及其他相关方创造价值并实现公司的目标</w:t>
                            </w:r>
                          </w:p>
                        </w:txbxContent>
                      </wps:txbx>
                      <wps:bodyPr vert="eaVert" wrap="square" upright="1"/>
                    </wps:wsp>
                  </a:graphicData>
                </a:graphic>
              </wp:anchor>
            </w:drawing>
          </mc:Choice>
          <mc:Fallback>
            <w:pict>
              <v:shape id="_x0000_s1026" o:spid="_x0000_s1026" o:spt="202" type="#_x0000_t202" style="position:absolute;left:0pt;margin-left:423pt;margin-top:0pt;height:335.4pt;width:45pt;z-index:251667456;mso-width-relative:page;mso-height-relative:page;" fillcolor="#FFCC00" filled="t" stroked="t" coordsize="21600,21600" o:gfxdata="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cWYxd9YAAAAIAQAADwAAAAAAAAABACAAAAAiAAAAZHJzL2Rvd25yZXYueG1sUEsBAhQAFAAAAAgA&#10;h07iQKIBQkMnAgAAYgQAAA4AAAAAAAAAAQAgAAAAJQEAAGRycy9lMm9Eb2MueG1sUEsFBgAAAAAG&#10;AAYAWQEAAL4FAAAAAA==&#10;">
                <v:fill on="t" focussize="0,0"/>
                <v:stroke color="#000000" joinstyle="miter"/>
                <v:imagedata o:title=""/>
                <o:lock v:ext="edit" aspectratio="f"/>
                <v:textbox style="layout-flow:vertical-ideographic;">
                  <w:txbxContent>
                    <w:p w14:paraId="3E662E62">
                      <w:pPr>
                        <w:jc w:val="center"/>
                        <w:rPr>
                          <w:b/>
                          <w:bCs/>
                          <w:sz w:val="28"/>
                        </w:rPr>
                      </w:pPr>
                      <w:r>
                        <w:rPr>
                          <w:rFonts w:hint="eastAsia"/>
                          <w:b/>
                          <w:bCs/>
                          <w:sz w:val="28"/>
                        </w:rPr>
                        <w:t>为顾客及其他相关方创造价值并实现公司的目标</w:t>
                      </w:r>
                    </w:p>
                  </w:txbxContent>
                </v:textbox>
              </v:shape>
            </w:pict>
          </mc:Fallback>
        </mc:AlternateContent>
      </w:r>
      <w:r>
        <w:rPr>
          <w:b/>
          <w:bCs/>
          <w:sz w:val="28"/>
          <w:szCs w:val="28"/>
        </w:rPr>
        <mc:AlternateContent>
          <mc:Choice Requires="wps">
            <w:drawing>
              <wp:anchor distT="0" distB="0" distL="114300" distR="114300" simplePos="0" relativeHeight="251668480" behindDoc="0" locked="0" layoutInCell="1" allowOverlap="1">
                <wp:simplePos x="0" y="0"/>
                <wp:positionH relativeFrom="column">
                  <wp:posOffset>1600200</wp:posOffset>
                </wp:positionH>
                <wp:positionV relativeFrom="paragraph">
                  <wp:posOffset>198120</wp:posOffset>
                </wp:positionV>
                <wp:extent cx="2400300" cy="297180"/>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2400300" cy="297180"/>
                        </a:xfrm>
                        <a:prstGeom prst="rect">
                          <a:avLst/>
                        </a:prstGeom>
                        <a:noFill/>
                        <a:ln>
                          <a:noFill/>
                        </a:ln>
                        <a:effectLst/>
                      </wps:spPr>
                      <wps:txbx>
                        <w:txbxContent>
                          <w:p w14:paraId="48C1B973">
                            <w:pPr>
                              <w:jc w:val="center"/>
                              <w:rPr>
                                <w:b/>
                                <w:bCs/>
                                <w:color w:val="993366"/>
                              </w:rPr>
                            </w:pPr>
                            <w:r>
                              <w:rPr>
                                <w:rFonts w:hint="eastAsia"/>
                                <w:b/>
                                <w:bCs/>
                                <w:color w:val="993366"/>
                              </w:rPr>
                              <w:t>价 值 创 造 过 程</w:t>
                            </w:r>
                          </w:p>
                        </w:txbxContent>
                      </wps:txbx>
                      <wps:bodyPr wrap="square" upright="1"/>
                    </wps:wsp>
                  </a:graphicData>
                </a:graphic>
              </wp:anchor>
            </w:drawing>
          </mc:Choice>
          <mc:Fallback>
            <w:pict>
              <v:shape id="_x0000_s1026" o:spid="_x0000_s1026" o:spt="202" type="#_x0000_t202" style="position:absolute;left:0pt;margin-left:126pt;margin-top:15.6pt;height:23.4pt;width:189pt;z-index:251668480;mso-width-relative:page;mso-height-relative:page;" filled="f" stroked="f" coordsize="21600,21600" o:gfxdata="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OfQUdcAAAAJAQAADwAAAAAAAAABACAAAAAiAAAAZHJzL2Rvd25yZXYueG1sUEsB&#10;AhQAFAAAAAgAh07iQL5sGuu9AQAAbAMAAA4AAAAAAAAAAQAgAAAAJgEAAGRycy9lMm9Eb2MueG1s&#10;UEsFBgAAAAAGAAYAWQEAAFUFAAAAAA==&#10;">
                <v:fill on="f" focussize="0,0"/>
                <v:stroke on="f"/>
                <v:imagedata o:title=""/>
                <o:lock v:ext="edit" aspectratio="f"/>
                <v:textbox>
                  <w:txbxContent>
                    <w:p w14:paraId="48C1B973">
                      <w:pPr>
                        <w:jc w:val="center"/>
                        <w:rPr>
                          <w:b/>
                          <w:bCs/>
                          <w:color w:val="993366"/>
                        </w:rPr>
                      </w:pPr>
                      <w:r>
                        <w:rPr>
                          <w:rFonts w:hint="eastAsia"/>
                          <w:b/>
                          <w:bCs/>
                          <w:color w:val="993366"/>
                        </w:rPr>
                        <w:t>价 值 创 造 过 程</w:t>
                      </w:r>
                    </w:p>
                  </w:txbxContent>
                </v:textbox>
              </v:shape>
            </w:pict>
          </mc:Fallback>
        </mc:AlternateContent>
      </w:r>
    </w:p>
    <w:p w14:paraId="040631E3">
      <w:pPr>
        <w:spacing w:line="360" w:lineRule="auto"/>
        <w:jc w:val="center"/>
        <w:rPr>
          <w:b/>
          <w:bCs/>
          <w:sz w:val="28"/>
          <w:szCs w:val="28"/>
        </w:rPr>
      </w:pPr>
      <w:r>
        <w:rPr>
          <w:b/>
          <w:bCs/>
          <w:sz w:val="28"/>
          <w:szCs w:val="28"/>
        </w:rPr>
        <mc:AlternateContent>
          <mc:Choice Requires="wps">
            <w:drawing>
              <wp:anchor distT="0" distB="0" distL="114300" distR="114300" simplePos="0" relativeHeight="251669504" behindDoc="0" locked="0" layoutInCell="1" allowOverlap="1">
                <wp:simplePos x="0" y="0"/>
                <wp:positionH relativeFrom="column">
                  <wp:posOffset>2057400</wp:posOffset>
                </wp:positionH>
                <wp:positionV relativeFrom="paragraph">
                  <wp:posOffset>51435</wp:posOffset>
                </wp:positionV>
                <wp:extent cx="457200" cy="1485900"/>
                <wp:effectExtent l="4445" t="4445" r="14605" b="14605"/>
                <wp:wrapNone/>
                <wp:docPr id="67" name="矩形 67"/>
                <wp:cNvGraphicFramePr/>
                <a:graphic xmlns:a="http://schemas.openxmlformats.org/drawingml/2006/main">
                  <a:graphicData uri="http://schemas.microsoft.com/office/word/2010/wordprocessingShape">
                    <wps:wsp>
                      <wps:cNvSpPr/>
                      <wps:spPr>
                        <a:xfrm>
                          <a:off x="0" y="0"/>
                          <a:ext cx="457200" cy="14859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918DE7D">
                            <w:pPr>
                              <w:pStyle w:val="9"/>
                            </w:pPr>
                            <w:r>
                              <w:rPr>
                                <w:rFonts w:hint="eastAsia"/>
                              </w:rPr>
                              <w:t>供应链管理过程</w:t>
                            </w:r>
                          </w:p>
                        </w:txbxContent>
                      </wps:txbx>
                      <wps:bodyPr wrap="square" upright="1"/>
                    </wps:wsp>
                  </a:graphicData>
                </a:graphic>
              </wp:anchor>
            </w:drawing>
          </mc:Choice>
          <mc:Fallback>
            <w:pict>
              <v:rect id="_x0000_s1026" o:spid="_x0000_s1026" o:spt="1" style="position:absolute;left:0pt;margin-left:162pt;margin-top:4.05pt;height:117pt;width:36pt;z-index:251669504;mso-width-relative:page;mso-height-relative:page;" fillcolor="#FFFFFF" filled="t" stroked="t" coordsize="21600,21600" o:gfxdata="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JBdz5jXAAAACQEAAA8AAAAAAAAAAQAg&#10;AAAAIgAAAGRycy9kb3ducmV2LnhtbFBLAQIUABQAAAAIAIdO4kB5YmHvDwIAAEcEAAAOAAAAAAAA&#10;AAEAIAAAACYBAABkcnMvZTJvRG9jLnhtbFBLBQYAAAAABgAGAFkBAACnBQAAAAA=&#10;">
                <v:fill on="t" focussize="0,0"/>
                <v:stroke color="#000000" joinstyle="miter"/>
                <v:imagedata o:title=""/>
                <o:lock v:ext="edit" aspectratio="f"/>
                <v:textbox>
                  <w:txbxContent>
                    <w:p w14:paraId="1918DE7D">
                      <w:pPr>
                        <w:pStyle w:val="9"/>
                      </w:pPr>
                      <w:r>
                        <w:rPr>
                          <w:rFonts w:hint="eastAsia"/>
                        </w:rPr>
                        <w:t>供应链管理过程</w:t>
                      </w:r>
                    </w:p>
                  </w:txbxContent>
                </v:textbox>
              </v:rect>
            </w:pict>
          </mc:Fallback>
        </mc:AlternateContent>
      </w:r>
      <w:r>
        <w:rPr>
          <w:b/>
          <w:bCs/>
          <w:sz w:val="28"/>
          <w:szCs w:val="28"/>
        </w:rPr>
        <mc:AlternateContent>
          <mc:Choice Requires="wps">
            <w:drawing>
              <wp:anchor distT="0" distB="0" distL="114300" distR="114300" simplePos="0" relativeHeight="251670528" behindDoc="0" locked="0" layoutInCell="1" allowOverlap="1">
                <wp:simplePos x="0" y="0"/>
                <wp:positionH relativeFrom="column">
                  <wp:posOffset>1143000</wp:posOffset>
                </wp:positionH>
                <wp:positionV relativeFrom="paragraph">
                  <wp:posOffset>32385</wp:posOffset>
                </wp:positionV>
                <wp:extent cx="571500" cy="1485900"/>
                <wp:effectExtent l="4445" t="4445" r="14605" b="14605"/>
                <wp:wrapNone/>
                <wp:docPr id="68" name="矩形 68"/>
                <wp:cNvGraphicFramePr/>
                <a:graphic xmlns:a="http://schemas.openxmlformats.org/drawingml/2006/main">
                  <a:graphicData uri="http://schemas.microsoft.com/office/word/2010/wordprocessingShape">
                    <wps:wsp>
                      <wps:cNvSpPr/>
                      <wps:spPr>
                        <a:xfrm>
                          <a:off x="0" y="0"/>
                          <a:ext cx="571500" cy="14859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16E64BE">
                            <w:pPr>
                              <w:pStyle w:val="9"/>
                            </w:pPr>
                          </w:p>
                          <w:p w14:paraId="131B9F13">
                            <w:pPr>
                              <w:pStyle w:val="9"/>
                            </w:pPr>
                            <w:r>
                              <w:rPr>
                                <w:rFonts w:hint="eastAsia"/>
                              </w:rPr>
                              <w:t>产品研发与设计过程</w:t>
                            </w:r>
                          </w:p>
                        </w:txbxContent>
                      </wps:txbx>
                      <wps:bodyPr wrap="square" upright="1"/>
                    </wps:wsp>
                  </a:graphicData>
                </a:graphic>
              </wp:anchor>
            </w:drawing>
          </mc:Choice>
          <mc:Fallback>
            <w:pict>
              <v:rect id="_x0000_s1026" o:spid="_x0000_s1026" o:spt="1" style="position:absolute;left:0pt;margin-left:90pt;margin-top:2.55pt;height:117pt;width:45pt;z-index:251670528;mso-width-relative:page;mso-height-relative:page;" fillcolor="#FFFFFF" filled="t" stroked="t" coordsize="21600,21600" o:gfxdata="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84y1CtYAAAAJAQAADwAAAAAAAAABACAA&#10;AAAiAAAAZHJzL2Rvd25yZXYueG1sUEsBAhQAFAAAAAgAh07iQBPRJdcPAgAARwQAAA4AAAAAAAAA&#10;AQAgAAAAJQEAAGRycy9lMm9Eb2MueG1sUEsFBgAAAAAGAAYAWQEAAKYFAAAAAA==&#10;">
                <v:fill on="t" focussize="0,0"/>
                <v:stroke color="#000000" joinstyle="miter"/>
                <v:imagedata o:title=""/>
                <o:lock v:ext="edit" aspectratio="f"/>
                <v:textbox>
                  <w:txbxContent>
                    <w:p w14:paraId="516E64BE">
                      <w:pPr>
                        <w:pStyle w:val="9"/>
                      </w:pPr>
                    </w:p>
                    <w:p w14:paraId="131B9F13">
                      <w:pPr>
                        <w:pStyle w:val="9"/>
                      </w:pPr>
                      <w:r>
                        <w:rPr>
                          <w:rFonts w:hint="eastAsia"/>
                        </w:rPr>
                        <w:t>产品研发与设计过程</w:t>
                      </w:r>
                    </w:p>
                  </w:txbxContent>
                </v:textbox>
              </v:rect>
            </w:pict>
          </mc:Fallback>
        </mc:AlternateContent>
      </w:r>
      <w:r>
        <w:rPr>
          <w:b/>
          <w:bCs/>
          <w:sz w:val="28"/>
          <w:szCs w:val="28"/>
        </w:rPr>
        <mc:AlternateContent>
          <mc:Choice Requires="wps">
            <w:drawing>
              <wp:anchor distT="0" distB="0" distL="114300" distR="114300" simplePos="0" relativeHeight="251671552" behindDoc="0" locked="0" layoutInCell="1" allowOverlap="1">
                <wp:simplePos x="0" y="0"/>
                <wp:positionH relativeFrom="column">
                  <wp:posOffset>3657600</wp:posOffset>
                </wp:positionH>
                <wp:positionV relativeFrom="paragraph">
                  <wp:posOffset>167640</wp:posOffset>
                </wp:positionV>
                <wp:extent cx="571500" cy="1188720"/>
                <wp:effectExtent l="4445" t="5080" r="14605" b="6350"/>
                <wp:wrapNone/>
                <wp:docPr id="69" name="矩形 69"/>
                <wp:cNvGraphicFramePr/>
                <a:graphic xmlns:a="http://schemas.openxmlformats.org/drawingml/2006/main">
                  <a:graphicData uri="http://schemas.microsoft.com/office/word/2010/wordprocessingShape">
                    <wps:wsp>
                      <wps:cNvSpPr/>
                      <wps:spPr>
                        <a:xfrm>
                          <a:off x="0" y="0"/>
                          <a:ext cx="571500" cy="11887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403B4C4">
                            <w:pPr>
                              <w:pStyle w:val="9"/>
                            </w:pPr>
                          </w:p>
                          <w:p w14:paraId="5D3A90D4">
                            <w:pPr>
                              <w:pStyle w:val="9"/>
                            </w:pPr>
                            <w:r>
                              <w:rPr>
                                <w:rFonts w:hint="eastAsia"/>
                              </w:rPr>
                              <w:t>市场营销服务过程</w:t>
                            </w:r>
                          </w:p>
                        </w:txbxContent>
                      </wps:txbx>
                      <wps:bodyPr wrap="square" upright="1"/>
                    </wps:wsp>
                  </a:graphicData>
                </a:graphic>
              </wp:anchor>
            </w:drawing>
          </mc:Choice>
          <mc:Fallback>
            <w:pict>
              <v:rect id="_x0000_s1026" o:spid="_x0000_s1026" o:spt="1" style="position:absolute;left:0pt;margin-left:288pt;margin-top:13.2pt;height:93.6pt;width:45pt;z-index:251671552;mso-width-relative:page;mso-height-relative:page;" fillcolor="#FFFFFF" filled="t" stroked="t" coordsize="21600,21600" o:gfxdata="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RZUKA1wAAAAoBAAAPAAAAAAAA&#10;AAEAIAAAACIAAABkcnMvZG93bnJldi54bWxQSwECFAAUAAAACACHTuJAC9kHVxMCAABHBAAADgAA&#10;AAAAAAABACAAAAAmAQAAZHJzL2Uyb0RvYy54bWxQSwUGAAAAAAYABgBZAQAAqwUAAAAA&#10;">
                <v:fill on="t" focussize="0,0"/>
                <v:stroke color="#000000" joinstyle="miter"/>
                <v:imagedata o:title=""/>
                <o:lock v:ext="edit" aspectratio="f"/>
                <v:textbox>
                  <w:txbxContent>
                    <w:p w14:paraId="4403B4C4">
                      <w:pPr>
                        <w:pStyle w:val="9"/>
                      </w:pPr>
                    </w:p>
                    <w:p w14:paraId="5D3A90D4">
                      <w:pPr>
                        <w:pStyle w:val="9"/>
                      </w:pPr>
                      <w:r>
                        <w:rPr>
                          <w:rFonts w:hint="eastAsia"/>
                        </w:rPr>
                        <w:t>市场营销服务过程</w:t>
                      </w:r>
                    </w:p>
                  </w:txbxContent>
                </v:textbox>
              </v:rect>
            </w:pict>
          </mc:Fallback>
        </mc:AlternateContent>
      </w:r>
      <w:r>
        <w:rPr>
          <w:b/>
          <w:bCs/>
          <w:sz w:val="28"/>
          <w:szCs w:val="28"/>
        </w:rPr>
        <mc:AlternateContent>
          <mc:Choice Requires="wps">
            <w:drawing>
              <wp:anchor distT="0" distB="0" distL="114300" distR="114300" simplePos="0" relativeHeight="251672576" behindDoc="0" locked="0" layoutInCell="1" allowOverlap="1">
                <wp:simplePos x="0" y="0"/>
                <wp:positionH relativeFrom="column">
                  <wp:posOffset>2857500</wp:posOffset>
                </wp:positionH>
                <wp:positionV relativeFrom="paragraph">
                  <wp:posOffset>87630</wp:posOffset>
                </wp:positionV>
                <wp:extent cx="457200" cy="1287780"/>
                <wp:effectExtent l="4445" t="4445" r="14605" b="22225"/>
                <wp:wrapNone/>
                <wp:docPr id="70" name="矩形 70"/>
                <wp:cNvGraphicFramePr/>
                <a:graphic xmlns:a="http://schemas.openxmlformats.org/drawingml/2006/main">
                  <a:graphicData uri="http://schemas.microsoft.com/office/word/2010/wordprocessingShape">
                    <wps:wsp>
                      <wps:cNvSpPr/>
                      <wps:spPr>
                        <a:xfrm>
                          <a:off x="0" y="0"/>
                          <a:ext cx="457200" cy="12877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A2A8D54">
                            <w:pPr>
                              <w:pStyle w:val="9"/>
                            </w:pPr>
                            <w:r>
                              <w:rPr>
                                <w:rFonts w:hint="eastAsia"/>
                              </w:rPr>
                              <w:t>产品制造过程</w:t>
                            </w:r>
                          </w:p>
                        </w:txbxContent>
                      </wps:txbx>
                      <wps:bodyPr wrap="square" upright="1"/>
                    </wps:wsp>
                  </a:graphicData>
                </a:graphic>
              </wp:anchor>
            </w:drawing>
          </mc:Choice>
          <mc:Fallback>
            <w:pict>
              <v:rect id="_x0000_s1026" o:spid="_x0000_s1026" o:spt="1" style="position:absolute;left:0pt;margin-left:225pt;margin-top:6.9pt;height:101.4pt;width:36pt;z-index:251672576;mso-width-relative:page;mso-height-relative:page;" fillcolor="#FFFFFF" filled="t" stroked="t" coordsize="21600,21600" o:gfxdata="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CIg3J3XAAAACgEAAA8AAAAAAAAA&#10;AQAgAAAAIgAAAGRycy9kb3ducmV2LnhtbFBLAQIUABQAAAAIAIdO4kCyXlplEgIAAEcEAAAOAAAA&#10;AAAAAAEAIAAAACYBAABkcnMvZTJvRG9jLnhtbFBLBQYAAAAABgAGAFkBAACqBQAAAAA=&#10;">
                <v:fill on="t" focussize="0,0"/>
                <v:stroke color="#000000" joinstyle="miter"/>
                <v:imagedata o:title=""/>
                <o:lock v:ext="edit" aspectratio="f"/>
                <v:textbox>
                  <w:txbxContent>
                    <w:p w14:paraId="7A2A8D54">
                      <w:pPr>
                        <w:pStyle w:val="9"/>
                      </w:pPr>
                      <w:r>
                        <w:rPr>
                          <w:rFonts w:hint="eastAsia"/>
                        </w:rPr>
                        <w:t>产品制造过程</w:t>
                      </w:r>
                    </w:p>
                  </w:txbxContent>
                </v:textbox>
              </v:rect>
            </w:pict>
          </mc:Fallback>
        </mc:AlternateContent>
      </w:r>
    </w:p>
    <w:p w14:paraId="7CB486CF">
      <w:pPr>
        <w:spacing w:line="360" w:lineRule="auto"/>
        <w:jc w:val="center"/>
        <w:rPr>
          <w:b/>
          <w:bCs/>
          <w:sz w:val="28"/>
          <w:szCs w:val="28"/>
        </w:rPr>
      </w:pPr>
      <w:r>
        <w:rPr>
          <w:b/>
          <w:bCs/>
          <w:sz w:val="28"/>
          <w:szCs w:val="28"/>
        </w:rPr>
        <mc:AlternateContent>
          <mc:Choice Requires="wps">
            <w:drawing>
              <wp:anchor distT="0" distB="0" distL="114300" distR="114300" simplePos="0" relativeHeight="251673600" behindDoc="0" locked="0" layoutInCell="1" allowOverlap="1">
                <wp:simplePos x="0" y="0"/>
                <wp:positionH relativeFrom="column">
                  <wp:posOffset>1714500</wp:posOffset>
                </wp:positionH>
                <wp:positionV relativeFrom="paragraph">
                  <wp:posOffset>257175</wp:posOffset>
                </wp:positionV>
                <wp:extent cx="342900" cy="188595"/>
                <wp:effectExtent l="5080" t="12065" r="13970" b="27940"/>
                <wp:wrapNone/>
                <wp:docPr id="71" name="右箭头 71"/>
                <wp:cNvGraphicFramePr/>
                <a:graphic xmlns:a="http://schemas.openxmlformats.org/drawingml/2006/main">
                  <a:graphicData uri="http://schemas.microsoft.com/office/word/2010/wordprocessingShape">
                    <wps:wsp>
                      <wps:cNvSpPr/>
                      <wps:spPr>
                        <a:xfrm>
                          <a:off x="0" y="0"/>
                          <a:ext cx="342900" cy="188595"/>
                        </a:xfrm>
                        <a:prstGeom prst="rightArrow">
                          <a:avLst>
                            <a:gd name="adj1" fmla="val 50000"/>
                            <a:gd name="adj2" fmla="val 45454"/>
                          </a:avLst>
                        </a:prstGeom>
                        <a:solidFill>
                          <a:srgbClr val="FFFFFF"/>
                        </a:solidFill>
                        <a:ln w="9525" cap="flat" cmpd="sng">
                          <a:solidFill>
                            <a:srgbClr val="000000"/>
                          </a:solidFill>
                          <a:prstDash val="solid"/>
                          <a:miter/>
                          <a:headEnd type="none" w="med" len="med"/>
                          <a:tailEnd type="none" w="med" len="med"/>
                        </a:ln>
                        <a:effectLst/>
                      </wps:spPr>
                      <wps:bodyPr wrap="square" upright="1"/>
                    </wps:wsp>
                  </a:graphicData>
                </a:graphic>
              </wp:anchor>
            </w:drawing>
          </mc:Choice>
          <mc:Fallback>
            <w:pict>
              <v:shape id="_x0000_s1026" o:spid="_x0000_s1026" o:spt="13" type="#_x0000_t13" style="position:absolute;left:0pt;margin-left:135pt;margin-top:20.25pt;height:14.85pt;width:27pt;z-index:251673600;mso-width-relative:page;mso-height-relative:page;" fillcolor="#FFFFFF" filled="t" stroked="t" coordsize="21600,21600" o:gfxdata="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Gjgu3LaAAAACQEAAA8AAAAAAAAAAQAgAAAAIgAAAGRycy9kb3du&#10;cmV2LnhtbFBLAQIUABQAAAAIAIdO4kB3w+CtNgIAAJUEAAAOAAAAAAAAAAEAIAAAACkBAABkcnMv&#10;ZTJvRG9jLnhtbFBLBQYAAAAABgAGAFkBAADRBQAAAAA=&#10;" adj="16201,5400">
                <v:fill on="t" focussize="0,0"/>
                <v:stroke color="#000000" joinstyle="miter"/>
                <v:imagedata o:title=""/>
                <o:lock v:ext="edit" aspectratio="f"/>
              </v:shape>
            </w:pict>
          </mc:Fallback>
        </mc:AlternateContent>
      </w:r>
      <w:r>
        <w:rPr>
          <w:b/>
          <w:bCs/>
          <w:sz w:val="28"/>
          <w:szCs w:val="28"/>
        </w:rPr>
        <mc:AlternateContent>
          <mc:Choice Requires="wps">
            <w:drawing>
              <wp:anchor distT="0" distB="0" distL="114300" distR="114300" simplePos="0" relativeHeight="251674624" behindDoc="0" locked="0" layoutInCell="1" allowOverlap="1">
                <wp:simplePos x="0" y="0"/>
                <wp:positionH relativeFrom="column">
                  <wp:posOffset>2514600</wp:posOffset>
                </wp:positionH>
                <wp:positionV relativeFrom="paragraph">
                  <wp:posOffset>266700</wp:posOffset>
                </wp:positionV>
                <wp:extent cx="342900" cy="188595"/>
                <wp:effectExtent l="5080" t="12065" r="13970" b="27940"/>
                <wp:wrapNone/>
                <wp:docPr id="72" name="右箭头 72"/>
                <wp:cNvGraphicFramePr/>
                <a:graphic xmlns:a="http://schemas.openxmlformats.org/drawingml/2006/main">
                  <a:graphicData uri="http://schemas.microsoft.com/office/word/2010/wordprocessingShape">
                    <wps:wsp>
                      <wps:cNvSpPr/>
                      <wps:spPr>
                        <a:xfrm>
                          <a:off x="0" y="0"/>
                          <a:ext cx="342900" cy="188595"/>
                        </a:xfrm>
                        <a:prstGeom prst="rightArrow">
                          <a:avLst>
                            <a:gd name="adj1" fmla="val 50000"/>
                            <a:gd name="adj2" fmla="val 45454"/>
                          </a:avLst>
                        </a:prstGeom>
                        <a:solidFill>
                          <a:srgbClr val="FFFFFF"/>
                        </a:solidFill>
                        <a:ln w="9525" cap="flat" cmpd="sng">
                          <a:solidFill>
                            <a:srgbClr val="000000"/>
                          </a:solidFill>
                          <a:prstDash val="solid"/>
                          <a:miter/>
                          <a:headEnd type="none" w="med" len="med"/>
                          <a:tailEnd type="none" w="med" len="med"/>
                        </a:ln>
                        <a:effectLst/>
                      </wps:spPr>
                      <wps:bodyPr wrap="square" upright="1"/>
                    </wps:wsp>
                  </a:graphicData>
                </a:graphic>
              </wp:anchor>
            </w:drawing>
          </mc:Choice>
          <mc:Fallback>
            <w:pict>
              <v:shape id="_x0000_s1026" o:spid="_x0000_s1026" o:spt="13" type="#_x0000_t13" style="position:absolute;left:0pt;margin-left:198pt;margin-top:21pt;height:14.85pt;width:27pt;z-index:251674624;mso-width-relative:page;mso-height-relative:page;" fillcolor="#FFFFFF" filled="t" stroked="t" coordsize="21600,21600" o:gfxdata="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Zt/xmtsAAAAJAQAADwAAAAAAAAABACAAAAAiAAAAZHJzL2Rv&#10;d25yZXYueG1sUEsBAhQAFAAAAAgAh07iQNYBuJY3AgAAlQQAAA4AAAAAAAAAAQAgAAAAKgEAAGRy&#10;cy9lMm9Eb2MueG1sUEsFBgAAAAAGAAYAWQEAANMFAAAAAA==&#10;" adj="16201,5400">
                <v:fill on="t" focussize="0,0"/>
                <v:stroke color="#000000" joinstyle="miter"/>
                <v:imagedata o:title=""/>
                <o:lock v:ext="edit" aspectratio="f"/>
              </v:shape>
            </w:pict>
          </mc:Fallback>
        </mc:AlternateContent>
      </w:r>
      <w:r>
        <w:rPr>
          <w:b/>
          <w:bCs/>
          <w:sz w:val="28"/>
          <w:szCs w:val="28"/>
        </w:rPr>
        <mc:AlternateContent>
          <mc:Choice Requires="wps">
            <w:drawing>
              <wp:anchor distT="0" distB="0" distL="114300" distR="114300" simplePos="0" relativeHeight="251675648" behindDoc="0" locked="0" layoutInCell="1" allowOverlap="1">
                <wp:simplePos x="0" y="0"/>
                <wp:positionH relativeFrom="column">
                  <wp:posOffset>3314700</wp:posOffset>
                </wp:positionH>
                <wp:positionV relativeFrom="paragraph">
                  <wp:posOffset>276225</wp:posOffset>
                </wp:positionV>
                <wp:extent cx="342900" cy="188595"/>
                <wp:effectExtent l="5080" t="12065" r="13970" b="27940"/>
                <wp:wrapNone/>
                <wp:docPr id="73" name="右箭头 73"/>
                <wp:cNvGraphicFramePr/>
                <a:graphic xmlns:a="http://schemas.openxmlformats.org/drawingml/2006/main">
                  <a:graphicData uri="http://schemas.microsoft.com/office/word/2010/wordprocessingShape">
                    <wps:wsp>
                      <wps:cNvSpPr/>
                      <wps:spPr>
                        <a:xfrm>
                          <a:off x="0" y="0"/>
                          <a:ext cx="342900" cy="188595"/>
                        </a:xfrm>
                        <a:prstGeom prst="rightArrow">
                          <a:avLst>
                            <a:gd name="adj1" fmla="val 50000"/>
                            <a:gd name="adj2" fmla="val 45454"/>
                          </a:avLst>
                        </a:prstGeom>
                        <a:solidFill>
                          <a:srgbClr val="FFFFFF"/>
                        </a:solidFill>
                        <a:ln w="9525" cap="flat" cmpd="sng">
                          <a:solidFill>
                            <a:srgbClr val="000000"/>
                          </a:solidFill>
                          <a:prstDash val="solid"/>
                          <a:miter/>
                          <a:headEnd type="none" w="med" len="med"/>
                          <a:tailEnd type="none" w="med" len="med"/>
                        </a:ln>
                        <a:effectLst/>
                      </wps:spPr>
                      <wps:bodyPr wrap="square" upright="1"/>
                    </wps:wsp>
                  </a:graphicData>
                </a:graphic>
              </wp:anchor>
            </w:drawing>
          </mc:Choice>
          <mc:Fallback>
            <w:pict>
              <v:shape id="_x0000_s1026" o:spid="_x0000_s1026" o:spt="13" type="#_x0000_t13" style="position:absolute;left:0pt;margin-left:261pt;margin-top:21.75pt;height:14.85pt;width:27pt;z-index:251675648;mso-width-relative:page;mso-height-relative:page;" fillcolor="#FFFFFF" filled="t" stroked="t" coordsize="21600,21600" o:gfxdata="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AAruO9sAAAAJAQAADwAAAAAAAAABACAAAAAiAAAAZHJzL2Rv&#10;d25yZXYueG1sUEsBAhQAFAAAAAgAh07iQElAcIA3AgAAlQQAAA4AAAAAAAAAAQAgAAAAKgEAAGRy&#10;cy9lMm9Eb2MueG1sUEsFBgAAAAAGAAYAWQEAANMFAAAAAA==&#10;" adj="16201,5400">
                <v:fill on="t" focussize="0,0"/>
                <v:stroke color="#000000" joinstyle="miter"/>
                <v:imagedata o:title=""/>
                <o:lock v:ext="edit" aspectratio="f"/>
              </v:shape>
            </w:pict>
          </mc:Fallback>
        </mc:AlternateContent>
      </w:r>
    </w:p>
    <w:p w14:paraId="34A4BFFE">
      <w:pPr>
        <w:spacing w:line="360" w:lineRule="auto"/>
        <w:jc w:val="center"/>
        <w:rPr>
          <w:b/>
          <w:bCs/>
          <w:sz w:val="28"/>
          <w:szCs w:val="28"/>
        </w:rPr>
      </w:pPr>
      <w:r>
        <w:rPr>
          <w:b/>
          <w:bCs/>
          <w:sz w:val="28"/>
          <w:szCs w:val="28"/>
        </w:rPr>
        <mc:AlternateContent>
          <mc:Choice Requires="wps">
            <w:drawing>
              <wp:anchor distT="0" distB="0" distL="114300" distR="114300" simplePos="0" relativeHeight="251676672" behindDoc="0" locked="0" layoutInCell="1" allowOverlap="1">
                <wp:simplePos x="0" y="0"/>
                <wp:positionH relativeFrom="column">
                  <wp:posOffset>457200</wp:posOffset>
                </wp:positionH>
                <wp:positionV relativeFrom="paragraph">
                  <wp:posOffset>99060</wp:posOffset>
                </wp:positionV>
                <wp:extent cx="457200" cy="297180"/>
                <wp:effectExtent l="6350" t="18415" r="12700" b="27305"/>
                <wp:wrapNone/>
                <wp:docPr id="74" name="右箭头 74"/>
                <wp:cNvGraphicFramePr/>
                <a:graphic xmlns:a="http://schemas.openxmlformats.org/drawingml/2006/main">
                  <a:graphicData uri="http://schemas.microsoft.com/office/word/2010/wordprocessingShape">
                    <wps:wsp>
                      <wps:cNvSpPr/>
                      <wps:spPr>
                        <a:xfrm>
                          <a:off x="0" y="0"/>
                          <a:ext cx="457200" cy="297180"/>
                        </a:xfrm>
                        <a:prstGeom prst="rightArrow">
                          <a:avLst>
                            <a:gd name="adj1" fmla="val 50000"/>
                            <a:gd name="adj2" fmla="val 38461"/>
                          </a:avLst>
                        </a:prstGeom>
                        <a:solidFill>
                          <a:srgbClr val="FF00FF"/>
                        </a:solidFill>
                        <a:ln w="12700" cap="flat" cmpd="sng">
                          <a:solidFill>
                            <a:srgbClr val="000000"/>
                          </a:solidFill>
                          <a:prstDash val="solid"/>
                          <a:miter/>
                          <a:headEnd type="none" w="med" len="med"/>
                          <a:tailEnd type="none" w="med" len="med"/>
                        </a:ln>
                        <a:effectLst/>
                      </wps:spPr>
                      <wps:bodyPr wrap="square" upright="1"/>
                    </wps:wsp>
                  </a:graphicData>
                </a:graphic>
              </wp:anchor>
            </w:drawing>
          </mc:Choice>
          <mc:Fallback>
            <w:pict>
              <v:shape id="_x0000_s1026" o:spid="_x0000_s1026" o:spt="13" type="#_x0000_t13" style="position:absolute;left:0pt;margin-left:36pt;margin-top:7.8pt;height:23.4pt;width:36pt;z-index:251676672;mso-width-relative:page;mso-height-relative:page;" fillcolor="#FF00FF" filled="t" stroked="t" coordsize="21600,21600" o:gfxdata="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2xHV91wAAAAgBAAAPAAAAAAAAAAEAIAAAACIAAABkcnMvZG93&#10;bnJldi54bWxQSwECFAAUAAAACACHTuJAaKhzmjoCAACWBAAADgAAAAAAAAABACAAAAAmAQAAZHJz&#10;L2Uyb0RvYy54bWxQSwUGAAAAAAYABgBZAQAA0gUAAAAA&#10;" adj="16201,5400">
                <v:fill on="t" focussize="0,0"/>
                <v:stroke weight="1pt" color="#000000" joinstyle="miter"/>
                <v:imagedata o:title=""/>
                <o:lock v:ext="edit" aspectratio="f"/>
              </v:shape>
            </w:pict>
          </mc:Fallback>
        </mc:AlternateContent>
      </w:r>
    </w:p>
    <w:p w14:paraId="2F663270">
      <w:pPr>
        <w:spacing w:line="360" w:lineRule="auto"/>
        <w:jc w:val="center"/>
        <w:rPr>
          <w:b/>
          <w:bCs/>
          <w:sz w:val="28"/>
          <w:szCs w:val="28"/>
        </w:rPr>
      </w:pPr>
      <w:r>
        <w:rPr>
          <w:b/>
          <w:bCs/>
          <w:sz w:val="28"/>
          <w:szCs w:val="28"/>
        </w:rPr>
        <mc:AlternateContent>
          <mc:Choice Requires="wps">
            <w:drawing>
              <wp:anchor distT="0" distB="0" distL="114300" distR="114300" simplePos="0" relativeHeight="251677696" behindDoc="0" locked="0" layoutInCell="1" allowOverlap="1">
                <wp:simplePos x="0" y="0"/>
                <wp:positionH relativeFrom="column">
                  <wp:posOffset>5143500</wp:posOffset>
                </wp:positionH>
                <wp:positionV relativeFrom="paragraph">
                  <wp:posOffset>260985</wp:posOffset>
                </wp:positionV>
                <wp:extent cx="228600" cy="792480"/>
                <wp:effectExtent l="6350" t="50800" r="12700" b="52070"/>
                <wp:wrapNone/>
                <wp:docPr id="75" name="右箭头 75"/>
                <wp:cNvGraphicFramePr/>
                <a:graphic xmlns:a="http://schemas.openxmlformats.org/drawingml/2006/main">
                  <a:graphicData uri="http://schemas.microsoft.com/office/word/2010/wordprocessingShape">
                    <wps:wsp>
                      <wps:cNvSpPr/>
                      <wps:spPr>
                        <a:xfrm>
                          <a:off x="0" y="0"/>
                          <a:ext cx="228600" cy="792480"/>
                        </a:xfrm>
                        <a:prstGeom prst="rightArrow">
                          <a:avLst>
                            <a:gd name="adj1" fmla="val 50000"/>
                            <a:gd name="adj2" fmla="val 25000"/>
                          </a:avLst>
                        </a:prstGeom>
                        <a:solidFill>
                          <a:srgbClr val="FF00FF"/>
                        </a:solidFill>
                        <a:ln w="12700" cap="flat" cmpd="sng">
                          <a:solidFill>
                            <a:srgbClr val="000000"/>
                          </a:solidFill>
                          <a:prstDash val="solid"/>
                          <a:miter/>
                          <a:headEnd type="none" w="med" len="med"/>
                          <a:tailEnd type="none" w="med" len="med"/>
                        </a:ln>
                        <a:effectLst/>
                      </wps:spPr>
                      <wps:bodyPr wrap="square" upright="1"/>
                    </wps:wsp>
                  </a:graphicData>
                </a:graphic>
              </wp:anchor>
            </w:drawing>
          </mc:Choice>
          <mc:Fallback>
            <w:pict>
              <v:shape id="_x0000_s1026" o:spid="_x0000_s1026" o:spt="13" type="#_x0000_t13" style="position:absolute;left:0pt;margin-left:405pt;margin-top:20.55pt;height:62.4pt;width:18pt;z-index:251677696;mso-width-relative:page;mso-height-relative:page;" fillcolor="#FF00FF" filled="t" stroked="t" coordsize="21600,21600" o:gfxdata="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DBgJqjaAAAACgEAAA8AAAAAAAAAAQAgAAAAIgAAAGRycy9kb3du&#10;cmV2LnhtbFBLAQIUABQAAAAIAIdO4kB3osKINgIAAJYEAAAOAAAAAAAAAAEAIAAAACkBAABkcnMv&#10;ZTJvRG9jLnhtbFBLBQYAAAAABgAGAFkBAADRBQAAAAA=&#10;" adj="16200,5400">
                <v:fill on="t" focussize="0,0"/>
                <v:stroke weight="1pt" color="#000000" joinstyle="miter"/>
                <v:imagedata o:title=""/>
                <o:lock v:ext="edit" aspectratio="f"/>
              </v:shape>
            </w:pict>
          </mc:Fallback>
        </mc:AlternateContent>
      </w:r>
    </w:p>
    <w:p w14:paraId="7EA9D13E">
      <w:pPr>
        <w:spacing w:line="360" w:lineRule="auto"/>
        <w:jc w:val="center"/>
        <w:rPr>
          <w:b/>
          <w:bCs/>
          <w:sz w:val="28"/>
          <w:szCs w:val="28"/>
        </w:rPr>
      </w:pPr>
      <w:r>
        <w:rPr>
          <w:b/>
          <w:bCs/>
          <w:sz w:val="28"/>
          <w:szCs w:val="28"/>
        </w:rPr>
        <mc:AlternateContent>
          <mc:Choice Requires="wps">
            <w:drawing>
              <wp:anchor distT="0" distB="0" distL="114300" distR="114300" simplePos="0" relativeHeight="251678720" behindDoc="0" locked="0" layoutInCell="1" allowOverlap="1">
                <wp:simplePos x="0" y="0"/>
                <wp:positionH relativeFrom="column">
                  <wp:posOffset>2514600</wp:posOffset>
                </wp:positionH>
                <wp:positionV relativeFrom="paragraph">
                  <wp:posOffset>38100</wp:posOffset>
                </wp:positionV>
                <wp:extent cx="485775" cy="396240"/>
                <wp:effectExtent l="89535" t="15240" r="91440" b="26670"/>
                <wp:wrapNone/>
                <wp:docPr id="76" name="上下箭头 76"/>
                <wp:cNvGraphicFramePr/>
                <a:graphic xmlns:a="http://schemas.openxmlformats.org/drawingml/2006/main">
                  <a:graphicData uri="http://schemas.microsoft.com/office/word/2010/wordprocessingShape">
                    <wps:wsp>
                      <wps:cNvSpPr/>
                      <wps:spPr>
                        <a:xfrm>
                          <a:off x="0" y="0"/>
                          <a:ext cx="485775" cy="396240"/>
                        </a:xfrm>
                        <a:prstGeom prst="upDownArrow">
                          <a:avLst>
                            <a:gd name="adj1" fmla="val 50000"/>
                            <a:gd name="adj2" fmla="val 20000"/>
                          </a:avLst>
                        </a:prstGeom>
                        <a:solidFill>
                          <a:srgbClr val="FF00FF"/>
                        </a:solidFill>
                        <a:ln w="28575" cap="flat" cmpd="sng">
                          <a:solidFill>
                            <a:srgbClr val="000000"/>
                          </a:solidFill>
                          <a:prstDash val="solid"/>
                          <a:miter/>
                          <a:headEnd type="none" w="med" len="med"/>
                          <a:tailEnd type="none" w="med" len="med"/>
                        </a:ln>
                        <a:effectLst/>
                      </wps:spPr>
                      <wps:bodyPr vert="eaVert" wrap="square" upright="1"/>
                    </wps:wsp>
                  </a:graphicData>
                </a:graphic>
              </wp:anchor>
            </w:drawing>
          </mc:Choice>
          <mc:Fallback>
            <w:pict>
              <v:shape id="_x0000_s1026" o:spid="_x0000_s1026" o:spt="70" type="#_x0000_t70" style="position:absolute;left:0pt;margin-left:198pt;margin-top:3pt;height:31.2pt;width:38.25pt;z-index:251678720;mso-width-relative:page;mso-height-relative:page;" fillcolor="#FF00FF" filled="t" stroked="t" coordsize="21600,21600" o:gfxdata="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8bc8e1wAAAAgBAAAPAAAAAAAAAAEA&#10;IAAAACIAAABkcnMvZG93bnJldi54bWxQSwECFAAUAAAACACHTuJA/MlDC0kCAACoBAAADgAAAAAA&#10;AAABACAAAAAmAQAAZHJzL2Uyb0RvYy54bWxQSwUGAAAAAAYABgBZAQAA4QUAAAAA&#10;" adj="5400,4320">
                <v:fill on="t" focussize="0,0"/>
                <v:stroke weight="2.25pt" color="#000000" joinstyle="miter"/>
                <v:imagedata o:title=""/>
                <o:lock v:ext="edit" aspectratio="f"/>
                <v:textbox style="layout-flow:vertical-ideographic;"/>
              </v:shape>
            </w:pict>
          </mc:Fallback>
        </mc:AlternateContent>
      </w:r>
    </w:p>
    <w:p w14:paraId="53CD4091">
      <w:pPr>
        <w:spacing w:line="360" w:lineRule="auto"/>
        <w:jc w:val="center"/>
        <w:rPr>
          <w:b/>
          <w:bCs/>
          <w:sz w:val="28"/>
          <w:szCs w:val="28"/>
        </w:rPr>
      </w:pPr>
      <w:r>
        <w:rPr>
          <w:b/>
          <w:bCs/>
          <w:sz w:val="28"/>
          <w:szCs w:val="28"/>
        </w:rPr>
        <mc:AlternateContent>
          <mc:Choice Requires="wps">
            <w:drawing>
              <wp:anchor distT="0" distB="0" distL="114300" distR="114300" simplePos="0" relativeHeight="251679744" behindDoc="0" locked="0" layoutInCell="1" allowOverlap="1">
                <wp:simplePos x="0" y="0"/>
                <wp:positionH relativeFrom="column">
                  <wp:posOffset>4050030</wp:posOffset>
                </wp:positionH>
                <wp:positionV relativeFrom="paragraph">
                  <wp:posOffset>86995</wp:posOffset>
                </wp:positionV>
                <wp:extent cx="342900" cy="1783080"/>
                <wp:effectExtent l="4445" t="4445" r="14605" b="22225"/>
                <wp:wrapNone/>
                <wp:docPr id="77" name="圆角矩形 77"/>
                <wp:cNvGraphicFramePr/>
                <a:graphic xmlns:a="http://schemas.openxmlformats.org/drawingml/2006/main">
                  <a:graphicData uri="http://schemas.microsoft.com/office/word/2010/wordprocessingShape">
                    <wps:wsp>
                      <wps:cNvSpPr/>
                      <wps:spPr>
                        <a:xfrm>
                          <a:off x="0" y="0"/>
                          <a:ext cx="342900" cy="1783080"/>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48D4D09B">
                            <w:pPr>
                              <w:pStyle w:val="9"/>
                              <w:jc w:val="both"/>
                            </w:pPr>
                          </w:p>
                          <w:p w14:paraId="2753B250">
                            <w:pPr>
                              <w:pStyle w:val="9"/>
                            </w:pPr>
                            <w:r>
                              <w:rPr>
                                <w:rFonts w:hint="eastAsia"/>
                              </w:rPr>
                              <w:t>信息管理过程</w:t>
                            </w:r>
                          </w:p>
                        </w:txbxContent>
                      </wps:txbx>
                      <wps:bodyPr wrap="square" upright="1"/>
                    </wps:wsp>
                  </a:graphicData>
                </a:graphic>
              </wp:anchor>
            </w:drawing>
          </mc:Choice>
          <mc:Fallback>
            <w:pict>
              <v:roundrect id="_x0000_s1026" o:spid="_x0000_s1026" o:spt="2" style="position:absolute;left:0pt;margin-left:318.9pt;margin-top:6.85pt;height:140.4pt;width:27pt;z-index:251679744;mso-width-relative:page;mso-height-relative:page;" fillcolor="#FFFFFF" filled="t" stroked="t" coordsize="21600,21600" arcsize="0.166666666666667" o:gfxdata="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Bjnd0vXAAAACgEAAA8AAAAAAAAAAQAgAAAAIgAAAGRycy9kb3ducmV2&#10;LnhtbFBLAQIUABQAAAAIAIdO4kCoSs2QNgIAAHQEAAAOAAAAAAAAAAEAIAAAACYBAABkcnMvZTJv&#10;RG9jLnhtbFBLBQYAAAAABgAGAFkBAADOBQAAAAA=&#10;">
                <v:fill on="t" focussize="0,0"/>
                <v:stroke color="#000000" joinstyle="round"/>
                <v:imagedata o:title=""/>
                <o:lock v:ext="edit" aspectratio="f"/>
                <v:textbox>
                  <w:txbxContent>
                    <w:p w14:paraId="48D4D09B">
                      <w:pPr>
                        <w:pStyle w:val="9"/>
                        <w:jc w:val="both"/>
                      </w:pPr>
                    </w:p>
                    <w:p w14:paraId="2753B250">
                      <w:pPr>
                        <w:pStyle w:val="9"/>
                      </w:pPr>
                      <w:r>
                        <w:rPr>
                          <w:rFonts w:hint="eastAsia"/>
                        </w:rPr>
                        <w:t>信息管理过程</w:t>
                      </w:r>
                    </w:p>
                  </w:txbxContent>
                </v:textbox>
              </v:roundrect>
            </w:pict>
          </mc:Fallback>
        </mc:AlternateContent>
      </w:r>
      <w:r>
        <w:rPr>
          <w:b/>
          <w:bCs/>
          <w:sz w:val="28"/>
          <w:szCs w:val="28"/>
        </w:rPr>
        <mc:AlternateContent>
          <mc:Choice Requires="wps">
            <w:drawing>
              <wp:anchor distT="0" distB="0" distL="114300" distR="114300" simplePos="0" relativeHeight="251680768" behindDoc="0" locked="0" layoutInCell="1" allowOverlap="1">
                <wp:simplePos x="0" y="0"/>
                <wp:positionH relativeFrom="column">
                  <wp:posOffset>3263265</wp:posOffset>
                </wp:positionH>
                <wp:positionV relativeFrom="paragraph">
                  <wp:posOffset>55880</wp:posOffset>
                </wp:positionV>
                <wp:extent cx="342900" cy="1783080"/>
                <wp:effectExtent l="4445" t="4445" r="14605" b="22225"/>
                <wp:wrapNone/>
                <wp:docPr id="78" name="圆角矩形 78"/>
                <wp:cNvGraphicFramePr/>
                <a:graphic xmlns:a="http://schemas.openxmlformats.org/drawingml/2006/main">
                  <a:graphicData uri="http://schemas.microsoft.com/office/word/2010/wordprocessingShape">
                    <wps:wsp>
                      <wps:cNvSpPr/>
                      <wps:spPr>
                        <a:xfrm>
                          <a:off x="0" y="0"/>
                          <a:ext cx="342900" cy="1783080"/>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1706AA0C">
                            <w:pPr>
                              <w:pStyle w:val="9"/>
                              <w:spacing w:line="240" w:lineRule="exact"/>
                              <w:jc w:val="both"/>
                              <w:rPr>
                                <w:szCs w:val="21"/>
                              </w:rPr>
                            </w:pPr>
                          </w:p>
                          <w:p w14:paraId="75B656AA">
                            <w:pPr>
                              <w:pStyle w:val="9"/>
                              <w:spacing w:line="240" w:lineRule="exact"/>
                            </w:pPr>
                            <w:r>
                              <w:rPr>
                                <w:rFonts w:hint="eastAsia"/>
                                <w:szCs w:val="21"/>
                              </w:rPr>
                              <w:t>项目管理和资本运</w:t>
                            </w:r>
                            <w:r>
                              <w:rPr>
                                <w:rFonts w:hint="eastAsia"/>
                              </w:rPr>
                              <w:t>营</w:t>
                            </w:r>
                          </w:p>
                        </w:txbxContent>
                      </wps:txbx>
                      <wps:bodyPr wrap="square" upright="1"/>
                    </wps:wsp>
                  </a:graphicData>
                </a:graphic>
              </wp:anchor>
            </w:drawing>
          </mc:Choice>
          <mc:Fallback>
            <w:pict>
              <v:roundrect id="_x0000_s1026" o:spid="_x0000_s1026" o:spt="2" style="position:absolute;left:0pt;margin-left:256.95pt;margin-top:4.4pt;height:140.4pt;width:27pt;z-index:251680768;mso-width-relative:page;mso-height-relative:page;" fillcolor="#FFFFFF" filled="t" stroked="t" coordsize="21600,21600" arcsize="0.166666666666667" o:gfxdata="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JUEUJ3UAAAACQEAAA8AAAAAAAAAAQAgAAAAIgAAAGRycy9kb3ducmV2Lnht&#10;bFBLAQIUABQAAAAIAIdO4kCNSM8UNgIAAHQEAAAOAAAAAAAAAAEAIAAAACMBAABkcnMvZTJvRG9j&#10;LnhtbFBLBQYAAAAABgAGAFkBAADLBQAAAAA=&#10;">
                <v:fill on="t" focussize="0,0"/>
                <v:stroke color="#000000" joinstyle="round"/>
                <v:imagedata o:title=""/>
                <o:lock v:ext="edit" aspectratio="f"/>
                <v:textbox>
                  <w:txbxContent>
                    <w:p w14:paraId="1706AA0C">
                      <w:pPr>
                        <w:pStyle w:val="9"/>
                        <w:spacing w:line="240" w:lineRule="exact"/>
                        <w:jc w:val="both"/>
                        <w:rPr>
                          <w:szCs w:val="21"/>
                        </w:rPr>
                      </w:pPr>
                    </w:p>
                    <w:p w14:paraId="75B656AA">
                      <w:pPr>
                        <w:pStyle w:val="9"/>
                        <w:spacing w:line="240" w:lineRule="exact"/>
                      </w:pPr>
                      <w:r>
                        <w:rPr>
                          <w:rFonts w:hint="eastAsia"/>
                          <w:szCs w:val="21"/>
                        </w:rPr>
                        <w:t>项目管理和资本运</w:t>
                      </w:r>
                      <w:r>
                        <w:rPr>
                          <w:rFonts w:hint="eastAsia"/>
                        </w:rPr>
                        <w:t>营</w:t>
                      </w:r>
                    </w:p>
                  </w:txbxContent>
                </v:textbox>
              </v:roundrect>
            </w:pict>
          </mc:Fallback>
        </mc:AlternateContent>
      </w:r>
      <w:r>
        <w:rPr>
          <w:b/>
          <w:bCs/>
          <w:sz w:val="28"/>
          <w:szCs w:val="28"/>
        </w:rPr>
        <mc:AlternateContent>
          <mc:Choice Requires="wps">
            <w:drawing>
              <wp:anchor distT="0" distB="0" distL="114300" distR="114300" simplePos="0" relativeHeight="251681792" behindDoc="0" locked="0" layoutInCell="1" allowOverlap="1">
                <wp:simplePos x="0" y="0"/>
                <wp:positionH relativeFrom="column">
                  <wp:posOffset>2400300</wp:posOffset>
                </wp:positionH>
                <wp:positionV relativeFrom="paragraph">
                  <wp:posOffset>86995</wp:posOffset>
                </wp:positionV>
                <wp:extent cx="342900" cy="1724660"/>
                <wp:effectExtent l="4445" t="4445" r="14605" b="23495"/>
                <wp:wrapNone/>
                <wp:docPr id="79" name="圆角矩形 79"/>
                <wp:cNvGraphicFramePr/>
                <a:graphic xmlns:a="http://schemas.openxmlformats.org/drawingml/2006/main">
                  <a:graphicData uri="http://schemas.microsoft.com/office/word/2010/wordprocessingShape">
                    <wps:wsp>
                      <wps:cNvSpPr/>
                      <wps:spPr>
                        <a:xfrm>
                          <a:off x="0" y="0"/>
                          <a:ext cx="342900" cy="1724660"/>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5DAA3980">
                            <w:pPr>
                              <w:pStyle w:val="9"/>
                              <w:jc w:val="both"/>
                            </w:pPr>
                          </w:p>
                          <w:p w14:paraId="666CCD39">
                            <w:pPr>
                              <w:pStyle w:val="9"/>
                            </w:pPr>
                            <w:r>
                              <w:rPr>
                                <w:rFonts w:hint="eastAsia"/>
                              </w:rPr>
                              <w:t>财务</w:t>
                            </w:r>
                          </w:p>
                          <w:p w14:paraId="7709E8DB">
                            <w:pPr>
                              <w:pStyle w:val="9"/>
                            </w:pPr>
                            <w:r>
                              <w:rPr>
                                <w:rFonts w:hint="eastAsia"/>
                              </w:rPr>
                              <w:t>管理过程</w:t>
                            </w:r>
                          </w:p>
                        </w:txbxContent>
                      </wps:txbx>
                      <wps:bodyPr wrap="square" upright="1"/>
                    </wps:wsp>
                  </a:graphicData>
                </a:graphic>
              </wp:anchor>
            </w:drawing>
          </mc:Choice>
          <mc:Fallback>
            <w:pict>
              <v:roundrect id="_x0000_s1026" o:spid="_x0000_s1026" o:spt="2" style="position:absolute;left:0pt;margin-left:189pt;margin-top:6.85pt;height:135.8pt;width:27pt;z-index:251681792;mso-width-relative:page;mso-height-relative:page;" fillcolor="#FFFFFF" filled="t" stroked="t" coordsize="21600,21600" arcsize="0.166666666666667" o:gfxdata="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Jjvb5zXAAAACgEAAA8AAAAAAAAAAQAgAAAAIgAAAGRycy9kb3ducmV2&#10;LnhtbFBLAQIUABQAAAAIAIdO4kDFtgjsNgIAAHQEAAAOAAAAAAAAAAEAIAAAACYBAABkcnMvZTJv&#10;RG9jLnhtbFBLBQYAAAAABgAGAFkBAADOBQAAAAA=&#10;">
                <v:fill on="t" focussize="0,0"/>
                <v:stroke color="#000000" joinstyle="round"/>
                <v:imagedata o:title=""/>
                <o:lock v:ext="edit" aspectratio="f"/>
                <v:textbox>
                  <w:txbxContent>
                    <w:p w14:paraId="5DAA3980">
                      <w:pPr>
                        <w:pStyle w:val="9"/>
                        <w:jc w:val="both"/>
                      </w:pPr>
                    </w:p>
                    <w:p w14:paraId="666CCD39">
                      <w:pPr>
                        <w:pStyle w:val="9"/>
                      </w:pPr>
                      <w:r>
                        <w:rPr>
                          <w:rFonts w:hint="eastAsia"/>
                        </w:rPr>
                        <w:t>财务</w:t>
                      </w:r>
                    </w:p>
                    <w:p w14:paraId="7709E8DB">
                      <w:pPr>
                        <w:pStyle w:val="9"/>
                      </w:pPr>
                      <w:r>
                        <w:rPr>
                          <w:rFonts w:hint="eastAsia"/>
                        </w:rPr>
                        <w:t>管理过程</w:t>
                      </w:r>
                    </w:p>
                  </w:txbxContent>
                </v:textbox>
              </v:roundrect>
            </w:pict>
          </mc:Fallback>
        </mc:AlternateContent>
      </w:r>
      <w:r>
        <w:rPr>
          <w:b/>
          <w:bCs/>
          <w:sz w:val="28"/>
          <w:szCs w:val="28"/>
        </w:rPr>
        <mc:AlternateContent>
          <mc:Choice Requires="wps">
            <w:drawing>
              <wp:anchor distT="0" distB="0" distL="114300" distR="114300" simplePos="0" relativeHeight="251682816" behindDoc="0" locked="0" layoutInCell="1" allowOverlap="1">
                <wp:simplePos x="0" y="0"/>
                <wp:positionH relativeFrom="column">
                  <wp:posOffset>1485900</wp:posOffset>
                </wp:positionH>
                <wp:positionV relativeFrom="paragraph">
                  <wp:posOffset>38100</wp:posOffset>
                </wp:positionV>
                <wp:extent cx="342900" cy="1773555"/>
                <wp:effectExtent l="4445" t="4445" r="14605" b="12700"/>
                <wp:wrapNone/>
                <wp:docPr id="80" name="圆角矩形 80"/>
                <wp:cNvGraphicFramePr/>
                <a:graphic xmlns:a="http://schemas.openxmlformats.org/drawingml/2006/main">
                  <a:graphicData uri="http://schemas.microsoft.com/office/word/2010/wordprocessingShape">
                    <wps:wsp>
                      <wps:cNvSpPr/>
                      <wps:spPr>
                        <a:xfrm>
                          <a:off x="0" y="0"/>
                          <a:ext cx="342900" cy="1773555"/>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2820515D">
                            <w:pPr>
                              <w:pStyle w:val="9"/>
                              <w:jc w:val="both"/>
                            </w:pPr>
                            <w:r>
                              <w:rPr>
                                <w:rFonts w:hint="eastAsia"/>
                              </w:rPr>
                              <w:t>人力资源管理过程</w:t>
                            </w:r>
                          </w:p>
                        </w:txbxContent>
                      </wps:txbx>
                      <wps:bodyPr wrap="square" upright="1"/>
                    </wps:wsp>
                  </a:graphicData>
                </a:graphic>
              </wp:anchor>
            </w:drawing>
          </mc:Choice>
          <mc:Fallback>
            <w:pict>
              <v:roundrect id="_x0000_s1026" o:spid="_x0000_s1026" o:spt="2" style="position:absolute;left:0pt;margin-left:117pt;margin-top:3pt;height:139.65pt;width:27pt;z-index:251682816;mso-width-relative:page;mso-height-relative:page;" fillcolor="#FFFFFF" filled="t" stroked="t" coordsize="21600,21600" arcsize="0.166666666666667" o:gfxdata="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AfdTQ/VAAAACQEAAA8AAAAAAAAAAQAgAAAAIgAAAGRycy9kb3ducmV2Lnht&#10;bFBLAQIUABQAAAAIAIdO4kC3ObgDNQIAAHQEAAAOAAAAAAAAAAEAIAAAACQBAABkcnMvZTJvRG9j&#10;LnhtbFBLBQYAAAAABgAGAFkBAADLBQAAAAA=&#10;">
                <v:fill on="t" focussize="0,0"/>
                <v:stroke color="#000000" joinstyle="round"/>
                <v:imagedata o:title=""/>
                <o:lock v:ext="edit" aspectratio="f"/>
                <v:textbox>
                  <w:txbxContent>
                    <w:p w14:paraId="2820515D">
                      <w:pPr>
                        <w:pStyle w:val="9"/>
                        <w:jc w:val="both"/>
                      </w:pPr>
                      <w:r>
                        <w:rPr>
                          <w:rFonts w:hint="eastAsia"/>
                        </w:rPr>
                        <w:t>人力资源管理过程</w:t>
                      </w:r>
                    </w:p>
                  </w:txbxContent>
                </v:textbox>
              </v:roundrect>
            </w:pict>
          </mc:Fallback>
        </mc:AlternateContent>
      </w:r>
      <w:r>
        <w:rPr>
          <w:b/>
          <w:bCs/>
          <w:sz w:val="28"/>
          <w:szCs w:val="28"/>
        </w:rPr>
        <mc:AlternateContent>
          <mc:Choice Requires="wps">
            <w:drawing>
              <wp:anchor distT="0" distB="0" distL="114300" distR="114300" simplePos="0" relativeHeight="251659264" behindDoc="0" locked="0" layoutInCell="1" allowOverlap="1">
                <wp:simplePos x="0" y="0"/>
                <wp:positionH relativeFrom="column">
                  <wp:posOffset>1028700</wp:posOffset>
                </wp:positionH>
                <wp:positionV relativeFrom="paragraph">
                  <wp:posOffset>156210</wp:posOffset>
                </wp:positionV>
                <wp:extent cx="3886200" cy="1682750"/>
                <wp:effectExtent l="4445" t="4445" r="14605" b="8255"/>
                <wp:wrapNone/>
                <wp:docPr id="81" name="矩形 81"/>
                <wp:cNvGraphicFramePr/>
                <a:graphic xmlns:a="http://schemas.openxmlformats.org/drawingml/2006/main">
                  <a:graphicData uri="http://schemas.microsoft.com/office/word/2010/wordprocessingShape">
                    <wps:wsp>
                      <wps:cNvSpPr/>
                      <wps:spPr>
                        <a:xfrm>
                          <a:off x="0" y="0"/>
                          <a:ext cx="3886200" cy="1682750"/>
                        </a:xfrm>
                        <a:prstGeom prst="rect">
                          <a:avLst/>
                        </a:prstGeom>
                        <a:solidFill>
                          <a:srgbClr val="0000FF"/>
                        </a:solidFill>
                        <a:ln w="9525" cap="flat" cmpd="sng">
                          <a:solidFill>
                            <a:srgbClr val="000000"/>
                          </a:solidFill>
                          <a:prstDash val="solid"/>
                          <a:miter/>
                          <a:headEnd type="none" w="med" len="med"/>
                          <a:tailEnd type="none" w="med" len="med"/>
                        </a:ln>
                        <a:effectLst/>
                      </wps:spPr>
                      <wps:txbx>
                        <w:txbxContent>
                          <w:p w14:paraId="362AF49B"/>
                        </w:txbxContent>
                      </wps:txbx>
                      <wps:bodyPr wrap="square" upright="1"/>
                    </wps:wsp>
                  </a:graphicData>
                </a:graphic>
              </wp:anchor>
            </w:drawing>
          </mc:Choice>
          <mc:Fallback>
            <w:pict>
              <v:rect id="_x0000_s1026" o:spid="_x0000_s1026" o:spt="1" style="position:absolute;left:0pt;margin-left:81pt;margin-top:12.3pt;height:132.5pt;width:306pt;z-index:251659264;mso-width-relative:page;mso-height-relative:page;" fillcolor="#0000FF" filled="t" stroked="t" coordsize="21600,21600" o:gfxdata="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EHozn2AAAAAoBAAAPAAAA&#10;AAAAAAEAIAAAACIAAABkcnMvZG93bnJldi54bWxQSwECFAAUAAAACACHTuJAPHKOUBUCAABIBAAA&#10;DgAAAAAAAAABACAAAAAnAQAAZHJzL2Uyb0RvYy54bWxQSwUGAAAAAAYABgBZAQAArgUAAAAA&#10;">
                <v:fill on="t" focussize="0,0"/>
                <v:stroke color="#000000" joinstyle="miter"/>
                <v:imagedata o:title=""/>
                <o:lock v:ext="edit" aspectratio="f"/>
                <v:textbox>
                  <w:txbxContent>
                    <w:p w14:paraId="362AF49B"/>
                  </w:txbxContent>
                </v:textbox>
              </v:rect>
            </w:pict>
          </mc:Fallback>
        </mc:AlternateContent>
      </w:r>
    </w:p>
    <w:p w14:paraId="0432DD10">
      <w:pPr>
        <w:spacing w:line="360" w:lineRule="auto"/>
        <w:jc w:val="center"/>
        <w:rPr>
          <w:b/>
          <w:bCs/>
          <w:sz w:val="28"/>
          <w:szCs w:val="28"/>
        </w:rPr>
      </w:pPr>
      <w:r>
        <w:rPr>
          <w:b/>
          <w:bCs/>
          <w:sz w:val="28"/>
          <w:szCs w:val="28"/>
        </w:rPr>
        <mc:AlternateContent>
          <mc:Choice Requires="wps">
            <w:drawing>
              <wp:anchor distT="0" distB="0" distL="114300" distR="114300" simplePos="0" relativeHeight="251683840" behindDoc="0" locked="0" layoutInCell="1" allowOverlap="1">
                <wp:simplePos x="0" y="0"/>
                <wp:positionH relativeFrom="column">
                  <wp:posOffset>457200</wp:posOffset>
                </wp:positionH>
                <wp:positionV relativeFrom="paragraph">
                  <wp:posOffset>251460</wp:posOffset>
                </wp:positionV>
                <wp:extent cx="457200" cy="297180"/>
                <wp:effectExtent l="6350" t="18415" r="12700" b="27305"/>
                <wp:wrapNone/>
                <wp:docPr id="82" name="右箭头 82"/>
                <wp:cNvGraphicFramePr/>
                <a:graphic xmlns:a="http://schemas.openxmlformats.org/drawingml/2006/main">
                  <a:graphicData uri="http://schemas.microsoft.com/office/word/2010/wordprocessingShape">
                    <wps:wsp>
                      <wps:cNvSpPr/>
                      <wps:spPr>
                        <a:xfrm>
                          <a:off x="0" y="0"/>
                          <a:ext cx="457200" cy="297180"/>
                        </a:xfrm>
                        <a:prstGeom prst="rightArrow">
                          <a:avLst>
                            <a:gd name="adj1" fmla="val 50000"/>
                            <a:gd name="adj2" fmla="val 38461"/>
                          </a:avLst>
                        </a:prstGeom>
                        <a:solidFill>
                          <a:srgbClr val="FF00FF"/>
                        </a:solidFill>
                        <a:ln w="12700" cap="flat" cmpd="sng">
                          <a:solidFill>
                            <a:srgbClr val="000000"/>
                          </a:solidFill>
                          <a:prstDash val="solid"/>
                          <a:miter/>
                          <a:headEnd type="none" w="med" len="med"/>
                          <a:tailEnd type="none" w="med" len="med"/>
                        </a:ln>
                        <a:effectLst/>
                      </wps:spPr>
                      <wps:bodyPr wrap="square" upright="1"/>
                    </wps:wsp>
                  </a:graphicData>
                </a:graphic>
              </wp:anchor>
            </w:drawing>
          </mc:Choice>
          <mc:Fallback>
            <w:pict>
              <v:shape id="_x0000_s1026" o:spid="_x0000_s1026" o:spt="13" type="#_x0000_t13" style="position:absolute;left:0pt;margin-left:36pt;margin-top:19.8pt;height:23.4pt;width:36pt;z-index:251683840;mso-width-relative:page;mso-height-relative:page;" fillcolor="#FF00FF" filled="t" stroked="t" coordsize="21600,21600" o:gfxdata="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bJcKS1wAAAAgBAAAPAAAAAAAAAAEAIAAAACIAAABkcnMvZG93&#10;bnJldi54bWxQSwECFAAUAAAACACHTuJAD3WbfzoCAACWBAAADgAAAAAAAAABACAAAAAmAQAAZHJz&#10;L2Uyb0RvYy54bWxQSwUGAAAAAAYABgBZAQAA0gUAAAAA&#10;" adj="16201,5400">
                <v:fill on="t" focussize="0,0"/>
                <v:stroke weight="1pt" color="#000000" joinstyle="miter"/>
                <v:imagedata o:title=""/>
                <o:lock v:ext="edit" aspectratio="f"/>
              </v:shape>
            </w:pict>
          </mc:Fallback>
        </mc:AlternateContent>
      </w:r>
    </w:p>
    <w:p w14:paraId="2E574EE2">
      <w:pPr>
        <w:spacing w:line="360" w:lineRule="auto"/>
        <w:jc w:val="center"/>
        <w:rPr>
          <w:b/>
          <w:bCs/>
          <w:sz w:val="28"/>
          <w:szCs w:val="28"/>
        </w:rPr>
      </w:pPr>
    </w:p>
    <w:p w14:paraId="667A040C">
      <w:pPr>
        <w:spacing w:line="360" w:lineRule="auto"/>
        <w:jc w:val="center"/>
        <w:rPr>
          <w:b/>
          <w:bCs/>
          <w:sz w:val="28"/>
          <w:szCs w:val="28"/>
        </w:rPr>
      </w:pPr>
    </w:p>
    <w:p w14:paraId="71FA394A">
      <w:pPr>
        <w:spacing w:line="360" w:lineRule="auto"/>
        <w:jc w:val="center"/>
        <w:rPr>
          <w:b/>
          <w:bCs/>
          <w:sz w:val="28"/>
          <w:szCs w:val="28"/>
        </w:rPr>
      </w:pPr>
      <w:r>
        <w:rPr>
          <w:b/>
          <w:bCs/>
          <w:sz w:val="28"/>
          <w:szCs w:val="28"/>
        </w:rPr>
        <mc:AlternateContent>
          <mc:Choice Requires="wps">
            <w:drawing>
              <wp:anchor distT="0" distB="0" distL="114300" distR="114300" simplePos="0" relativeHeight="251684864" behindDoc="0" locked="0" layoutInCell="1" allowOverlap="1">
                <wp:simplePos x="0" y="0"/>
                <wp:positionH relativeFrom="column">
                  <wp:posOffset>1649730</wp:posOffset>
                </wp:positionH>
                <wp:positionV relativeFrom="paragraph">
                  <wp:posOffset>326390</wp:posOffset>
                </wp:positionV>
                <wp:extent cx="2400300" cy="297180"/>
                <wp:effectExtent l="0" t="0" r="0" b="0"/>
                <wp:wrapNone/>
                <wp:docPr id="83" name="文本框 83"/>
                <wp:cNvGraphicFramePr/>
                <a:graphic xmlns:a="http://schemas.openxmlformats.org/drawingml/2006/main">
                  <a:graphicData uri="http://schemas.microsoft.com/office/word/2010/wordprocessingShape">
                    <wps:wsp>
                      <wps:cNvSpPr txBox="1"/>
                      <wps:spPr>
                        <a:xfrm>
                          <a:off x="0" y="0"/>
                          <a:ext cx="2400300" cy="297180"/>
                        </a:xfrm>
                        <a:prstGeom prst="rect">
                          <a:avLst/>
                        </a:prstGeom>
                        <a:noFill/>
                        <a:ln>
                          <a:noFill/>
                        </a:ln>
                        <a:effectLst/>
                      </wps:spPr>
                      <wps:txbx>
                        <w:txbxContent>
                          <w:p w14:paraId="1968797C">
                            <w:pPr>
                              <w:jc w:val="center"/>
                              <w:rPr>
                                <w:b/>
                                <w:bCs/>
                              </w:rPr>
                            </w:pPr>
                            <w:r>
                              <w:rPr>
                                <w:rFonts w:hint="eastAsia"/>
                                <w:b/>
                                <w:bCs/>
                              </w:rPr>
                              <w:t>关 键 支 持 过 程</w:t>
                            </w:r>
                          </w:p>
                        </w:txbxContent>
                      </wps:txbx>
                      <wps:bodyPr wrap="square" upright="1"/>
                    </wps:wsp>
                  </a:graphicData>
                </a:graphic>
              </wp:anchor>
            </w:drawing>
          </mc:Choice>
          <mc:Fallback>
            <w:pict>
              <v:shape id="_x0000_s1026" o:spid="_x0000_s1026" o:spt="202" type="#_x0000_t202" style="position:absolute;left:0pt;margin-left:129.9pt;margin-top:25.7pt;height:23.4pt;width:189pt;z-index:251684864;mso-width-relative:page;mso-height-relative:page;" filled="f" stroked="f" coordsize="21600,21600" o:gfxdata="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mdUty9cAAAAJAQAADwAAAAAAAAABACAAAAAiAAAAZHJzL2Rvd25yZXYueG1sUEsB&#10;AhQAFAAAAAgAh07iQImjOI29AQAAbAMAAA4AAAAAAAAAAQAgAAAAJgEAAGRycy9lMm9Eb2MueG1s&#10;UEsFBgAAAAAGAAYAWQEAAFUFAAAAAA==&#10;">
                <v:fill on="f" focussize="0,0"/>
                <v:stroke on="f"/>
                <v:imagedata o:title=""/>
                <o:lock v:ext="edit" aspectratio="f"/>
                <v:textbox>
                  <w:txbxContent>
                    <w:p w14:paraId="1968797C">
                      <w:pPr>
                        <w:jc w:val="center"/>
                        <w:rPr>
                          <w:b/>
                          <w:bCs/>
                        </w:rPr>
                      </w:pPr>
                      <w:r>
                        <w:rPr>
                          <w:rFonts w:hint="eastAsia"/>
                          <w:b/>
                          <w:bCs/>
                        </w:rPr>
                        <w:t>关 键 支 持 过 程</w:t>
                      </w:r>
                    </w:p>
                  </w:txbxContent>
                </v:textbox>
              </v:shape>
            </w:pict>
          </mc:Fallback>
        </mc:AlternateContent>
      </w:r>
    </w:p>
    <w:p w14:paraId="2774D288">
      <w:pPr>
        <w:pStyle w:val="4"/>
      </w:pPr>
      <w:bookmarkStart w:id="52" w:name="_Toc99720436"/>
      <w:r>
        <w:rPr>
          <w:rFonts w:hint="eastAsia"/>
        </w:rPr>
        <w:t>4.5.2过程的识别和设计</w:t>
      </w:r>
      <w:bookmarkEnd w:id="52"/>
    </w:p>
    <w:p w14:paraId="47BD6E9E">
      <w:pPr>
        <w:pStyle w:val="5"/>
      </w:pPr>
      <w:r>
        <w:rPr>
          <w:rFonts w:hint="eastAsia"/>
        </w:rPr>
        <w:t>4.5.2.1价值创造过程的识别</w:t>
      </w:r>
    </w:p>
    <w:p w14:paraId="49497A9D">
      <w:r>
        <w:rPr>
          <w:rFonts w:hint="eastAsia"/>
        </w:rPr>
        <w:t>1） 价值创造过程的识别</w:t>
      </w:r>
    </w:p>
    <w:p w14:paraId="22F1C35C">
      <w:pPr>
        <w:spacing w:line="360" w:lineRule="auto"/>
        <w:ind w:firstLine="480" w:firstLineChars="200"/>
        <w:rPr>
          <w:rFonts w:ascii="宋体" w:hAnsi="宋体"/>
          <w:bCs/>
          <w:szCs w:val="32"/>
        </w:rPr>
      </w:pPr>
      <w:r>
        <w:rPr>
          <w:rFonts w:hint="eastAsia" w:ascii="宋体" w:hAnsi="宋体"/>
          <w:bCs/>
          <w:szCs w:val="32"/>
        </w:rPr>
        <w:t>公司运用SWOT法对国内市场和标杆企业的经营情况进行综合分析，对公司生产经营全过程的价值贡献和战略的重要度进行定量和定性的分析，最终确定了四个主要价值创造过程：产品研发与设计过程、采购过程、产品制造过程、市场营销服务过程。</w:t>
      </w:r>
    </w:p>
    <w:p w14:paraId="2FE07099">
      <w:pPr>
        <w:spacing w:line="360" w:lineRule="auto"/>
        <w:jc w:val="center"/>
        <w:rPr>
          <w:rFonts w:ascii="宋体" w:hAnsi="宋体"/>
          <w:bCs/>
          <w:color w:val="FF0000"/>
          <w:sz w:val="21"/>
          <w:szCs w:val="21"/>
        </w:rPr>
      </w:pPr>
      <w:r>
        <w:rPr>
          <w:rFonts w:hint="eastAsia" w:ascii="黑体" w:hAnsi="黑体" w:eastAsia="黑体" w:cs="黑体"/>
          <w:b/>
          <w:sz w:val="21"/>
          <w:szCs w:val="21"/>
        </w:rPr>
        <w:t>表4.5.2-1相关方需求识别结果一览表</w:t>
      </w:r>
    </w:p>
    <w:tbl>
      <w:tblPr>
        <w:tblStyle w:val="22"/>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299"/>
        <w:gridCol w:w="1820"/>
        <w:gridCol w:w="1536"/>
        <w:gridCol w:w="1440"/>
        <w:gridCol w:w="1276"/>
        <w:gridCol w:w="1388"/>
      </w:tblGrid>
      <w:tr w14:paraId="629C8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817" w:type="dxa"/>
            <w:vMerge w:val="restart"/>
            <w:shd w:val="clear" w:color="auto" w:fill="948A54"/>
            <w:vAlign w:val="center"/>
          </w:tcPr>
          <w:p w14:paraId="504C5EB2">
            <w:pPr>
              <w:jc w:val="center"/>
              <w:rPr>
                <w:rFonts w:ascii="宋体" w:hAnsi="宋体"/>
                <w:b/>
                <w:bCs/>
                <w:color w:val="FFFFFF"/>
                <w:kern w:val="2"/>
              </w:rPr>
            </w:pPr>
            <w:r>
              <w:rPr>
                <w:rFonts w:hint="eastAsia" w:ascii="宋体" w:hAnsi="宋体"/>
                <w:b/>
                <w:bCs/>
                <w:color w:val="FFFFFF"/>
                <w:kern w:val="2"/>
              </w:rPr>
              <w:t>价值创造过程</w:t>
            </w:r>
          </w:p>
        </w:tc>
        <w:tc>
          <w:tcPr>
            <w:tcW w:w="1299" w:type="dxa"/>
            <w:shd w:val="clear" w:color="auto" w:fill="948A54"/>
            <w:vAlign w:val="center"/>
          </w:tcPr>
          <w:p w14:paraId="1CD9A696">
            <w:pPr>
              <w:jc w:val="center"/>
              <w:rPr>
                <w:rFonts w:ascii="宋体" w:hAnsi="宋体"/>
                <w:b/>
                <w:bCs/>
                <w:color w:val="FFFFFF"/>
                <w:kern w:val="2"/>
              </w:rPr>
            </w:pPr>
          </w:p>
        </w:tc>
        <w:tc>
          <w:tcPr>
            <w:tcW w:w="7460" w:type="dxa"/>
            <w:gridSpan w:val="5"/>
            <w:shd w:val="clear" w:color="auto" w:fill="948A54"/>
            <w:vAlign w:val="center"/>
          </w:tcPr>
          <w:p w14:paraId="64D88CC0">
            <w:pPr>
              <w:tabs>
                <w:tab w:val="center" w:pos="3562"/>
              </w:tabs>
              <w:jc w:val="center"/>
              <w:rPr>
                <w:rFonts w:ascii="宋体" w:hAnsi="宋体"/>
                <w:b/>
                <w:bCs/>
                <w:color w:val="FFFFFF"/>
                <w:kern w:val="2"/>
              </w:rPr>
            </w:pPr>
            <w:r>
              <w:rPr>
                <w:rFonts w:hint="eastAsia" w:ascii="宋体" w:hAnsi="宋体"/>
                <w:b/>
                <w:bCs/>
                <w:color w:val="FFFFFF"/>
                <w:kern w:val="2"/>
              </w:rPr>
              <w:t>相关方的需求</w:t>
            </w:r>
          </w:p>
        </w:tc>
      </w:tr>
      <w:tr w14:paraId="5B690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817" w:type="dxa"/>
            <w:vMerge w:val="continue"/>
            <w:tcBorders>
              <w:bottom w:val="single" w:color="auto" w:sz="4" w:space="0"/>
            </w:tcBorders>
            <w:shd w:val="clear" w:color="auto" w:fill="948A54"/>
            <w:vAlign w:val="center"/>
          </w:tcPr>
          <w:p w14:paraId="2AF8A21A">
            <w:pPr>
              <w:jc w:val="center"/>
              <w:rPr>
                <w:rFonts w:ascii="宋体" w:hAnsi="宋体"/>
                <w:b/>
                <w:bCs/>
                <w:color w:val="FFFFFF"/>
                <w:kern w:val="2"/>
              </w:rPr>
            </w:pPr>
          </w:p>
        </w:tc>
        <w:tc>
          <w:tcPr>
            <w:tcW w:w="1299" w:type="dxa"/>
            <w:shd w:val="clear" w:color="auto" w:fill="948A54"/>
            <w:vAlign w:val="center"/>
          </w:tcPr>
          <w:p w14:paraId="1F6F94DE">
            <w:pPr>
              <w:jc w:val="center"/>
              <w:rPr>
                <w:rFonts w:ascii="宋体" w:hAnsi="宋体"/>
                <w:b/>
                <w:bCs/>
                <w:color w:val="FFFFFF"/>
                <w:kern w:val="2"/>
              </w:rPr>
            </w:pPr>
            <w:r>
              <w:rPr>
                <w:rFonts w:hint="eastAsia" w:ascii="宋体" w:hAnsi="宋体"/>
                <w:b/>
                <w:bCs/>
                <w:color w:val="FFFFFF"/>
                <w:kern w:val="2"/>
              </w:rPr>
              <w:t>子过程</w:t>
            </w:r>
          </w:p>
        </w:tc>
        <w:tc>
          <w:tcPr>
            <w:tcW w:w="1820" w:type="dxa"/>
            <w:shd w:val="clear" w:color="auto" w:fill="948A54"/>
            <w:vAlign w:val="center"/>
          </w:tcPr>
          <w:p w14:paraId="16AEBED3">
            <w:pPr>
              <w:jc w:val="center"/>
              <w:rPr>
                <w:rFonts w:ascii="宋体" w:hAnsi="宋体"/>
                <w:b/>
                <w:bCs/>
                <w:color w:val="FFFFFF"/>
                <w:kern w:val="2"/>
              </w:rPr>
            </w:pPr>
            <w:r>
              <w:rPr>
                <w:rFonts w:hint="eastAsia" w:ascii="宋体" w:hAnsi="宋体"/>
                <w:b/>
                <w:bCs/>
                <w:color w:val="FFFFFF"/>
                <w:kern w:val="2"/>
              </w:rPr>
              <w:t>顾客</w:t>
            </w:r>
          </w:p>
        </w:tc>
        <w:tc>
          <w:tcPr>
            <w:tcW w:w="1536" w:type="dxa"/>
            <w:shd w:val="clear" w:color="auto" w:fill="948A54"/>
            <w:vAlign w:val="center"/>
          </w:tcPr>
          <w:p w14:paraId="48DB64A4">
            <w:pPr>
              <w:jc w:val="center"/>
              <w:rPr>
                <w:rFonts w:ascii="宋体" w:hAnsi="宋体"/>
                <w:b/>
                <w:bCs/>
                <w:color w:val="FFFFFF"/>
                <w:kern w:val="2"/>
              </w:rPr>
            </w:pPr>
            <w:r>
              <w:rPr>
                <w:rFonts w:hint="eastAsia" w:ascii="宋体" w:hAnsi="宋体"/>
                <w:b/>
                <w:bCs/>
                <w:color w:val="FFFFFF"/>
                <w:kern w:val="2"/>
              </w:rPr>
              <w:t>股东</w:t>
            </w:r>
          </w:p>
        </w:tc>
        <w:tc>
          <w:tcPr>
            <w:tcW w:w="1440" w:type="dxa"/>
            <w:shd w:val="clear" w:color="auto" w:fill="948A54"/>
            <w:vAlign w:val="center"/>
          </w:tcPr>
          <w:p w14:paraId="23B0C611">
            <w:pPr>
              <w:jc w:val="center"/>
              <w:rPr>
                <w:rFonts w:ascii="宋体" w:hAnsi="宋体"/>
                <w:b/>
                <w:bCs/>
                <w:color w:val="FFFFFF"/>
                <w:kern w:val="2"/>
              </w:rPr>
            </w:pPr>
            <w:r>
              <w:rPr>
                <w:rFonts w:hint="eastAsia" w:ascii="宋体" w:hAnsi="宋体"/>
                <w:b/>
                <w:bCs/>
                <w:color w:val="FFFFFF"/>
                <w:kern w:val="2"/>
              </w:rPr>
              <w:t>员工</w:t>
            </w:r>
          </w:p>
        </w:tc>
        <w:tc>
          <w:tcPr>
            <w:tcW w:w="1276" w:type="dxa"/>
            <w:shd w:val="clear" w:color="auto" w:fill="948A54"/>
            <w:vAlign w:val="center"/>
          </w:tcPr>
          <w:p w14:paraId="4FAB2F86">
            <w:pPr>
              <w:jc w:val="center"/>
              <w:rPr>
                <w:rFonts w:ascii="宋体" w:hAnsi="宋体"/>
                <w:b/>
                <w:bCs/>
                <w:color w:val="FFFFFF"/>
                <w:kern w:val="2"/>
              </w:rPr>
            </w:pPr>
            <w:r>
              <w:rPr>
                <w:rFonts w:hint="eastAsia" w:ascii="宋体" w:hAnsi="宋体"/>
                <w:b/>
                <w:bCs/>
                <w:color w:val="FFFFFF"/>
                <w:kern w:val="2"/>
              </w:rPr>
              <w:t>供方</w:t>
            </w:r>
          </w:p>
        </w:tc>
        <w:tc>
          <w:tcPr>
            <w:tcW w:w="1388" w:type="dxa"/>
            <w:shd w:val="clear" w:color="auto" w:fill="948A54"/>
            <w:vAlign w:val="center"/>
          </w:tcPr>
          <w:p w14:paraId="754B0E1B">
            <w:pPr>
              <w:jc w:val="center"/>
              <w:rPr>
                <w:rFonts w:ascii="宋体" w:hAnsi="宋体"/>
                <w:b/>
                <w:bCs/>
                <w:color w:val="FFFFFF"/>
                <w:kern w:val="2"/>
              </w:rPr>
            </w:pPr>
            <w:r>
              <w:rPr>
                <w:rFonts w:hint="eastAsia" w:ascii="宋体" w:hAnsi="宋体"/>
                <w:b/>
                <w:bCs/>
                <w:color w:val="FFFFFF"/>
                <w:kern w:val="2"/>
              </w:rPr>
              <w:t>社会</w:t>
            </w:r>
          </w:p>
        </w:tc>
      </w:tr>
      <w:tr w14:paraId="6C799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restart"/>
            <w:vAlign w:val="center"/>
          </w:tcPr>
          <w:p w14:paraId="67486D14">
            <w:pPr>
              <w:jc w:val="center"/>
              <w:rPr>
                <w:rFonts w:ascii="宋体" w:hAnsi="宋体"/>
                <w:bCs/>
                <w:kern w:val="2"/>
                <w:sz w:val="21"/>
                <w:szCs w:val="21"/>
              </w:rPr>
            </w:pPr>
            <w:r>
              <w:rPr>
                <w:rFonts w:hint="eastAsia" w:ascii="宋体" w:hAnsi="宋体"/>
                <w:bCs/>
                <w:kern w:val="2"/>
                <w:sz w:val="21"/>
                <w:szCs w:val="21"/>
              </w:rPr>
              <w:t>产品研发与设计过程</w:t>
            </w:r>
          </w:p>
        </w:tc>
        <w:tc>
          <w:tcPr>
            <w:tcW w:w="1299" w:type="dxa"/>
            <w:vAlign w:val="center"/>
          </w:tcPr>
          <w:p w14:paraId="608D8D01">
            <w:pPr>
              <w:jc w:val="both"/>
              <w:rPr>
                <w:rFonts w:ascii="宋体" w:hAnsi="宋体"/>
                <w:bCs/>
                <w:kern w:val="2"/>
                <w:sz w:val="21"/>
                <w:szCs w:val="21"/>
              </w:rPr>
            </w:pPr>
            <w:r>
              <w:rPr>
                <w:rFonts w:hint="eastAsia" w:ascii="宋体" w:hAnsi="宋体"/>
                <w:bCs/>
                <w:kern w:val="2"/>
                <w:sz w:val="21"/>
                <w:szCs w:val="21"/>
              </w:rPr>
              <w:t>政策、市场信息和需求收集过程</w:t>
            </w:r>
          </w:p>
        </w:tc>
        <w:tc>
          <w:tcPr>
            <w:tcW w:w="1820" w:type="dxa"/>
            <w:vAlign w:val="center"/>
          </w:tcPr>
          <w:p w14:paraId="3167390E">
            <w:pPr>
              <w:jc w:val="both"/>
              <w:rPr>
                <w:rFonts w:ascii="宋体" w:hAnsi="宋体"/>
                <w:bCs/>
                <w:kern w:val="2"/>
                <w:sz w:val="21"/>
                <w:szCs w:val="21"/>
              </w:rPr>
            </w:pPr>
            <w:r>
              <w:rPr>
                <w:rFonts w:hint="eastAsia" w:ascii="宋体" w:hAnsi="宋体"/>
                <w:bCs/>
                <w:kern w:val="2"/>
                <w:sz w:val="21"/>
                <w:szCs w:val="21"/>
              </w:rPr>
              <w:t>准确把握顾客需求，包括潜在需求</w:t>
            </w:r>
          </w:p>
        </w:tc>
        <w:tc>
          <w:tcPr>
            <w:tcW w:w="1536" w:type="dxa"/>
            <w:vAlign w:val="center"/>
          </w:tcPr>
          <w:p w14:paraId="600491D2">
            <w:pPr>
              <w:jc w:val="both"/>
              <w:rPr>
                <w:rFonts w:ascii="宋体" w:hAnsi="宋体"/>
                <w:bCs/>
                <w:kern w:val="2"/>
                <w:sz w:val="21"/>
                <w:szCs w:val="21"/>
              </w:rPr>
            </w:pPr>
            <w:r>
              <w:rPr>
                <w:rFonts w:hint="eastAsia" w:ascii="宋体" w:hAnsi="宋体"/>
                <w:bCs/>
                <w:kern w:val="2"/>
                <w:sz w:val="21"/>
                <w:szCs w:val="21"/>
              </w:rPr>
              <w:t>市场信息收集分析</w:t>
            </w:r>
          </w:p>
        </w:tc>
        <w:tc>
          <w:tcPr>
            <w:tcW w:w="1440" w:type="dxa"/>
            <w:vAlign w:val="center"/>
          </w:tcPr>
          <w:p w14:paraId="2A5B06EC">
            <w:pPr>
              <w:jc w:val="both"/>
              <w:rPr>
                <w:rFonts w:ascii="宋体" w:hAnsi="宋体"/>
                <w:bCs/>
                <w:kern w:val="2"/>
                <w:sz w:val="21"/>
                <w:szCs w:val="21"/>
              </w:rPr>
            </w:pPr>
            <w:r>
              <w:rPr>
                <w:rFonts w:hint="eastAsia" w:ascii="宋体" w:hAnsi="宋体"/>
                <w:bCs/>
                <w:kern w:val="2"/>
                <w:sz w:val="21"/>
                <w:szCs w:val="21"/>
              </w:rPr>
              <w:t>设想和构思</w:t>
            </w:r>
          </w:p>
        </w:tc>
        <w:tc>
          <w:tcPr>
            <w:tcW w:w="1276" w:type="dxa"/>
            <w:vAlign w:val="center"/>
          </w:tcPr>
          <w:p w14:paraId="01255937">
            <w:pPr>
              <w:jc w:val="both"/>
              <w:rPr>
                <w:rFonts w:ascii="宋体" w:hAnsi="宋体"/>
                <w:bCs/>
                <w:kern w:val="2"/>
                <w:sz w:val="21"/>
                <w:szCs w:val="21"/>
              </w:rPr>
            </w:pPr>
            <w:r>
              <w:rPr>
                <w:rFonts w:hint="eastAsia" w:ascii="宋体" w:hAnsi="宋体"/>
                <w:bCs/>
                <w:kern w:val="2"/>
                <w:sz w:val="21"/>
                <w:szCs w:val="21"/>
              </w:rPr>
              <w:t>及时沟通新产品开发信息</w:t>
            </w:r>
          </w:p>
        </w:tc>
        <w:tc>
          <w:tcPr>
            <w:tcW w:w="1388" w:type="dxa"/>
            <w:vAlign w:val="center"/>
          </w:tcPr>
          <w:p w14:paraId="10DC3F6B">
            <w:pPr>
              <w:jc w:val="both"/>
              <w:rPr>
                <w:rFonts w:ascii="宋体" w:hAnsi="宋体"/>
                <w:bCs/>
                <w:kern w:val="2"/>
                <w:sz w:val="21"/>
                <w:szCs w:val="21"/>
              </w:rPr>
            </w:pPr>
            <w:r>
              <w:rPr>
                <w:rFonts w:hint="eastAsia" w:ascii="宋体" w:hAnsi="宋体"/>
                <w:bCs/>
                <w:kern w:val="2"/>
                <w:sz w:val="21"/>
                <w:szCs w:val="21"/>
              </w:rPr>
              <w:t>符合国家法律法规</w:t>
            </w:r>
          </w:p>
        </w:tc>
      </w:tr>
      <w:tr w14:paraId="6F196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tcPr>
          <w:p w14:paraId="0F3C6985">
            <w:pPr>
              <w:rPr>
                <w:rFonts w:ascii="宋体" w:hAnsi="宋体"/>
                <w:bCs/>
                <w:kern w:val="2"/>
                <w:sz w:val="21"/>
                <w:szCs w:val="21"/>
              </w:rPr>
            </w:pPr>
          </w:p>
        </w:tc>
        <w:tc>
          <w:tcPr>
            <w:tcW w:w="1299" w:type="dxa"/>
            <w:vAlign w:val="center"/>
          </w:tcPr>
          <w:p w14:paraId="1BA8CD17">
            <w:pPr>
              <w:jc w:val="both"/>
              <w:rPr>
                <w:rFonts w:ascii="宋体" w:hAnsi="宋体"/>
                <w:bCs/>
                <w:kern w:val="2"/>
                <w:sz w:val="21"/>
                <w:szCs w:val="21"/>
              </w:rPr>
            </w:pPr>
            <w:r>
              <w:rPr>
                <w:rFonts w:hint="eastAsia" w:ascii="宋体" w:hAnsi="宋体"/>
                <w:bCs/>
                <w:kern w:val="2"/>
                <w:sz w:val="21"/>
                <w:szCs w:val="21"/>
              </w:rPr>
              <w:t>开发过程</w:t>
            </w:r>
          </w:p>
        </w:tc>
        <w:tc>
          <w:tcPr>
            <w:tcW w:w="1820" w:type="dxa"/>
            <w:vAlign w:val="center"/>
          </w:tcPr>
          <w:p w14:paraId="35D0A08E">
            <w:pPr>
              <w:jc w:val="both"/>
              <w:rPr>
                <w:rFonts w:ascii="宋体" w:hAnsi="宋体"/>
                <w:bCs/>
                <w:kern w:val="2"/>
                <w:sz w:val="21"/>
                <w:szCs w:val="21"/>
              </w:rPr>
            </w:pPr>
            <w:r>
              <w:rPr>
                <w:rFonts w:hint="eastAsia" w:ascii="宋体" w:hAnsi="宋体"/>
                <w:bCs/>
                <w:kern w:val="2"/>
                <w:sz w:val="21"/>
                <w:szCs w:val="21"/>
              </w:rPr>
              <w:t>对顾客需求转化为前瞻性开发，进行质量功能展开</w:t>
            </w:r>
          </w:p>
        </w:tc>
        <w:tc>
          <w:tcPr>
            <w:tcW w:w="1536" w:type="dxa"/>
            <w:vAlign w:val="center"/>
          </w:tcPr>
          <w:p w14:paraId="1FAC4014">
            <w:pPr>
              <w:jc w:val="both"/>
              <w:rPr>
                <w:rFonts w:ascii="宋体" w:hAnsi="宋体"/>
                <w:bCs/>
                <w:kern w:val="2"/>
                <w:sz w:val="21"/>
                <w:szCs w:val="21"/>
              </w:rPr>
            </w:pPr>
            <w:r>
              <w:rPr>
                <w:rFonts w:hint="eastAsia" w:ascii="宋体" w:hAnsi="宋体"/>
                <w:bCs/>
                <w:kern w:val="2"/>
                <w:sz w:val="21"/>
                <w:szCs w:val="21"/>
              </w:rPr>
              <w:t>市场需求分析并转化为研究项目</w:t>
            </w:r>
          </w:p>
        </w:tc>
        <w:tc>
          <w:tcPr>
            <w:tcW w:w="1440" w:type="dxa"/>
            <w:vAlign w:val="center"/>
          </w:tcPr>
          <w:p w14:paraId="2E230699">
            <w:pPr>
              <w:jc w:val="both"/>
              <w:rPr>
                <w:rFonts w:ascii="宋体" w:hAnsi="宋体"/>
                <w:bCs/>
                <w:kern w:val="2"/>
                <w:sz w:val="21"/>
                <w:szCs w:val="21"/>
              </w:rPr>
            </w:pPr>
            <w:r>
              <w:rPr>
                <w:rFonts w:hint="eastAsia" w:ascii="宋体" w:hAnsi="宋体"/>
                <w:bCs/>
                <w:kern w:val="2"/>
                <w:sz w:val="21"/>
                <w:szCs w:val="21"/>
              </w:rPr>
              <w:t>便于员工生产操作进行优化</w:t>
            </w:r>
          </w:p>
        </w:tc>
        <w:tc>
          <w:tcPr>
            <w:tcW w:w="1276" w:type="dxa"/>
            <w:vAlign w:val="center"/>
          </w:tcPr>
          <w:p w14:paraId="10C0F26D">
            <w:pPr>
              <w:jc w:val="both"/>
              <w:rPr>
                <w:rFonts w:ascii="宋体" w:hAnsi="宋体"/>
                <w:bCs/>
                <w:kern w:val="2"/>
                <w:sz w:val="21"/>
                <w:szCs w:val="21"/>
              </w:rPr>
            </w:pPr>
            <w:r>
              <w:rPr>
                <w:rFonts w:hint="eastAsia" w:ascii="宋体" w:hAnsi="宋体"/>
                <w:bCs/>
                <w:kern w:val="2"/>
                <w:sz w:val="21"/>
                <w:szCs w:val="21"/>
              </w:rPr>
              <w:t>提前的信息沟通</w:t>
            </w:r>
          </w:p>
        </w:tc>
        <w:tc>
          <w:tcPr>
            <w:tcW w:w="1388" w:type="dxa"/>
            <w:vAlign w:val="center"/>
          </w:tcPr>
          <w:p w14:paraId="55210714">
            <w:pPr>
              <w:jc w:val="both"/>
              <w:rPr>
                <w:rFonts w:ascii="宋体" w:hAnsi="宋体"/>
                <w:bCs/>
                <w:kern w:val="2"/>
                <w:sz w:val="21"/>
                <w:szCs w:val="21"/>
              </w:rPr>
            </w:pPr>
            <w:r>
              <w:rPr>
                <w:rFonts w:hint="eastAsia" w:ascii="宋体" w:hAnsi="宋体"/>
                <w:bCs/>
                <w:kern w:val="2"/>
                <w:sz w:val="21"/>
                <w:szCs w:val="21"/>
              </w:rPr>
              <w:t>符合法律法规要求</w:t>
            </w:r>
          </w:p>
        </w:tc>
      </w:tr>
      <w:tr w14:paraId="73718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tcPr>
          <w:p w14:paraId="3DC5DE99">
            <w:pPr>
              <w:rPr>
                <w:rFonts w:ascii="宋体" w:hAnsi="宋体"/>
                <w:bCs/>
                <w:kern w:val="2"/>
                <w:sz w:val="21"/>
                <w:szCs w:val="21"/>
              </w:rPr>
            </w:pPr>
          </w:p>
        </w:tc>
        <w:tc>
          <w:tcPr>
            <w:tcW w:w="1299" w:type="dxa"/>
            <w:vAlign w:val="center"/>
          </w:tcPr>
          <w:p w14:paraId="6AF9791C">
            <w:pPr>
              <w:jc w:val="both"/>
              <w:rPr>
                <w:rFonts w:ascii="宋体" w:hAnsi="宋体"/>
                <w:bCs/>
                <w:kern w:val="2"/>
                <w:sz w:val="21"/>
                <w:szCs w:val="21"/>
              </w:rPr>
            </w:pPr>
            <w:r>
              <w:rPr>
                <w:rFonts w:hint="eastAsia" w:ascii="宋体" w:hAnsi="宋体"/>
                <w:bCs/>
                <w:kern w:val="2"/>
                <w:sz w:val="21"/>
                <w:szCs w:val="21"/>
              </w:rPr>
              <w:t>设计过程</w:t>
            </w:r>
          </w:p>
        </w:tc>
        <w:tc>
          <w:tcPr>
            <w:tcW w:w="1820" w:type="dxa"/>
            <w:vAlign w:val="center"/>
          </w:tcPr>
          <w:p w14:paraId="7FA805BA">
            <w:pPr>
              <w:jc w:val="both"/>
              <w:rPr>
                <w:rFonts w:ascii="宋体" w:hAnsi="宋体"/>
                <w:bCs/>
                <w:kern w:val="2"/>
                <w:sz w:val="21"/>
                <w:szCs w:val="21"/>
              </w:rPr>
            </w:pPr>
            <w:r>
              <w:rPr>
                <w:rFonts w:hint="eastAsia" w:ascii="宋体" w:hAnsi="宋体"/>
                <w:bCs/>
                <w:kern w:val="2"/>
                <w:sz w:val="21"/>
                <w:szCs w:val="21"/>
              </w:rPr>
              <w:t>将顾客需求转化为产品设计</w:t>
            </w:r>
          </w:p>
        </w:tc>
        <w:tc>
          <w:tcPr>
            <w:tcW w:w="1536" w:type="dxa"/>
            <w:vAlign w:val="center"/>
          </w:tcPr>
          <w:p w14:paraId="6BF0B9C3">
            <w:pPr>
              <w:jc w:val="both"/>
              <w:rPr>
                <w:rFonts w:ascii="宋体" w:hAnsi="宋体"/>
                <w:bCs/>
                <w:kern w:val="2"/>
                <w:sz w:val="21"/>
                <w:szCs w:val="21"/>
              </w:rPr>
            </w:pPr>
            <w:r>
              <w:rPr>
                <w:rFonts w:hint="eastAsia" w:ascii="宋体" w:hAnsi="宋体"/>
                <w:bCs/>
                <w:kern w:val="2"/>
                <w:sz w:val="21"/>
                <w:szCs w:val="21"/>
              </w:rPr>
              <w:t>符合顾客需求，控制产品成本</w:t>
            </w:r>
          </w:p>
        </w:tc>
        <w:tc>
          <w:tcPr>
            <w:tcW w:w="1440" w:type="dxa"/>
            <w:vAlign w:val="center"/>
          </w:tcPr>
          <w:p w14:paraId="0D135E29">
            <w:pPr>
              <w:jc w:val="both"/>
              <w:rPr>
                <w:rFonts w:ascii="宋体" w:hAnsi="宋体"/>
                <w:bCs/>
                <w:kern w:val="2"/>
                <w:sz w:val="21"/>
                <w:szCs w:val="21"/>
              </w:rPr>
            </w:pPr>
            <w:r>
              <w:rPr>
                <w:rFonts w:hint="eastAsia" w:ascii="宋体" w:hAnsi="宋体"/>
                <w:bCs/>
                <w:kern w:val="2"/>
                <w:sz w:val="21"/>
                <w:szCs w:val="21"/>
              </w:rPr>
              <w:t>便于装配；</w:t>
            </w:r>
          </w:p>
          <w:p w14:paraId="3B100929">
            <w:pPr>
              <w:jc w:val="both"/>
              <w:rPr>
                <w:rFonts w:ascii="宋体" w:hAnsi="宋体"/>
                <w:bCs/>
                <w:kern w:val="2"/>
                <w:sz w:val="21"/>
                <w:szCs w:val="21"/>
              </w:rPr>
            </w:pPr>
            <w:r>
              <w:rPr>
                <w:rFonts w:hint="eastAsia" w:ascii="宋体" w:hAnsi="宋体"/>
                <w:bCs/>
                <w:kern w:val="2"/>
                <w:sz w:val="21"/>
                <w:szCs w:val="21"/>
              </w:rPr>
              <w:t>劳动强度低</w:t>
            </w:r>
          </w:p>
        </w:tc>
        <w:tc>
          <w:tcPr>
            <w:tcW w:w="1276" w:type="dxa"/>
            <w:vAlign w:val="center"/>
          </w:tcPr>
          <w:p w14:paraId="713C418F">
            <w:pPr>
              <w:jc w:val="both"/>
              <w:rPr>
                <w:rFonts w:ascii="宋体" w:hAnsi="宋体"/>
                <w:bCs/>
                <w:kern w:val="2"/>
                <w:sz w:val="21"/>
                <w:szCs w:val="21"/>
              </w:rPr>
            </w:pPr>
            <w:r>
              <w:rPr>
                <w:rFonts w:hint="eastAsia" w:ascii="宋体" w:hAnsi="宋体"/>
                <w:bCs/>
                <w:kern w:val="2"/>
                <w:sz w:val="21"/>
                <w:szCs w:val="21"/>
              </w:rPr>
              <w:t>对零件进行通用化、性能优化</w:t>
            </w:r>
          </w:p>
        </w:tc>
        <w:tc>
          <w:tcPr>
            <w:tcW w:w="1388" w:type="dxa"/>
            <w:vAlign w:val="center"/>
          </w:tcPr>
          <w:p w14:paraId="2FABF8B8">
            <w:pPr>
              <w:jc w:val="both"/>
              <w:rPr>
                <w:rFonts w:ascii="宋体" w:hAnsi="宋体"/>
                <w:bCs/>
                <w:kern w:val="2"/>
                <w:sz w:val="21"/>
                <w:szCs w:val="21"/>
              </w:rPr>
            </w:pPr>
            <w:r>
              <w:rPr>
                <w:rFonts w:hint="eastAsia" w:ascii="宋体" w:hAnsi="宋体"/>
                <w:bCs/>
                <w:kern w:val="2"/>
                <w:sz w:val="21"/>
                <w:szCs w:val="21"/>
              </w:rPr>
              <w:t>符合法律法规或行业标准要求</w:t>
            </w:r>
          </w:p>
        </w:tc>
      </w:tr>
      <w:tr w14:paraId="5316E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tcPr>
          <w:p w14:paraId="65973843">
            <w:pPr>
              <w:rPr>
                <w:rFonts w:ascii="宋体" w:hAnsi="宋体"/>
                <w:bCs/>
                <w:kern w:val="2"/>
                <w:sz w:val="21"/>
                <w:szCs w:val="21"/>
              </w:rPr>
            </w:pPr>
          </w:p>
        </w:tc>
        <w:tc>
          <w:tcPr>
            <w:tcW w:w="1299" w:type="dxa"/>
            <w:vAlign w:val="center"/>
          </w:tcPr>
          <w:p w14:paraId="7556435E">
            <w:pPr>
              <w:jc w:val="both"/>
              <w:rPr>
                <w:rFonts w:ascii="宋体" w:hAnsi="宋体"/>
                <w:bCs/>
                <w:kern w:val="2"/>
                <w:sz w:val="21"/>
                <w:szCs w:val="21"/>
              </w:rPr>
            </w:pPr>
            <w:r>
              <w:rPr>
                <w:rFonts w:hint="eastAsia" w:ascii="宋体" w:hAnsi="宋体"/>
                <w:bCs/>
                <w:kern w:val="2"/>
                <w:sz w:val="21"/>
                <w:szCs w:val="21"/>
              </w:rPr>
              <w:t>支持过程</w:t>
            </w:r>
          </w:p>
        </w:tc>
        <w:tc>
          <w:tcPr>
            <w:tcW w:w="1820" w:type="dxa"/>
            <w:vAlign w:val="center"/>
          </w:tcPr>
          <w:p w14:paraId="096375F9">
            <w:pPr>
              <w:jc w:val="both"/>
              <w:rPr>
                <w:rFonts w:ascii="宋体" w:hAnsi="宋体"/>
                <w:bCs/>
                <w:kern w:val="2"/>
                <w:sz w:val="21"/>
                <w:szCs w:val="21"/>
              </w:rPr>
            </w:pPr>
            <w:r>
              <w:rPr>
                <w:rFonts w:hint="eastAsia" w:ascii="宋体" w:hAnsi="宋体"/>
                <w:bCs/>
                <w:kern w:val="2"/>
                <w:sz w:val="21"/>
                <w:szCs w:val="21"/>
              </w:rPr>
              <w:t>符合安全性、稳定性和实用性方面的要求</w:t>
            </w:r>
          </w:p>
        </w:tc>
        <w:tc>
          <w:tcPr>
            <w:tcW w:w="1536" w:type="dxa"/>
            <w:vAlign w:val="center"/>
          </w:tcPr>
          <w:p w14:paraId="47B178A5">
            <w:pPr>
              <w:jc w:val="both"/>
              <w:rPr>
                <w:rFonts w:ascii="宋体" w:hAnsi="宋体"/>
                <w:bCs/>
                <w:kern w:val="2"/>
                <w:sz w:val="21"/>
                <w:szCs w:val="21"/>
              </w:rPr>
            </w:pPr>
            <w:r>
              <w:rPr>
                <w:rFonts w:hint="eastAsia" w:ascii="宋体" w:hAnsi="宋体"/>
                <w:bCs/>
                <w:kern w:val="2"/>
                <w:sz w:val="21"/>
                <w:szCs w:val="21"/>
              </w:rPr>
              <w:t>成本方面、通用化方面审查</w:t>
            </w:r>
          </w:p>
        </w:tc>
        <w:tc>
          <w:tcPr>
            <w:tcW w:w="1440" w:type="dxa"/>
            <w:vAlign w:val="center"/>
          </w:tcPr>
          <w:p w14:paraId="7E6E2BB4">
            <w:pPr>
              <w:jc w:val="both"/>
              <w:rPr>
                <w:rFonts w:ascii="宋体" w:hAnsi="宋体"/>
                <w:bCs/>
                <w:kern w:val="2"/>
                <w:sz w:val="21"/>
                <w:szCs w:val="21"/>
              </w:rPr>
            </w:pPr>
            <w:r>
              <w:rPr>
                <w:rFonts w:hint="eastAsia" w:ascii="宋体" w:hAnsi="宋体"/>
                <w:bCs/>
                <w:kern w:val="2"/>
                <w:sz w:val="21"/>
                <w:szCs w:val="21"/>
              </w:rPr>
              <w:t>利于提高技术水平，工作强度低</w:t>
            </w:r>
          </w:p>
        </w:tc>
        <w:tc>
          <w:tcPr>
            <w:tcW w:w="1276" w:type="dxa"/>
            <w:vAlign w:val="center"/>
          </w:tcPr>
          <w:p w14:paraId="638F8975">
            <w:pPr>
              <w:jc w:val="both"/>
              <w:rPr>
                <w:rFonts w:ascii="宋体" w:hAnsi="宋体"/>
                <w:bCs/>
                <w:kern w:val="2"/>
                <w:sz w:val="21"/>
                <w:szCs w:val="21"/>
              </w:rPr>
            </w:pPr>
            <w:r>
              <w:rPr>
                <w:rFonts w:hint="eastAsia" w:ascii="宋体" w:hAnsi="宋体"/>
                <w:bCs/>
                <w:kern w:val="2"/>
                <w:sz w:val="21"/>
                <w:szCs w:val="21"/>
              </w:rPr>
              <w:t>有较高的通用化、标准化</w:t>
            </w:r>
          </w:p>
        </w:tc>
        <w:tc>
          <w:tcPr>
            <w:tcW w:w="1388" w:type="dxa"/>
            <w:vAlign w:val="center"/>
          </w:tcPr>
          <w:p w14:paraId="14992B18">
            <w:pPr>
              <w:jc w:val="both"/>
              <w:rPr>
                <w:rFonts w:ascii="宋体" w:hAnsi="宋体"/>
                <w:bCs/>
                <w:kern w:val="2"/>
                <w:sz w:val="21"/>
                <w:szCs w:val="21"/>
              </w:rPr>
            </w:pPr>
            <w:r>
              <w:rPr>
                <w:rFonts w:hint="eastAsia" w:ascii="宋体" w:hAnsi="宋体"/>
                <w:bCs/>
                <w:kern w:val="2"/>
                <w:sz w:val="21"/>
                <w:szCs w:val="21"/>
              </w:rPr>
              <w:t>符合标准及法律法规</w:t>
            </w:r>
          </w:p>
        </w:tc>
      </w:tr>
      <w:tr w14:paraId="77F8B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restart"/>
            <w:vAlign w:val="center"/>
          </w:tcPr>
          <w:p w14:paraId="30891781">
            <w:pPr>
              <w:jc w:val="center"/>
              <w:rPr>
                <w:rFonts w:ascii="宋体" w:hAnsi="宋体"/>
                <w:bCs/>
                <w:kern w:val="2"/>
                <w:sz w:val="21"/>
                <w:szCs w:val="21"/>
              </w:rPr>
            </w:pPr>
            <w:r>
              <w:rPr>
                <w:rFonts w:hint="eastAsia" w:ascii="宋体" w:hAnsi="宋体"/>
                <w:bCs/>
                <w:kern w:val="2"/>
                <w:sz w:val="21"/>
                <w:szCs w:val="21"/>
              </w:rPr>
              <w:t>供应链管理过程</w:t>
            </w:r>
          </w:p>
        </w:tc>
        <w:tc>
          <w:tcPr>
            <w:tcW w:w="1299" w:type="dxa"/>
            <w:vAlign w:val="center"/>
          </w:tcPr>
          <w:p w14:paraId="16576A76">
            <w:pPr>
              <w:jc w:val="both"/>
              <w:rPr>
                <w:rFonts w:ascii="宋体" w:hAnsi="宋体"/>
                <w:bCs/>
                <w:kern w:val="2"/>
                <w:sz w:val="21"/>
                <w:szCs w:val="21"/>
              </w:rPr>
            </w:pPr>
            <w:r>
              <w:rPr>
                <w:rFonts w:hint="eastAsia" w:ascii="宋体" w:hAnsi="宋体"/>
                <w:bCs/>
                <w:kern w:val="2"/>
                <w:sz w:val="21"/>
                <w:szCs w:val="21"/>
              </w:rPr>
              <w:t>供方管理</w:t>
            </w:r>
          </w:p>
        </w:tc>
        <w:tc>
          <w:tcPr>
            <w:tcW w:w="1820" w:type="dxa"/>
            <w:vAlign w:val="center"/>
          </w:tcPr>
          <w:p w14:paraId="329BE5FE">
            <w:pPr>
              <w:jc w:val="both"/>
              <w:rPr>
                <w:rFonts w:ascii="宋体" w:hAnsi="宋体"/>
                <w:bCs/>
                <w:kern w:val="2"/>
                <w:sz w:val="21"/>
                <w:szCs w:val="21"/>
              </w:rPr>
            </w:pPr>
            <w:r>
              <w:rPr>
                <w:rFonts w:hint="eastAsia" w:ascii="宋体" w:hAnsi="宋体"/>
                <w:bCs/>
                <w:kern w:val="2"/>
                <w:sz w:val="21"/>
                <w:szCs w:val="21"/>
              </w:rPr>
              <w:t>质优价廉</w:t>
            </w:r>
          </w:p>
        </w:tc>
        <w:tc>
          <w:tcPr>
            <w:tcW w:w="1536" w:type="dxa"/>
            <w:vAlign w:val="center"/>
          </w:tcPr>
          <w:p w14:paraId="21D312CC">
            <w:pPr>
              <w:jc w:val="both"/>
              <w:rPr>
                <w:rFonts w:ascii="宋体" w:hAnsi="宋体"/>
                <w:bCs/>
                <w:kern w:val="2"/>
                <w:sz w:val="21"/>
                <w:szCs w:val="21"/>
              </w:rPr>
            </w:pPr>
            <w:r>
              <w:rPr>
                <w:rFonts w:hint="eastAsia" w:ascii="宋体" w:hAnsi="宋体"/>
                <w:bCs/>
                <w:kern w:val="2"/>
                <w:sz w:val="21"/>
                <w:szCs w:val="21"/>
              </w:rPr>
              <w:t>质优价廉</w:t>
            </w:r>
          </w:p>
        </w:tc>
        <w:tc>
          <w:tcPr>
            <w:tcW w:w="1440" w:type="dxa"/>
            <w:vAlign w:val="center"/>
          </w:tcPr>
          <w:p w14:paraId="3984E790">
            <w:pPr>
              <w:jc w:val="both"/>
              <w:rPr>
                <w:rFonts w:ascii="宋体" w:hAnsi="宋体"/>
                <w:bCs/>
                <w:kern w:val="2"/>
                <w:sz w:val="21"/>
                <w:szCs w:val="21"/>
              </w:rPr>
            </w:pPr>
            <w:r>
              <w:rPr>
                <w:rFonts w:hint="eastAsia" w:ascii="宋体" w:hAnsi="宋体"/>
                <w:bCs/>
                <w:kern w:val="2"/>
                <w:sz w:val="21"/>
                <w:szCs w:val="21"/>
              </w:rPr>
              <w:t>送货及时零部件质量稳定</w:t>
            </w:r>
          </w:p>
        </w:tc>
        <w:tc>
          <w:tcPr>
            <w:tcW w:w="1276" w:type="dxa"/>
            <w:vAlign w:val="center"/>
          </w:tcPr>
          <w:p w14:paraId="3AB455C8">
            <w:pPr>
              <w:jc w:val="both"/>
              <w:rPr>
                <w:rFonts w:ascii="宋体" w:hAnsi="宋体"/>
                <w:bCs/>
                <w:kern w:val="2"/>
                <w:sz w:val="21"/>
                <w:szCs w:val="21"/>
              </w:rPr>
            </w:pPr>
            <w:r>
              <w:rPr>
                <w:rFonts w:hint="eastAsia" w:ascii="宋体" w:hAnsi="宋体"/>
                <w:bCs/>
                <w:kern w:val="2"/>
                <w:sz w:val="21"/>
                <w:szCs w:val="21"/>
              </w:rPr>
              <w:t>对供应方进行指导；互利互赢</w:t>
            </w:r>
          </w:p>
        </w:tc>
        <w:tc>
          <w:tcPr>
            <w:tcW w:w="1388" w:type="dxa"/>
            <w:vAlign w:val="center"/>
          </w:tcPr>
          <w:p w14:paraId="334BA4A9">
            <w:pPr>
              <w:jc w:val="both"/>
              <w:rPr>
                <w:rFonts w:ascii="宋体" w:hAnsi="宋体"/>
                <w:bCs/>
                <w:kern w:val="2"/>
                <w:sz w:val="21"/>
                <w:szCs w:val="21"/>
              </w:rPr>
            </w:pPr>
            <w:r>
              <w:rPr>
                <w:rFonts w:hint="eastAsia" w:ascii="宋体" w:hAnsi="宋体"/>
                <w:bCs/>
                <w:kern w:val="2"/>
                <w:sz w:val="21"/>
                <w:szCs w:val="21"/>
              </w:rPr>
              <w:t>与供方共同承担社会责任</w:t>
            </w:r>
          </w:p>
        </w:tc>
      </w:tr>
      <w:tr w14:paraId="0BBE4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tcPr>
          <w:p w14:paraId="1C14583D">
            <w:pPr>
              <w:rPr>
                <w:rFonts w:ascii="宋体" w:hAnsi="宋体"/>
                <w:bCs/>
                <w:kern w:val="2"/>
                <w:sz w:val="21"/>
                <w:szCs w:val="21"/>
              </w:rPr>
            </w:pPr>
          </w:p>
        </w:tc>
        <w:tc>
          <w:tcPr>
            <w:tcW w:w="1299" w:type="dxa"/>
            <w:vAlign w:val="center"/>
          </w:tcPr>
          <w:p w14:paraId="5389ED02">
            <w:pPr>
              <w:pStyle w:val="37"/>
              <w:jc w:val="both"/>
              <w:rPr>
                <w:rFonts w:hAnsi="宋体"/>
                <w:bCs/>
                <w:kern w:val="2"/>
                <w:sz w:val="21"/>
                <w:szCs w:val="21"/>
              </w:rPr>
            </w:pPr>
            <w:r>
              <w:rPr>
                <w:rFonts w:hint="eastAsia" w:hAnsi="宋体"/>
                <w:bCs/>
                <w:kern w:val="2"/>
                <w:sz w:val="21"/>
                <w:szCs w:val="21"/>
              </w:rPr>
              <w:t>进货检验过程</w:t>
            </w:r>
          </w:p>
        </w:tc>
        <w:tc>
          <w:tcPr>
            <w:tcW w:w="1820" w:type="dxa"/>
            <w:vAlign w:val="center"/>
          </w:tcPr>
          <w:p w14:paraId="6D563F30">
            <w:pPr>
              <w:pStyle w:val="37"/>
              <w:jc w:val="both"/>
              <w:rPr>
                <w:rFonts w:hAnsi="宋体"/>
                <w:bCs/>
                <w:kern w:val="2"/>
                <w:sz w:val="21"/>
                <w:szCs w:val="21"/>
              </w:rPr>
            </w:pPr>
            <w:r>
              <w:rPr>
                <w:rFonts w:hint="eastAsia" w:hAnsi="宋体"/>
                <w:bCs/>
                <w:kern w:val="2"/>
                <w:sz w:val="21"/>
                <w:szCs w:val="21"/>
              </w:rPr>
              <w:t>质量和可靠性高</w:t>
            </w:r>
          </w:p>
        </w:tc>
        <w:tc>
          <w:tcPr>
            <w:tcW w:w="1536" w:type="dxa"/>
            <w:vAlign w:val="center"/>
          </w:tcPr>
          <w:p w14:paraId="20C30FFF">
            <w:pPr>
              <w:pStyle w:val="37"/>
              <w:jc w:val="both"/>
              <w:rPr>
                <w:rFonts w:hAnsi="宋体"/>
                <w:bCs/>
                <w:kern w:val="2"/>
                <w:sz w:val="21"/>
                <w:szCs w:val="21"/>
              </w:rPr>
            </w:pPr>
            <w:r>
              <w:rPr>
                <w:rFonts w:hint="eastAsia" w:hAnsi="宋体"/>
                <w:bCs/>
                <w:kern w:val="2"/>
                <w:sz w:val="21"/>
                <w:szCs w:val="21"/>
              </w:rPr>
              <w:t>漏检率低，零部件合格</w:t>
            </w:r>
          </w:p>
        </w:tc>
        <w:tc>
          <w:tcPr>
            <w:tcW w:w="1440" w:type="dxa"/>
            <w:vAlign w:val="center"/>
          </w:tcPr>
          <w:p w14:paraId="76497157">
            <w:pPr>
              <w:pStyle w:val="37"/>
              <w:jc w:val="both"/>
              <w:rPr>
                <w:rFonts w:hAnsi="宋体"/>
                <w:bCs/>
                <w:kern w:val="2"/>
                <w:sz w:val="21"/>
                <w:szCs w:val="21"/>
              </w:rPr>
            </w:pPr>
            <w:r>
              <w:rPr>
                <w:rFonts w:hint="eastAsia" w:hAnsi="宋体"/>
                <w:bCs/>
                <w:kern w:val="2"/>
                <w:sz w:val="21"/>
                <w:szCs w:val="21"/>
              </w:rPr>
              <w:t>质优、避免返工返修</w:t>
            </w:r>
          </w:p>
        </w:tc>
        <w:tc>
          <w:tcPr>
            <w:tcW w:w="1276" w:type="dxa"/>
            <w:vAlign w:val="center"/>
          </w:tcPr>
          <w:p w14:paraId="7A8E1049">
            <w:pPr>
              <w:pStyle w:val="37"/>
              <w:jc w:val="both"/>
              <w:rPr>
                <w:rFonts w:hAnsi="宋体"/>
                <w:bCs/>
                <w:kern w:val="2"/>
                <w:sz w:val="21"/>
                <w:szCs w:val="21"/>
              </w:rPr>
            </w:pPr>
            <w:r>
              <w:rPr>
                <w:rFonts w:hint="eastAsia" w:hAnsi="宋体"/>
                <w:bCs/>
                <w:kern w:val="2"/>
                <w:sz w:val="21"/>
                <w:szCs w:val="21"/>
              </w:rPr>
              <w:t>检验简便、沟通及时</w:t>
            </w:r>
          </w:p>
        </w:tc>
        <w:tc>
          <w:tcPr>
            <w:tcW w:w="1388" w:type="dxa"/>
            <w:vAlign w:val="center"/>
          </w:tcPr>
          <w:p w14:paraId="3713C020">
            <w:pPr>
              <w:pStyle w:val="37"/>
              <w:jc w:val="both"/>
              <w:rPr>
                <w:rFonts w:hAnsi="宋体"/>
                <w:bCs/>
                <w:kern w:val="2"/>
                <w:sz w:val="21"/>
                <w:szCs w:val="21"/>
              </w:rPr>
            </w:pPr>
            <w:r>
              <w:rPr>
                <w:rFonts w:hint="eastAsia" w:hAnsi="宋体"/>
                <w:bCs/>
                <w:kern w:val="2"/>
                <w:sz w:val="21"/>
                <w:szCs w:val="21"/>
              </w:rPr>
              <w:t>标准符合规定要求</w:t>
            </w:r>
          </w:p>
        </w:tc>
      </w:tr>
      <w:tr w14:paraId="0DA8E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tcPr>
          <w:p w14:paraId="1E7603E0">
            <w:pPr>
              <w:rPr>
                <w:rFonts w:ascii="宋体" w:hAnsi="宋体"/>
                <w:bCs/>
                <w:kern w:val="2"/>
                <w:sz w:val="21"/>
                <w:szCs w:val="21"/>
              </w:rPr>
            </w:pPr>
          </w:p>
        </w:tc>
        <w:tc>
          <w:tcPr>
            <w:tcW w:w="1299" w:type="dxa"/>
            <w:vAlign w:val="center"/>
          </w:tcPr>
          <w:p w14:paraId="307F6F7C">
            <w:pPr>
              <w:pStyle w:val="37"/>
              <w:jc w:val="both"/>
              <w:rPr>
                <w:rFonts w:hAnsi="宋体"/>
                <w:bCs/>
                <w:kern w:val="2"/>
                <w:sz w:val="21"/>
                <w:szCs w:val="21"/>
              </w:rPr>
            </w:pPr>
            <w:r>
              <w:rPr>
                <w:rFonts w:hint="eastAsia" w:hAnsi="宋体"/>
                <w:bCs/>
                <w:kern w:val="2"/>
                <w:sz w:val="21"/>
                <w:szCs w:val="21"/>
              </w:rPr>
              <w:t>采购流程</w:t>
            </w:r>
          </w:p>
        </w:tc>
        <w:tc>
          <w:tcPr>
            <w:tcW w:w="1820" w:type="dxa"/>
            <w:vAlign w:val="center"/>
          </w:tcPr>
          <w:p w14:paraId="23E4A9FC">
            <w:pPr>
              <w:pStyle w:val="37"/>
              <w:jc w:val="both"/>
              <w:rPr>
                <w:rFonts w:hAnsi="宋体"/>
                <w:bCs/>
                <w:kern w:val="2"/>
                <w:sz w:val="21"/>
                <w:szCs w:val="21"/>
              </w:rPr>
            </w:pPr>
            <w:r>
              <w:rPr>
                <w:rFonts w:hint="eastAsia" w:hAnsi="宋体"/>
                <w:bCs/>
                <w:kern w:val="2"/>
                <w:sz w:val="21"/>
                <w:szCs w:val="21"/>
              </w:rPr>
              <w:t>控制成本</w:t>
            </w:r>
          </w:p>
          <w:p w14:paraId="1659FC65">
            <w:pPr>
              <w:pStyle w:val="37"/>
              <w:jc w:val="both"/>
              <w:rPr>
                <w:rFonts w:hAnsi="宋体"/>
                <w:bCs/>
                <w:kern w:val="2"/>
                <w:sz w:val="21"/>
                <w:szCs w:val="21"/>
              </w:rPr>
            </w:pPr>
            <w:r>
              <w:rPr>
                <w:rFonts w:hint="eastAsia" w:hAnsi="宋体"/>
                <w:bCs/>
                <w:kern w:val="2"/>
                <w:sz w:val="21"/>
                <w:szCs w:val="21"/>
              </w:rPr>
              <w:t>廉洁奉公</w:t>
            </w:r>
          </w:p>
        </w:tc>
        <w:tc>
          <w:tcPr>
            <w:tcW w:w="1536" w:type="dxa"/>
            <w:vAlign w:val="center"/>
          </w:tcPr>
          <w:p w14:paraId="15346BFC">
            <w:pPr>
              <w:pStyle w:val="37"/>
              <w:jc w:val="both"/>
              <w:rPr>
                <w:rFonts w:hAnsi="宋体"/>
                <w:bCs/>
                <w:kern w:val="2"/>
                <w:sz w:val="21"/>
                <w:szCs w:val="21"/>
              </w:rPr>
            </w:pPr>
            <w:r>
              <w:rPr>
                <w:rFonts w:hint="eastAsia" w:hAnsi="宋体"/>
                <w:bCs/>
                <w:kern w:val="2"/>
                <w:sz w:val="21"/>
                <w:szCs w:val="21"/>
              </w:rPr>
              <w:t>采购成本低，供应稳定</w:t>
            </w:r>
          </w:p>
        </w:tc>
        <w:tc>
          <w:tcPr>
            <w:tcW w:w="1440" w:type="dxa"/>
            <w:vAlign w:val="center"/>
          </w:tcPr>
          <w:p w14:paraId="171F6C5B">
            <w:pPr>
              <w:pStyle w:val="37"/>
              <w:jc w:val="both"/>
              <w:rPr>
                <w:rFonts w:hAnsi="宋体"/>
                <w:bCs/>
                <w:kern w:val="2"/>
                <w:sz w:val="21"/>
                <w:szCs w:val="21"/>
              </w:rPr>
            </w:pPr>
            <w:r>
              <w:rPr>
                <w:rFonts w:hint="eastAsia" w:hAnsi="宋体"/>
                <w:bCs/>
                <w:kern w:val="2"/>
                <w:sz w:val="21"/>
                <w:szCs w:val="21"/>
              </w:rPr>
              <w:t>及时送货</w:t>
            </w:r>
          </w:p>
          <w:p w14:paraId="2B8C8F50">
            <w:pPr>
              <w:pStyle w:val="37"/>
              <w:jc w:val="both"/>
              <w:rPr>
                <w:rFonts w:hAnsi="宋体"/>
                <w:bCs/>
                <w:kern w:val="2"/>
                <w:sz w:val="21"/>
                <w:szCs w:val="21"/>
              </w:rPr>
            </w:pPr>
            <w:r>
              <w:rPr>
                <w:rFonts w:hint="eastAsia" w:hAnsi="宋体"/>
                <w:bCs/>
                <w:kern w:val="2"/>
                <w:sz w:val="21"/>
                <w:szCs w:val="21"/>
              </w:rPr>
              <w:t>好装好用</w:t>
            </w:r>
          </w:p>
        </w:tc>
        <w:tc>
          <w:tcPr>
            <w:tcW w:w="1276" w:type="dxa"/>
            <w:vAlign w:val="center"/>
          </w:tcPr>
          <w:p w14:paraId="4A62C901">
            <w:pPr>
              <w:pStyle w:val="37"/>
              <w:jc w:val="both"/>
              <w:rPr>
                <w:rFonts w:hAnsi="宋体"/>
                <w:bCs/>
                <w:kern w:val="2"/>
                <w:sz w:val="21"/>
                <w:szCs w:val="21"/>
              </w:rPr>
            </w:pPr>
            <w:r>
              <w:rPr>
                <w:rFonts w:hint="eastAsia" w:hAnsi="宋体"/>
                <w:bCs/>
                <w:kern w:val="2"/>
                <w:sz w:val="21"/>
                <w:szCs w:val="21"/>
              </w:rPr>
              <w:t>提前下达采购计划；</w:t>
            </w:r>
          </w:p>
          <w:p w14:paraId="4AC5F624">
            <w:pPr>
              <w:pStyle w:val="37"/>
              <w:jc w:val="both"/>
              <w:rPr>
                <w:rFonts w:hAnsi="宋体"/>
                <w:bCs/>
                <w:kern w:val="2"/>
                <w:sz w:val="21"/>
                <w:szCs w:val="21"/>
              </w:rPr>
            </w:pPr>
            <w:r>
              <w:rPr>
                <w:rFonts w:hint="eastAsia" w:hAnsi="宋体"/>
                <w:bCs/>
                <w:kern w:val="2"/>
                <w:sz w:val="21"/>
                <w:szCs w:val="21"/>
              </w:rPr>
              <w:t>价格合理</w:t>
            </w:r>
          </w:p>
        </w:tc>
        <w:tc>
          <w:tcPr>
            <w:tcW w:w="1388" w:type="dxa"/>
            <w:vAlign w:val="center"/>
          </w:tcPr>
          <w:p w14:paraId="2780A78F">
            <w:pPr>
              <w:pStyle w:val="37"/>
              <w:jc w:val="both"/>
              <w:rPr>
                <w:rFonts w:hAnsi="宋体"/>
                <w:bCs/>
                <w:kern w:val="2"/>
                <w:sz w:val="21"/>
                <w:szCs w:val="21"/>
              </w:rPr>
            </w:pPr>
            <w:r>
              <w:rPr>
                <w:rFonts w:hint="eastAsia" w:hAnsi="宋体"/>
                <w:bCs/>
                <w:kern w:val="2"/>
                <w:sz w:val="21"/>
                <w:szCs w:val="21"/>
              </w:rPr>
              <w:t>对供方提出环境方面的要求</w:t>
            </w:r>
          </w:p>
        </w:tc>
      </w:tr>
      <w:tr w14:paraId="7A5AE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restart"/>
            <w:vAlign w:val="center"/>
          </w:tcPr>
          <w:p w14:paraId="230CFCDD">
            <w:pPr>
              <w:jc w:val="center"/>
              <w:rPr>
                <w:rFonts w:ascii="宋体" w:hAnsi="宋体"/>
                <w:bCs/>
                <w:kern w:val="2"/>
                <w:sz w:val="21"/>
                <w:szCs w:val="21"/>
              </w:rPr>
            </w:pPr>
            <w:r>
              <w:rPr>
                <w:rFonts w:hint="eastAsia" w:ascii="宋体" w:hAnsi="宋体"/>
                <w:bCs/>
                <w:kern w:val="2"/>
                <w:sz w:val="21"/>
                <w:szCs w:val="21"/>
              </w:rPr>
              <w:t>产品制造过程</w:t>
            </w:r>
          </w:p>
        </w:tc>
        <w:tc>
          <w:tcPr>
            <w:tcW w:w="1299" w:type="dxa"/>
            <w:vAlign w:val="center"/>
          </w:tcPr>
          <w:p w14:paraId="444D60FC">
            <w:pPr>
              <w:pStyle w:val="37"/>
              <w:jc w:val="both"/>
              <w:rPr>
                <w:rFonts w:hAnsi="宋体"/>
                <w:bCs/>
                <w:kern w:val="2"/>
                <w:sz w:val="21"/>
                <w:szCs w:val="21"/>
              </w:rPr>
            </w:pPr>
            <w:r>
              <w:rPr>
                <w:rFonts w:hint="eastAsia" w:hAnsi="宋体"/>
                <w:bCs/>
                <w:kern w:val="2"/>
                <w:sz w:val="21"/>
                <w:szCs w:val="21"/>
              </w:rPr>
              <w:t>现场余料控制过程</w:t>
            </w:r>
          </w:p>
        </w:tc>
        <w:tc>
          <w:tcPr>
            <w:tcW w:w="1820" w:type="dxa"/>
            <w:vAlign w:val="center"/>
          </w:tcPr>
          <w:p w14:paraId="678E6DF3">
            <w:pPr>
              <w:pStyle w:val="37"/>
              <w:jc w:val="both"/>
              <w:rPr>
                <w:rFonts w:hAnsi="宋体"/>
                <w:bCs/>
                <w:kern w:val="2"/>
                <w:sz w:val="21"/>
                <w:szCs w:val="21"/>
              </w:rPr>
            </w:pPr>
            <w:r>
              <w:rPr>
                <w:rFonts w:hint="eastAsia" w:hAnsi="宋体"/>
                <w:bCs/>
                <w:kern w:val="2"/>
                <w:sz w:val="21"/>
                <w:szCs w:val="21"/>
              </w:rPr>
              <w:t>降低物料积压，使得价值最大化</w:t>
            </w:r>
          </w:p>
        </w:tc>
        <w:tc>
          <w:tcPr>
            <w:tcW w:w="1536" w:type="dxa"/>
            <w:vAlign w:val="center"/>
          </w:tcPr>
          <w:p w14:paraId="5E1CEB47">
            <w:pPr>
              <w:pStyle w:val="37"/>
              <w:jc w:val="both"/>
              <w:rPr>
                <w:rFonts w:hAnsi="宋体"/>
                <w:bCs/>
                <w:kern w:val="2"/>
                <w:sz w:val="21"/>
                <w:szCs w:val="21"/>
              </w:rPr>
            </w:pPr>
            <w:r>
              <w:rPr>
                <w:rFonts w:hint="eastAsia" w:hAnsi="宋体"/>
                <w:bCs/>
                <w:kern w:val="2"/>
                <w:sz w:val="21"/>
                <w:szCs w:val="21"/>
              </w:rPr>
              <w:t>降低物料积压和间接成本，使得价值最大化</w:t>
            </w:r>
          </w:p>
        </w:tc>
        <w:tc>
          <w:tcPr>
            <w:tcW w:w="1440" w:type="dxa"/>
            <w:vAlign w:val="center"/>
          </w:tcPr>
          <w:p w14:paraId="167AE121">
            <w:pPr>
              <w:pStyle w:val="37"/>
              <w:jc w:val="both"/>
              <w:rPr>
                <w:rFonts w:hAnsi="宋体"/>
                <w:bCs/>
                <w:kern w:val="2"/>
                <w:sz w:val="21"/>
                <w:szCs w:val="21"/>
              </w:rPr>
            </w:pPr>
            <w:r>
              <w:rPr>
                <w:rFonts w:hint="eastAsia" w:hAnsi="宋体"/>
                <w:bCs/>
                <w:kern w:val="2"/>
                <w:sz w:val="21"/>
                <w:szCs w:val="21"/>
              </w:rPr>
              <w:t>营造员工生产环境，确保环保和安全</w:t>
            </w:r>
          </w:p>
        </w:tc>
        <w:tc>
          <w:tcPr>
            <w:tcW w:w="1276" w:type="dxa"/>
            <w:vAlign w:val="center"/>
          </w:tcPr>
          <w:p w14:paraId="031B7CC5">
            <w:pPr>
              <w:pStyle w:val="37"/>
              <w:jc w:val="both"/>
              <w:rPr>
                <w:rFonts w:hAnsi="宋体"/>
                <w:bCs/>
                <w:kern w:val="2"/>
                <w:sz w:val="21"/>
                <w:szCs w:val="21"/>
              </w:rPr>
            </w:pPr>
            <w:r>
              <w:rPr>
                <w:rFonts w:hint="eastAsia" w:hAnsi="宋体"/>
                <w:bCs/>
                <w:kern w:val="2"/>
                <w:sz w:val="21"/>
                <w:szCs w:val="21"/>
              </w:rPr>
              <w:t>与供方共同减低库存和呆滞料</w:t>
            </w:r>
          </w:p>
        </w:tc>
        <w:tc>
          <w:tcPr>
            <w:tcW w:w="1388" w:type="dxa"/>
            <w:vAlign w:val="center"/>
          </w:tcPr>
          <w:p w14:paraId="508E3382">
            <w:pPr>
              <w:pStyle w:val="37"/>
              <w:jc w:val="both"/>
              <w:rPr>
                <w:rFonts w:hAnsi="宋体"/>
                <w:bCs/>
                <w:kern w:val="2"/>
                <w:sz w:val="21"/>
                <w:szCs w:val="21"/>
              </w:rPr>
            </w:pPr>
            <w:r>
              <w:rPr>
                <w:rFonts w:hint="eastAsia" w:hAnsi="宋体"/>
                <w:bCs/>
                <w:kern w:val="2"/>
                <w:sz w:val="21"/>
                <w:szCs w:val="21"/>
              </w:rPr>
              <w:t>废料处理不对环境产生负面影响</w:t>
            </w:r>
          </w:p>
        </w:tc>
      </w:tr>
      <w:tr w14:paraId="57B18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tcPr>
          <w:p w14:paraId="0C5A2E1A">
            <w:pPr>
              <w:rPr>
                <w:rFonts w:ascii="宋体" w:hAnsi="宋体"/>
                <w:bCs/>
                <w:kern w:val="2"/>
                <w:sz w:val="21"/>
                <w:szCs w:val="21"/>
              </w:rPr>
            </w:pPr>
          </w:p>
        </w:tc>
        <w:tc>
          <w:tcPr>
            <w:tcW w:w="1299" w:type="dxa"/>
            <w:vAlign w:val="center"/>
          </w:tcPr>
          <w:p w14:paraId="7AA755D0">
            <w:pPr>
              <w:pStyle w:val="37"/>
              <w:jc w:val="both"/>
              <w:rPr>
                <w:rFonts w:hAnsi="宋体"/>
                <w:bCs/>
                <w:kern w:val="2"/>
                <w:sz w:val="21"/>
                <w:szCs w:val="21"/>
              </w:rPr>
            </w:pPr>
            <w:r>
              <w:rPr>
                <w:rFonts w:hint="eastAsia" w:hAnsi="宋体"/>
                <w:bCs/>
                <w:kern w:val="2"/>
                <w:sz w:val="21"/>
                <w:szCs w:val="21"/>
              </w:rPr>
              <w:t>生产管理过程</w:t>
            </w:r>
          </w:p>
        </w:tc>
        <w:tc>
          <w:tcPr>
            <w:tcW w:w="1820" w:type="dxa"/>
            <w:vAlign w:val="center"/>
          </w:tcPr>
          <w:p w14:paraId="0093F983">
            <w:pPr>
              <w:pStyle w:val="37"/>
              <w:jc w:val="both"/>
              <w:rPr>
                <w:rFonts w:hAnsi="宋体"/>
                <w:bCs/>
                <w:kern w:val="2"/>
                <w:sz w:val="21"/>
                <w:szCs w:val="21"/>
              </w:rPr>
            </w:pPr>
            <w:r>
              <w:rPr>
                <w:rFonts w:hint="eastAsia" w:hAnsi="宋体"/>
                <w:bCs/>
                <w:kern w:val="2"/>
                <w:sz w:val="21"/>
                <w:szCs w:val="21"/>
              </w:rPr>
              <w:t>质量稳定，制造成本合理</w:t>
            </w:r>
          </w:p>
        </w:tc>
        <w:tc>
          <w:tcPr>
            <w:tcW w:w="1536" w:type="dxa"/>
            <w:vAlign w:val="center"/>
          </w:tcPr>
          <w:p w14:paraId="47D7CE43">
            <w:pPr>
              <w:pStyle w:val="37"/>
              <w:jc w:val="both"/>
              <w:rPr>
                <w:rFonts w:hAnsi="宋体"/>
                <w:bCs/>
                <w:kern w:val="2"/>
                <w:sz w:val="21"/>
                <w:szCs w:val="21"/>
              </w:rPr>
            </w:pPr>
            <w:r>
              <w:rPr>
                <w:rFonts w:hint="eastAsia" w:hAnsi="宋体"/>
                <w:bCs/>
                <w:kern w:val="2"/>
                <w:sz w:val="21"/>
                <w:szCs w:val="21"/>
              </w:rPr>
              <w:t>减少生产管理成本，使得价值最大化</w:t>
            </w:r>
          </w:p>
        </w:tc>
        <w:tc>
          <w:tcPr>
            <w:tcW w:w="1440" w:type="dxa"/>
            <w:vAlign w:val="center"/>
          </w:tcPr>
          <w:p w14:paraId="3D10B89B">
            <w:pPr>
              <w:pStyle w:val="37"/>
              <w:jc w:val="both"/>
              <w:rPr>
                <w:rFonts w:hAnsi="宋体"/>
                <w:bCs/>
                <w:kern w:val="2"/>
                <w:sz w:val="21"/>
                <w:szCs w:val="21"/>
              </w:rPr>
            </w:pPr>
            <w:r>
              <w:rPr>
                <w:rFonts w:hint="eastAsia" w:hAnsi="宋体"/>
                <w:bCs/>
                <w:kern w:val="2"/>
                <w:sz w:val="21"/>
                <w:szCs w:val="21"/>
              </w:rPr>
              <w:t>减少劳动强度；保证安全；良好的工作环境</w:t>
            </w:r>
          </w:p>
        </w:tc>
        <w:tc>
          <w:tcPr>
            <w:tcW w:w="1276" w:type="dxa"/>
            <w:vAlign w:val="center"/>
          </w:tcPr>
          <w:p w14:paraId="4586F690">
            <w:pPr>
              <w:pStyle w:val="37"/>
              <w:jc w:val="both"/>
              <w:rPr>
                <w:rFonts w:hAnsi="宋体"/>
                <w:bCs/>
                <w:kern w:val="2"/>
                <w:sz w:val="21"/>
                <w:szCs w:val="21"/>
              </w:rPr>
            </w:pPr>
            <w:r>
              <w:rPr>
                <w:rFonts w:hint="eastAsia" w:hAnsi="宋体"/>
                <w:bCs/>
                <w:kern w:val="2"/>
                <w:sz w:val="21"/>
                <w:szCs w:val="21"/>
              </w:rPr>
              <w:t>与供方共同确保生产顺利，减少停工待工</w:t>
            </w:r>
          </w:p>
        </w:tc>
        <w:tc>
          <w:tcPr>
            <w:tcW w:w="1388" w:type="dxa"/>
            <w:vAlign w:val="center"/>
          </w:tcPr>
          <w:p w14:paraId="65ADCD80">
            <w:pPr>
              <w:pStyle w:val="37"/>
              <w:jc w:val="both"/>
              <w:rPr>
                <w:rFonts w:hAnsi="宋体"/>
                <w:bCs/>
                <w:kern w:val="2"/>
                <w:sz w:val="21"/>
                <w:szCs w:val="21"/>
              </w:rPr>
            </w:pPr>
            <w:r>
              <w:rPr>
                <w:rFonts w:hint="eastAsia" w:hAnsi="宋体"/>
                <w:bCs/>
                <w:kern w:val="2"/>
                <w:sz w:val="21"/>
                <w:szCs w:val="21"/>
              </w:rPr>
              <w:t>不要对环境产生负面影响</w:t>
            </w:r>
          </w:p>
        </w:tc>
      </w:tr>
      <w:tr w14:paraId="23346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tcPr>
          <w:p w14:paraId="500F1487">
            <w:pPr>
              <w:rPr>
                <w:rFonts w:ascii="宋体" w:hAnsi="宋体"/>
                <w:bCs/>
                <w:kern w:val="2"/>
                <w:sz w:val="21"/>
                <w:szCs w:val="21"/>
              </w:rPr>
            </w:pPr>
          </w:p>
        </w:tc>
        <w:tc>
          <w:tcPr>
            <w:tcW w:w="1299" w:type="dxa"/>
            <w:vAlign w:val="center"/>
          </w:tcPr>
          <w:p w14:paraId="6D935402">
            <w:pPr>
              <w:pStyle w:val="37"/>
              <w:jc w:val="both"/>
              <w:rPr>
                <w:rFonts w:hAnsi="宋体"/>
                <w:bCs/>
                <w:kern w:val="2"/>
                <w:sz w:val="21"/>
                <w:szCs w:val="21"/>
              </w:rPr>
            </w:pPr>
            <w:r>
              <w:rPr>
                <w:rFonts w:hint="eastAsia" w:hAnsi="宋体"/>
                <w:bCs/>
                <w:kern w:val="2"/>
                <w:sz w:val="21"/>
                <w:szCs w:val="21"/>
              </w:rPr>
              <w:t>产品质量管理过程</w:t>
            </w:r>
          </w:p>
        </w:tc>
        <w:tc>
          <w:tcPr>
            <w:tcW w:w="1820" w:type="dxa"/>
            <w:vAlign w:val="center"/>
          </w:tcPr>
          <w:p w14:paraId="480AD02E">
            <w:pPr>
              <w:pStyle w:val="37"/>
              <w:jc w:val="both"/>
              <w:rPr>
                <w:rFonts w:hAnsi="宋体"/>
                <w:bCs/>
                <w:kern w:val="2"/>
                <w:sz w:val="21"/>
                <w:szCs w:val="21"/>
              </w:rPr>
            </w:pPr>
            <w:r>
              <w:rPr>
                <w:rFonts w:hint="eastAsia" w:hAnsi="宋体"/>
                <w:bCs/>
                <w:kern w:val="2"/>
                <w:sz w:val="21"/>
                <w:szCs w:val="21"/>
              </w:rPr>
              <w:t>质量稳定；</w:t>
            </w:r>
          </w:p>
        </w:tc>
        <w:tc>
          <w:tcPr>
            <w:tcW w:w="1536" w:type="dxa"/>
            <w:vAlign w:val="center"/>
          </w:tcPr>
          <w:p w14:paraId="61E14D80">
            <w:pPr>
              <w:pStyle w:val="37"/>
              <w:jc w:val="both"/>
              <w:rPr>
                <w:rFonts w:hAnsi="宋体"/>
                <w:bCs/>
                <w:kern w:val="2"/>
                <w:sz w:val="21"/>
                <w:szCs w:val="21"/>
              </w:rPr>
            </w:pPr>
            <w:r>
              <w:rPr>
                <w:rFonts w:hint="eastAsia" w:hAnsi="宋体"/>
                <w:bCs/>
                <w:kern w:val="2"/>
                <w:sz w:val="21"/>
                <w:szCs w:val="21"/>
              </w:rPr>
              <w:t>减少质量管理成本，使得价值最大化</w:t>
            </w:r>
          </w:p>
        </w:tc>
        <w:tc>
          <w:tcPr>
            <w:tcW w:w="1440" w:type="dxa"/>
            <w:vAlign w:val="center"/>
          </w:tcPr>
          <w:p w14:paraId="1B670AB5">
            <w:pPr>
              <w:pStyle w:val="37"/>
              <w:jc w:val="both"/>
              <w:rPr>
                <w:rFonts w:hAnsi="宋体"/>
                <w:bCs/>
                <w:kern w:val="2"/>
                <w:sz w:val="21"/>
                <w:szCs w:val="21"/>
              </w:rPr>
            </w:pPr>
            <w:r>
              <w:rPr>
                <w:rFonts w:hint="eastAsia" w:hAnsi="宋体"/>
                <w:bCs/>
                <w:kern w:val="2"/>
                <w:sz w:val="21"/>
                <w:szCs w:val="21"/>
              </w:rPr>
              <w:t>以质量保证生产顺利进行</w:t>
            </w:r>
          </w:p>
        </w:tc>
        <w:tc>
          <w:tcPr>
            <w:tcW w:w="1276" w:type="dxa"/>
            <w:vAlign w:val="center"/>
          </w:tcPr>
          <w:p w14:paraId="5B12881C">
            <w:pPr>
              <w:pStyle w:val="37"/>
              <w:jc w:val="both"/>
              <w:rPr>
                <w:rFonts w:hAnsi="宋体"/>
                <w:bCs/>
                <w:kern w:val="2"/>
                <w:sz w:val="21"/>
                <w:szCs w:val="21"/>
              </w:rPr>
            </w:pPr>
            <w:r>
              <w:rPr>
                <w:rFonts w:hint="eastAsia" w:hAnsi="宋体"/>
                <w:bCs/>
                <w:kern w:val="2"/>
                <w:sz w:val="21"/>
                <w:szCs w:val="21"/>
              </w:rPr>
              <w:t>及时准确地反馈零部件质量信息</w:t>
            </w:r>
          </w:p>
        </w:tc>
        <w:tc>
          <w:tcPr>
            <w:tcW w:w="1388" w:type="dxa"/>
            <w:vAlign w:val="center"/>
          </w:tcPr>
          <w:p w14:paraId="70FC8983">
            <w:pPr>
              <w:jc w:val="both"/>
              <w:rPr>
                <w:rFonts w:ascii="宋体" w:hAnsi="宋体"/>
                <w:bCs/>
                <w:kern w:val="2"/>
                <w:sz w:val="21"/>
                <w:szCs w:val="21"/>
              </w:rPr>
            </w:pPr>
            <w:r>
              <w:rPr>
                <w:rFonts w:hint="eastAsia" w:ascii="宋体" w:hAnsi="宋体"/>
                <w:bCs/>
                <w:kern w:val="2"/>
                <w:sz w:val="21"/>
                <w:szCs w:val="21"/>
              </w:rPr>
              <w:t>降低不合格品出现，提高资源利用率，保护环境</w:t>
            </w:r>
          </w:p>
        </w:tc>
      </w:tr>
      <w:tr w14:paraId="661FA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restart"/>
            <w:vAlign w:val="center"/>
          </w:tcPr>
          <w:p w14:paraId="2BDF90ED">
            <w:pPr>
              <w:jc w:val="center"/>
              <w:rPr>
                <w:rFonts w:ascii="宋体" w:hAnsi="宋体"/>
                <w:bCs/>
                <w:kern w:val="2"/>
                <w:sz w:val="21"/>
                <w:szCs w:val="21"/>
              </w:rPr>
            </w:pPr>
            <w:r>
              <w:rPr>
                <w:rFonts w:hint="eastAsia" w:ascii="宋体" w:hAnsi="宋体"/>
                <w:bCs/>
                <w:kern w:val="2"/>
                <w:sz w:val="21"/>
                <w:szCs w:val="21"/>
              </w:rPr>
              <w:t>市场营销服务过程</w:t>
            </w:r>
          </w:p>
        </w:tc>
        <w:tc>
          <w:tcPr>
            <w:tcW w:w="1299" w:type="dxa"/>
            <w:vAlign w:val="center"/>
          </w:tcPr>
          <w:p w14:paraId="3AC7A1B9">
            <w:pPr>
              <w:pStyle w:val="37"/>
              <w:jc w:val="both"/>
              <w:rPr>
                <w:rFonts w:hAnsi="宋体"/>
                <w:bCs/>
                <w:kern w:val="2"/>
                <w:sz w:val="21"/>
                <w:szCs w:val="21"/>
              </w:rPr>
            </w:pPr>
            <w:r>
              <w:rPr>
                <w:rFonts w:hint="eastAsia" w:hAnsi="宋体"/>
                <w:bCs/>
                <w:kern w:val="2"/>
                <w:sz w:val="21"/>
                <w:szCs w:val="21"/>
              </w:rPr>
              <w:t>订单管理过程</w:t>
            </w:r>
          </w:p>
        </w:tc>
        <w:tc>
          <w:tcPr>
            <w:tcW w:w="1820" w:type="dxa"/>
            <w:vAlign w:val="center"/>
          </w:tcPr>
          <w:p w14:paraId="179416F1">
            <w:pPr>
              <w:pStyle w:val="37"/>
              <w:jc w:val="both"/>
              <w:rPr>
                <w:rFonts w:hAnsi="宋体"/>
                <w:bCs/>
                <w:kern w:val="2"/>
                <w:sz w:val="21"/>
                <w:szCs w:val="21"/>
              </w:rPr>
            </w:pPr>
            <w:r>
              <w:rPr>
                <w:rFonts w:hint="eastAsia" w:hAnsi="宋体"/>
                <w:bCs/>
                <w:kern w:val="2"/>
                <w:sz w:val="21"/>
                <w:szCs w:val="21"/>
              </w:rPr>
              <w:t>及时、准确把握、传达顾客需求</w:t>
            </w:r>
          </w:p>
        </w:tc>
        <w:tc>
          <w:tcPr>
            <w:tcW w:w="1536" w:type="dxa"/>
            <w:vAlign w:val="center"/>
          </w:tcPr>
          <w:p w14:paraId="2740E223">
            <w:pPr>
              <w:pStyle w:val="37"/>
              <w:jc w:val="both"/>
              <w:rPr>
                <w:rFonts w:hAnsi="宋体"/>
                <w:bCs/>
                <w:kern w:val="2"/>
                <w:sz w:val="21"/>
                <w:szCs w:val="21"/>
              </w:rPr>
            </w:pPr>
            <w:r>
              <w:rPr>
                <w:rFonts w:hint="eastAsia" w:hAnsi="宋体"/>
                <w:bCs/>
                <w:kern w:val="2"/>
                <w:sz w:val="21"/>
                <w:szCs w:val="21"/>
              </w:rPr>
              <w:t>增加销售渠道，实现利润最大化</w:t>
            </w:r>
          </w:p>
        </w:tc>
        <w:tc>
          <w:tcPr>
            <w:tcW w:w="1440" w:type="dxa"/>
            <w:vAlign w:val="center"/>
          </w:tcPr>
          <w:p w14:paraId="7F30103C">
            <w:pPr>
              <w:pStyle w:val="37"/>
              <w:jc w:val="both"/>
              <w:rPr>
                <w:rFonts w:hAnsi="宋体"/>
                <w:bCs/>
                <w:kern w:val="2"/>
                <w:sz w:val="21"/>
                <w:szCs w:val="21"/>
              </w:rPr>
            </w:pPr>
            <w:r>
              <w:rPr>
                <w:rFonts w:hint="eastAsia" w:hAnsi="宋体"/>
                <w:bCs/>
                <w:kern w:val="2"/>
                <w:sz w:val="21"/>
                <w:szCs w:val="21"/>
              </w:rPr>
              <w:t>工作简单</w:t>
            </w:r>
          </w:p>
        </w:tc>
        <w:tc>
          <w:tcPr>
            <w:tcW w:w="1276" w:type="dxa"/>
            <w:vAlign w:val="center"/>
          </w:tcPr>
          <w:p w14:paraId="71EBBE7C">
            <w:pPr>
              <w:jc w:val="both"/>
              <w:rPr>
                <w:rFonts w:ascii="宋体" w:hAnsi="宋体"/>
                <w:bCs/>
                <w:kern w:val="2"/>
                <w:sz w:val="21"/>
                <w:szCs w:val="21"/>
              </w:rPr>
            </w:pPr>
            <w:r>
              <w:rPr>
                <w:rFonts w:hint="eastAsia" w:hAnsi="宋体"/>
                <w:bCs/>
                <w:kern w:val="2"/>
                <w:sz w:val="21"/>
                <w:szCs w:val="21"/>
              </w:rPr>
              <w:t>及时准确地反馈顾客需求信息</w:t>
            </w:r>
          </w:p>
        </w:tc>
        <w:tc>
          <w:tcPr>
            <w:tcW w:w="1388" w:type="dxa"/>
            <w:vAlign w:val="center"/>
          </w:tcPr>
          <w:p w14:paraId="7BF7A270">
            <w:pPr>
              <w:pStyle w:val="37"/>
              <w:jc w:val="both"/>
              <w:rPr>
                <w:rFonts w:hAnsi="宋体"/>
                <w:bCs/>
                <w:kern w:val="2"/>
                <w:sz w:val="21"/>
                <w:szCs w:val="21"/>
              </w:rPr>
            </w:pPr>
            <w:r>
              <w:rPr>
                <w:rFonts w:hint="eastAsia" w:hAnsi="宋体"/>
                <w:bCs/>
                <w:kern w:val="2"/>
                <w:sz w:val="21"/>
                <w:szCs w:val="21"/>
              </w:rPr>
              <w:t>不要对环境产生不良影响</w:t>
            </w:r>
          </w:p>
        </w:tc>
      </w:tr>
      <w:tr w14:paraId="2DC3E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tcPr>
          <w:p w14:paraId="68064792">
            <w:pPr>
              <w:rPr>
                <w:rFonts w:ascii="宋体" w:hAnsi="宋体"/>
                <w:bCs/>
                <w:kern w:val="2"/>
                <w:sz w:val="21"/>
                <w:szCs w:val="21"/>
              </w:rPr>
            </w:pPr>
          </w:p>
        </w:tc>
        <w:tc>
          <w:tcPr>
            <w:tcW w:w="1299" w:type="dxa"/>
            <w:vAlign w:val="center"/>
          </w:tcPr>
          <w:p w14:paraId="53F4A113">
            <w:pPr>
              <w:pStyle w:val="37"/>
              <w:jc w:val="both"/>
              <w:rPr>
                <w:rFonts w:hAnsi="宋体" w:cs="宋体"/>
                <w:color w:val="000000"/>
                <w:kern w:val="2"/>
                <w:sz w:val="21"/>
                <w:szCs w:val="21"/>
              </w:rPr>
            </w:pPr>
            <w:r>
              <w:rPr>
                <w:rFonts w:hint="eastAsia" w:hAnsi="宋体" w:cs="宋体"/>
                <w:color w:val="000000"/>
                <w:kern w:val="2"/>
                <w:sz w:val="21"/>
                <w:szCs w:val="21"/>
              </w:rPr>
              <w:t>发运流程</w:t>
            </w:r>
          </w:p>
        </w:tc>
        <w:tc>
          <w:tcPr>
            <w:tcW w:w="1820" w:type="dxa"/>
            <w:vAlign w:val="center"/>
          </w:tcPr>
          <w:p w14:paraId="6AD44B76">
            <w:pPr>
              <w:pStyle w:val="37"/>
              <w:jc w:val="both"/>
              <w:rPr>
                <w:rFonts w:hAnsi="宋体" w:cs="宋体"/>
                <w:color w:val="000000"/>
                <w:kern w:val="2"/>
                <w:sz w:val="21"/>
                <w:szCs w:val="21"/>
              </w:rPr>
            </w:pPr>
            <w:r>
              <w:rPr>
                <w:rFonts w:hint="eastAsia" w:hAnsi="宋体" w:cs="宋体"/>
                <w:color w:val="000000"/>
                <w:kern w:val="2"/>
                <w:sz w:val="21"/>
                <w:szCs w:val="21"/>
              </w:rPr>
              <w:t>及时交付产品；</w:t>
            </w:r>
          </w:p>
          <w:p w14:paraId="6D5FEDD8">
            <w:pPr>
              <w:jc w:val="both"/>
              <w:rPr>
                <w:rFonts w:ascii="宋体" w:hAnsi="宋体"/>
                <w:bCs/>
                <w:kern w:val="2"/>
                <w:sz w:val="21"/>
                <w:szCs w:val="21"/>
              </w:rPr>
            </w:pPr>
            <w:r>
              <w:rPr>
                <w:rFonts w:hint="eastAsia" w:ascii="宋体" w:hAnsi="宋体" w:cs="宋体"/>
                <w:color w:val="000000"/>
                <w:kern w:val="2"/>
                <w:sz w:val="21"/>
                <w:szCs w:val="21"/>
              </w:rPr>
              <w:t>交付过程质量稳定</w:t>
            </w:r>
          </w:p>
        </w:tc>
        <w:tc>
          <w:tcPr>
            <w:tcW w:w="1536" w:type="dxa"/>
            <w:vAlign w:val="center"/>
          </w:tcPr>
          <w:p w14:paraId="14345A9A">
            <w:pPr>
              <w:pStyle w:val="37"/>
              <w:jc w:val="both"/>
              <w:rPr>
                <w:rFonts w:hAnsi="宋体" w:cs="宋体"/>
                <w:color w:val="000000"/>
                <w:kern w:val="2"/>
                <w:sz w:val="21"/>
                <w:szCs w:val="21"/>
              </w:rPr>
            </w:pPr>
            <w:r>
              <w:rPr>
                <w:rFonts w:hint="eastAsia" w:hAnsi="宋体" w:cs="宋体"/>
                <w:color w:val="000000"/>
                <w:kern w:val="2"/>
                <w:sz w:val="21"/>
                <w:szCs w:val="21"/>
              </w:rPr>
              <w:t>发运质量稳定、发运及时、无差错</w:t>
            </w:r>
          </w:p>
        </w:tc>
        <w:tc>
          <w:tcPr>
            <w:tcW w:w="1440" w:type="dxa"/>
            <w:vAlign w:val="center"/>
          </w:tcPr>
          <w:p w14:paraId="37848569">
            <w:pPr>
              <w:pStyle w:val="37"/>
              <w:jc w:val="both"/>
              <w:rPr>
                <w:rFonts w:hAnsi="宋体" w:cs="宋体"/>
                <w:color w:val="000000"/>
                <w:kern w:val="2"/>
                <w:sz w:val="21"/>
                <w:szCs w:val="21"/>
              </w:rPr>
            </w:pPr>
            <w:r>
              <w:rPr>
                <w:rFonts w:hint="eastAsia" w:hAnsi="宋体" w:cs="宋体"/>
                <w:color w:val="000000"/>
                <w:kern w:val="2"/>
                <w:sz w:val="21"/>
                <w:szCs w:val="21"/>
              </w:rPr>
              <w:t>劳动强度低、安全</w:t>
            </w:r>
          </w:p>
          <w:p w14:paraId="71FEE136">
            <w:pPr>
              <w:jc w:val="both"/>
              <w:rPr>
                <w:rFonts w:ascii="宋体" w:hAnsi="宋体"/>
                <w:bCs/>
                <w:kern w:val="2"/>
                <w:sz w:val="21"/>
                <w:szCs w:val="21"/>
              </w:rPr>
            </w:pPr>
            <w:r>
              <w:rPr>
                <w:rFonts w:hint="eastAsia" w:ascii="宋体" w:hAnsi="宋体" w:cs="宋体"/>
                <w:color w:val="000000"/>
                <w:kern w:val="2"/>
                <w:sz w:val="21"/>
                <w:szCs w:val="21"/>
              </w:rPr>
              <w:t>工作简单</w:t>
            </w:r>
          </w:p>
        </w:tc>
        <w:tc>
          <w:tcPr>
            <w:tcW w:w="1276" w:type="dxa"/>
            <w:vAlign w:val="center"/>
          </w:tcPr>
          <w:p w14:paraId="5A12CD2D">
            <w:pPr>
              <w:pStyle w:val="37"/>
              <w:jc w:val="both"/>
              <w:rPr>
                <w:rFonts w:hAnsi="宋体" w:cs="宋体"/>
                <w:color w:val="000000"/>
                <w:kern w:val="2"/>
                <w:sz w:val="21"/>
                <w:szCs w:val="21"/>
              </w:rPr>
            </w:pPr>
            <w:r>
              <w:rPr>
                <w:rFonts w:hint="eastAsia" w:hAnsi="宋体" w:cs="宋体"/>
                <w:color w:val="000000"/>
                <w:kern w:val="2"/>
                <w:sz w:val="21"/>
                <w:szCs w:val="21"/>
              </w:rPr>
              <w:t>及时交付产品；</w:t>
            </w:r>
          </w:p>
          <w:p w14:paraId="1E561B3B">
            <w:pPr>
              <w:jc w:val="both"/>
              <w:rPr>
                <w:rFonts w:ascii="宋体" w:hAnsi="宋体"/>
                <w:bCs/>
                <w:kern w:val="2"/>
                <w:sz w:val="21"/>
                <w:szCs w:val="21"/>
              </w:rPr>
            </w:pPr>
            <w:r>
              <w:rPr>
                <w:rFonts w:hint="eastAsia" w:ascii="宋体" w:hAnsi="宋体" w:cs="宋体"/>
                <w:color w:val="000000"/>
                <w:kern w:val="2"/>
                <w:sz w:val="21"/>
                <w:szCs w:val="21"/>
              </w:rPr>
              <w:t>交付过程质量稳定</w:t>
            </w:r>
          </w:p>
        </w:tc>
        <w:tc>
          <w:tcPr>
            <w:tcW w:w="1388" w:type="dxa"/>
            <w:vAlign w:val="center"/>
          </w:tcPr>
          <w:p w14:paraId="685F5EC7">
            <w:pPr>
              <w:pStyle w:val="37"/>
              <w:jc w:val="both"/>
              <w:rPr>
                <w:rFonts w:hAnsi="宋体" w:cs="宋体"/>
                <w:color w:val="000000"/>
                <w:kern w:val="2"/>
                <w:sz w:val="21"/>
                <w:szCs w:val="21"/>
              </w:rPr>
            </w:pPr>
            <w:r>
              <w:rPr>
                <w:rFonts w:hint="eastAsia" w:hAnsi="宋体" w:cs="宋体"/>
                <w:color w:val="000000"/>
                <w:kern w:val="2"/>
                <w:sz w:val="21"/>
                <w:szCs w:val="21"/>
              </w:rPr>
              <w:t>不要对环境产生不良影响</w:t>
            </w:r>
          </w:p>
        </w:tc>
      </w:tr>
      <w:tr w14:paraId="70935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tcPr>
          <w:p w14:paraId="4FCB0CB5">
            <w:pPr>
              <w:rPr>
                <w:rFonts w:ascii="宋体" w:hAnsi="宋体"/>
                <w:bCs/>
                <w:kern w:val="2"/>
                <w:sz w:val="21"/>
                <w:szCs w:val="21"/>
              </w:rPr>
            </w:pPr>
          </w:p>
        </w:tc>
        <w:tc>
          <w:tcPr>
            <w:tcW w:w="1299" w:type="dxa"/>
            <w:vAlign w:val="center"/>
          </w:tcPr>
          <w:p w14:paraId="3BB36255">
            <w:pPr>
              <w:pStyle w:val="37"/>
              <w:jc w:val="both"/>
              <w:rPr>
                <w:rFonts w:hAnsi="宋体" w:cs="宋体"/>
                <w:color w:val="000000"/>
                <w:kern w:val="2"/>
                <w:sz w:val="21"/>
                <w:szCs w:val="21"/>
              </w:rPr>
            </w:pPr>
            <w:r>
              <w:rPr>
                <w:rFonts w:hint="eastAsia" w:hAnsi="宋体" w:cs="宋体"/>
                <w:color w:val="000000"/>
                <w:kern w:val="2"/>
                <w:sz w:val="21"/>
                <w:szCs w:val="21"/>
              </w:rPr>
              <w:t>售后服务过程</w:t>
            </w:r>
          </w:p>
        </w:tc>
        <w:tc>
          <w:tcPr>
            <w:tcW w:w="1820" w:type="dxa"/>
            <w:vAlign w:val="center"/>
          </w:tcPr>
          <w:p w14:paraId="6BD023E7">
            <w:pPr>
              <w:pStyle w:val="37"/>
              <w:jc w:val="both"/>
              <w:rPr>
                <w:rFonts w:hAnsi="宋体" w:cs="宋体"/>
                <w:color w:val="000000"/>
                <w:kern w:val="2"/>
                <w:sz w:val="21"/>
                <w:szCs w:val="21"/>
              </w:rPr>
            </w:pPr>
            <w:r>
              <w:rPr>
                <w:rFonts w:hint="eastAsia" w:hAnsi="宋体" w:cs="宋体"/>
                <w:color w:val="000000"/>
                <w:kern w:val="2"/>
                <w:sz w:val="21"/>
                <w:szCs w:val="21"/>
              </w:rPr>
              <w:t>及时、有效地提供服务</w:t>
            </w:r>
          </w:p>
          <w:p w14:paraId="2AFE4AA2">
            <w:pPr>
              <w:jc w:val="both"/>
              <w:rPr>
                <w:rFonts w:ascii="宋体" w:hAnsi="宋体"/>
                <w:bCs/>
                <w:kern w:val="2"/>
                <w:sz w:val="21"/>
                <w:szCs w:val="21"/>
              </w:rPr>
            </w:pPr>
          </w:p>
        </w:tc>
        <w:tc>
          <w:tcPr>
            <w:tcW w:w="1536" w:type="dxa"/>
            <w:vAlign w:val="center"/>
          </w:tcPr>
          <w:p w14:paraId="7881EA1C">
            <w:pPr>
              <w:pStyle w:val="37"/>
              <w:jc w:val="both"/>
              <w:rPr>
                <w:rFonts w:hAnsi="宋体" w:cs="宋体"/>
                <w:color w:val="000000"/>
                <w:kern w:val="2"/>
                <w:sz w:val="21"/>
                <w:szCs w:val="21"/>
              </w:rPr>
            </w:pPr>
            <w:r>
              <w:rPr>
                <w:rFonts w:hint="eastAsia" w:hAnsi="宋体" w:cs="宋体"/>
                <w:color w:val="000000"/>
                <w:kern w:val="2"/>
                <w:sz w:val="21"/>
                <w:szCs w:val="21"/>
              </w:rPr>
              <w:t>保证产品和服务实现，价值最大化</w:t>
            </w:r>
          </w:p>
        </w:tc>
        <w:tc>
          <w:tcPr>
            <w:tcW w:w="1440" w:type="dxa"/>
            <w:vAlign w:val="center"/>
          </w:tcPr>
          <w:p w14:paraId="2AFF3C65">
            <w:pPr>
              <w:pStyle w:val="37"/>
              <w:jc w:val="both"/>
              <w:rPr>
                <w:rFonts w:hAnsi="宋体" w:cs="宋体"/>
                <w:color w:val="000000"/>
                <w:kern w:val="2"/>
                <w:sz w:val="21"/>
                <w:szCs w:val="21"/>
              </w:rPr>
            </w:pPr>
            <w:r>
              <w:rPr>
                <w:rFonts w:hint="eastAsia" w:hAnsi="宋体" w:cs="宋体"/>
                <w:color w:val="000000"/>
                <w:kern w:val="2"/>
                <w:sz w:val="21"/>
                <w:szCs w:val="21"/>
              </w:rPr>
              <w:t>服务简单</w:t>
            </w:r>
          </w:p>
          <w:p w14:paraId="1CBCAADC">
            <w:pPr>
              <w:jc w:val="both"/>
              <w:rPr>
                <w:rFonts w:ascii="宋体" w:hAnsi="宋体"/>
                <w:bCs/>
                <w:kern w:val="2"/>
                <w:sz w:val="21"/>
                <w:szCs w:val="21"/>
              </w:rPr>
            </w:pPr>
            <w:r>
              <w:rPr>
                <w:rFonts w:hint="eastAsia" w:ascii="宋体" w:hAnsi="宋体" w:cs="宋体"/>
                <w:color w:val="000000"/>
                <w:kern w:val="2"/>
                <w:sz w:val="21"/>
                <w:szCs w:val="21"/>
              </w:rPr>
              <w:t>工作强度低</w:t>
            </w:r>
          </w:p>
        </w:tc>
        <w:tc>
          <w:tcPr>
            <w:tcW w:w="1276" w:type="dxa"/>
            <w:vAlign w:val="center"/>
          </w:tcPr>
          <w:p w14:paraId="0CF38E4B">
            <w:pPr>
              <w:pStyle w:val="37"/>
              <w:jc w:val="both"/>
              <w:rPr>
                <w:rFonts w:hAnsi="宋体" w:cs="宋体"/>
                <w:color w:val="000000"/>
                <w:kern w:val="2"/>
                <w:sz w:val="21"/>
                <w:szCs w:val="21"/>
              </w:rPr>
            </w:pPr>
            <w:r>
              <w:rPr>
                <w:rFonts w:hint="eastAsia" w:hAnsi="宋体" w:cs="宋体"/>
                <w:color w:val="000000"/>
                <w:kern w:val="2"/>
                <w:sz w:val="21"/>
                <w:szCs w:val="21"/>
              </w:rPr>
              <w:t>质量信息沟通良好</w:t>
            </w:r>
          </w:p>
        </w:tc>
        <w:tc>
          <w:tcPr>
            <w:tcW w:w="1388" w:type="dxa"/>
            <w:vAlign w:val="center"/>
          </w:tcPr>
          <w:p w14:paraId="76A69AF3">
            <w:pPr>
              <w:pStyle w:val="37"/>
              <w:jc w:val="both"/>
              <w:rPr>
                <w:rFonts w:hAnsi="宋体" w:cs="宋体"/>
                <w:color w:val="000000"/>
                <w:kern w:val="2"/>
                <w:sz w:val="21"/>
                <w:szCs w:val="21"/>
              </w:rPr>
            </w:pPr>
            <w:r>
              <w:rPr>
                <w:rFonts w:hint="eastAsia" w:hAnsi="宋体" w:cs="宋体"/>
                <w:color w:val="000000"/>
                <w:kern w:val="2"/>
                <w:sz w:val="21"/>
                <w:szCs w:val="21"/>
              </w:rPr>
              <w:t>不要对环境产生不良影响</w:t>
            </w:r>
          </w:p>
        </w:tc>
      </w:tr>
    </w:tbl>
    <w:p w14:paraId="5F55979B">
      <w:pPr>
        <w:pStyle w:val="5"/>
      </w:pPr>
      <w:r>
        <w:rPr>
          <w:rFonts w:hint="eastAsia"/>
        </w:rPr>
        <w:t>4.5.2.2价值创造过程要求的确定</w:t>
      </w:r>
    </w:p>
    <w:p w14:paraId="71A5FC08">
      <w:pPr>
        <w:spacing w:line="360" w:lineRule="auto"/>
        <w:rPr>
          <w:rFonts w:ascii="宋体" w:hAnsi="宋体"/>
          <w:bCs/>
          <w:szCs w:val="32"/>
        </w:rPr>
      </w:pPr>
      <w:r>
        <w:rPr>
          <w:rFonts w:hint="eastAsia" w:ascii="宋体" w:hAnsi="宋体"/>
          <w:bCs/>
          <w:szCs w:val="32"/>
        </w:rPr>
        <w:t xml:space="preserve">   根据公司战略和相关方要求，公司充分收集行业、竞争对手、标杆的相关信息，整理分析，由行政部组织相关部门，识别各业务领域目标客户的价值主张，确定各关键价值创造过程的要求，为过程设计提供依据。（详见表4.5.2-2）</w:t>
      </w:r>
    </w:p>
    <w:p w14:paraId="07C2C03C">
      <w:pPr>
        <w:pStyle w:val="11"/>
        <w:spacing w:line="360" w:lineRule="auto"/>
        <w:ind w:firstLine="0" w:firstLineChars="0"/>
        <w:jc w:val="center"/>
        <w:rPr>
          <w:rFonts w:ascii="黑体" w:hAnsi="黑体" w:eastAsia="黑体"/>
          <w:color w:val="000000"/>
          <w:sz w:val="21"/>
          <w:szCs w:val="21"/>
        </w:rPr>
      </w:pPr>
      <w:r>
        <w:rPr>
          <w:rFonts w:hint="eastAsia" w:ascii="黑体" w:hAnsi="黑体" w:eastAsia="黑体"/>
          <w:b/>
          <w:bCs/>
          <w:color w:val="000000"/>
          <w:sz w:val="21"/>
          <w:szCs w:val="21"/>
        </w:rPr>
        <w:t>表4.5.2-2 价值创造过程主要要求识别（含主要绩效测量方法和指标）</w:t>
      </w:r>
    </w:p>
    <w:tbl>
      <w:tblPr>
        <w:tblStyle w:val="22"/>
        <w:tblW w:w="94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1830"/>
        <w:gridCol w:w="2565"/>
        <w:gridCol w:w="1350"/>
        <w:gridCol w:w="1680"/>
        <w:gridCol w:w="1157"/>
      </w:tblGrid>
      <w:tr w14:paraId="7BF82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blHeader/>
        </w:trPr>
        <w:tc>
          <w:tcPr>
            <w:tcW w:w="886" w:type="dxa"/>
            <w:tcBorders>
              <w:bottom w:val="single" w:color="auto" w:sz="4" w:space="0"/>
            </w:tcBorders>
            <w:shd w:val="clear" w:color="auto" w:fill="948A54"/>
            <w:vAlign w:val="center"/>
          </w:tcPr>
          <w:p w14:paraId="5555850D">
            <w:pPr>
              <w:pStyle w:val="11"/>
              <w:widowControl w:val="0"/>
              <w:spacing w:line="240" w:lineRule="auto"/>
              <w:ind w:firstLine="0" w:firstLineChars="0"/>
              <w:jc w:val="center"/>
              <w:rPr>
                <w:rFonts w:ascii="宋体" w:hAnsi="宋体"/>
                <w:color w:val="FFFFFF"/>
                <w:kern w:val="2"/>
                <w:sz w:val="21"/>
                <w:szCs w:val="21"/>
              </w:rPr>
            </w:pPr>
            <w:r>
              <w:rPr>
                <w:rFonts w:hint="eastAsia" w:ascii="宋体" w:hAnsi="宋体"/>
                <w:b/>
                <w:bCs/>
                <w:color w:val="FFFFFF"/>
                <w:kern w:val="2"/>
                <w:sz w:val="21"/>
                <w:szCs w:val="21"/>
              </w:rPr>
              <w:t>过程</w:t>
            </w:r>
          </w:p>
        </w:tc>
        <w:tc>
          <w:tcPr>
            <w:tcW w:w="1830" w:type="dxa"/>
            <w:tcBorders>
              <w:bottom w:val="single" w:color="auto" w:sz="4" w:space="0"/>
            </w:tcBorders>
            <w:shd w:val="clear" w:color="auto" w:fill="948A54"/>
            <w:vAlign w:val="center"/>
          </w:tcPr>
          <w:p w14:paraId="4CDE39F6">
            <w:pPr>
              <w:pStyle w:val="11"/>
              <w:widowControl w:val="0"/>
              <w:spacing w:line="240" w:lineRule="auto"/>
              <w:ind w:firstLine="0" w:firstLineChars="0"/>
              <w:jc w:val="center"/>
              <w:rPr>
                <w:rFonts w:ascii="宋体" w:hAnsi="宋体"/>
                <w:color w:val="FFFFFF"/>
                <w:kern w:val="2"/>
                <w:sz w:val="21"/>
                <w:szCs w:val="21"/>
              </w:rPr>
            </w:pPr>
            <w:r>
              <w:rPr>
                <w:rFonts w:hint="eastAsia" w:ascii="宋体" w:hAnsi="宋体"/>
                <w:b/>
                <w:bCs/>
                <w:color w:val="FFFFFF"/>
                <w:kern w:val="2"/>
                <w:sz w:val="21"/>
                <w:szCs w:val="21"/>
              </w:rPr>
              <w:t>要   求</w:t>
            </w:r>
          </w:p>
        </w:tc>
        <w:tc>
          <w:tcPr>
            <w:tcW w:w="2565" w:type="dxa"/>
            <w:tcBorders>
              <w:bottom w:val="single" w:color="auto" w:sz="4" w:space="0"/>
            </w:tcBorders>
            <w:shd w:val="clear" w:color="auto" w:fill="948A54"/>
            <w:vAlign w:val="center"/>
          </w:tcPr>
          <w:p w14:paraId="04625DF9">
            <w:pPr>
              <w:pStyle w:val="11"/>
              <w:widowControl w:val="0"/>
              <w:spacing w:line="240" w:lineRule="auto"/>
              <w:ind w:firstLine="0" w:firstLineChars="0"/>
              <w:jc w:val="center"/>
              <w:rPr>
                <w:rFonts w:ascii="宋体" w:hAnsi="宋体"/>
                <w:color w:val="FFFFFF"/>
                <w:kern w:val="2"/>
                <w:sz w:val="21"/>
                <w:szCs w:val="21"/>
              </w:rPr>
            </w:pPr>
            <w:r>
              <w:rPr>
                <w:rFonts w:hint="eastAsia" w:ascii="宋体" w:hAnsi="宋体"/>
                <w:b/>
                <w:bCs/>
                <w:color w:val="FFFFFF"/>
                <w:kern w:val="2"/>
                <w:sz w:val="21"/>
                <w:szCs w:val="21"/>
              </w:rPr>
              <w:t>主要测量指标</w:t>
            </w:r>
          </w:p>
        </w:tc>
        <w:tc>
          <w:tcPr>
            <w:tcW w:w="1350" w:type="dxa"/>
            <w:tcBorders>
              <w:bottom w:val="single" w:color="auto" w:sz="4" w:space="0"/>
            </w:tcBorders>
            <w:shd w:val="clear" w:color="auto" w:fill="948A54"/>
            <w:vAlign w:val="center"/>
          </w:tcPr>
          <w:p w14:paraId="4CBBD77F">
            <w:pPr>
              <w:pStyle w:val="11"/>
              <w:widowControl w:val="0"/>
              <w:spacing w:line="240" w:lineRule="auto"/>
              <w:ind w:firstLine="0" w:firstLineChars="0"/>
              <w:jc w:val="center"/>
              <w:rPr>
                <w:rFonts w:ascii="宋体" w:hAnsi="宋体"/>
                <w:b/>
                <w:bCs/>
                <w:color w:val="FFFFFF"/>
                <w:kern w:val="2"/>
                <w:sz w:val="21"/>
                <w:szCs w:val="21"/>
              </w:rPr>
            </w:pPr>
            <w:r>
              <w:rPr>
                <w:rFonts w:hint="eastAsia" w:ascii="宋体" w:hAnsi="宋体"/>
                <w:b/>
                <w:bCs/>
                <w:color w:val="FFFFFF"/>
                <w:kern w:val="2"/>
                <w:sz w:val="21"/>
                <w:szCs w:val="21"/>
              </w:rPr>
              <w:t>指标值</w:t>
            </w:r>
          </w:p>
        </w:tc>
        <w:tc>
          <w:tcPr>
            <w:tcW w:w="1680" w:type="dxa"/>
            <w:tcBorders>
              <w:bottom w:val="single" w:color="auto" w:sz="4" w:space="0"/>
            </w:tcBorders>
            <w:shd w:val="clear" w:color="auto" w:fill="948A54"/>
            <w:vAlign w:val="center"/>
          </w:tcPr>
          <w:p w14:paraId="5D470C42">
            <w:pPr>
              <w:pStyle w:val="11"/>
              <w:widowControl w:val="0"/>
              <w:spacing w:line="240" w:lineRule="auto"/>
              <w:ind w:firstLine="0" w:firstLineChars="0"/>
              <w:jc w:val="center"/>
              <w:rPr>
                <w:rFonts w:ascii="宋体" w:hAnsi="宋体"/>
                <w:color w:val="FFFFFF"/>
                <w:kern w:val="2"/>
                <w:sz w:val="21"/>
                <w:szCs w:val="21"/>
              </w:rPr>
            </w:pPr>
            <w:r>
              <w:rPr>
                <w:rFonts w:hint="eastAsia" w:ascii="宋体" w:hAnsi="宋体"/>
                <w:b/>
                <w:bCs/>
                <w:color w:val="FFFFFF"/>
                <w:kern w:val="2"/>
                <w:sz w:val="21"/>
                <w:szCs w:val="21"/>
              </w:rPr>
              <w:t>测量方法</w:t>
            </w:r>
          </w:p>
        </w:tc>
        <w:tc>
          <w:tcPr>
            <w:tcW w:w="1157" w:type="dxa"/>
            <w:tcBorders>
              <w:bottom w:val="single" w:color="auto" w:sz="4" w:space="0"/>
            </w:tcBorders>
            <w:shd w:val="clear" w:color="auto" w:fill="948A54"/>
            <w:vAlign w:val="center"/>
          </w:tcPr>
          <w:p w14:paraId="09AE3A1D">
            <w:pPr>
              <w:pStyle w:val="11"/>
              <w:widowControl w:val="0"/>
              <w:spacing w:line="240" w:lineRule="auto"/>
              <w:ind w:firstLine="0" w:firstLineChars="0"/>
              <w:jc w:val="center"/>
              <w:rPr>
                <w:rFonts w:ascii="宋体" w:hAnsi="宋体"/>
                <w:b/>
                <w:bCs/>
                <w:color w:val="FFFFFF"/>
                <w:kern w:val="2"/>
                <w:sz w:val="21"/>
                <w:szCs w:val="21"/>
              </w:rPr>
            </w:pPr>
            <w:r>
              <w:rPr>
                <w:rFonts w:hint="eastAsia" w:ascii="宋体" w:hAnsi="宋体"/>
                <w:b/>
                <w:bCs/>
                <w:color w:val="FFFFFF"/>
                <w:kern w:val="2"/>
                <w:sz w:val="21"/>
                <w:szCs w:val="21"/>
              </w:rPr>
              <w:t>责任部门</w:t>
            </w:r>
          </w:p>
        </w:tc>
      </w:tr>
      <w:tr w14:paraId="1A8EE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6" w:hRule="atLeast"/>
        </w:trPr>
        <w:tc>
          <w:tcPr>
            <w:tcW w:w="886" w:type="dxa"/>
            <w:vMerge w:val="restart"/>
            <w:shd w:val="clear" w:color="auto" w:fill="FFFFFF"/>
            <w:vAlign w:val="center"/>
          </w:tcPr>
          <w:p w14:paraId="791165D8">
            <w:pPr>
              <w:pStyle w:val="11"/>
              <w:widowControl w:val="0"/>
              <w:spacing w:line="240" w:lineRule="auto"/>
              <w:ind w:firstLine="0" w:firstLineChars="0"/>
              <w:jc w:val="center"/>
              <w:rPr>
                <w:rFonts w:ascii="宋体" w:hAnsi="宋体"/>
                <w:b/>
                <w:bCs/>
                <w:color w:val="000000"/>
                <w:kern w:val="2"/>
                <w:sz w:val="21"/>
                <w:szCs w:val="21"/>
              </w:rPr>
            </w:pPr>
            <w:r>
              <w:rPr>
                <w:rFonts w:hint="eastAsia" w:ascii="宋体" w:hAnsi="宋体"/>
                <w:b/>
                <w:bCs/>
                <w:color w:val="000000"/>
                <w:kern w:val="2"/>
                <w:sz w:val="21"/>
                <w:szCs w:val="21"/>
              </w:rPr>
              <w:t>产品研发与设计过程</w:t>
            </w:r>
          </w:p>
        </w:tc>
        <w:tc>
          <w:tcPr>
            <w:tcW w:w="1830" w:type="dxa"/>
            <w:vMerge w:val="restart"/>
            <w:shd w:val="clear" w:color="auto" w:fill="FFFFFF"/>
            <w:vAlign w:val="center"/>
          </w:tcPr>
          <w:p w14:paraId="2B7D0C13">
            <w:pPr>
              <w:pStyle w:val="37"/>
              <w:jc w:val="center"/>
              <w:rPr>
                <w:rFonts w:hAnsi="宋体"/>
                <w:bCs/>
                <w:kern w:val="2"/>
                <w:sz w:val="21"/>
                <w:szCs w:val="21"/>
              </w:rPr>
            </w:pPr>
            <w:r>
              <w:rPr>
                <w:rFonts w:hint="eastAsia" w:hAnsi="宋体"/>
                <w:bCs/>
                <w:kern w:val="2"/>
                <w:sz w:val="21"/>
                <w:szCs w:val="21"/>
              </w:rPr>
              <w:t>根据客户要求研发新产品</w:t>
            </w:r>
          </w:p>
        </w:tc>
        <w:tc>
          <w:tcPr>
            <w:tcW w:w="2565" w:type="dxa"/>
            <w:shd w:val="clear" w:color="auto" w:fill="FFFFFF"/>
            <w:vAlign w:val="center"/>
          </w:tcPr>
          <w:p w14:paraId="77451170">
            <w:pPr>
              <w:pStyle w:val="37"/>
              <w:jc w:val="center"/>
              <w:rPr>
                <w:rFonts w:hAnsi="宋体"/>
                <w:bCs/>
                <w:kern w:val="2"/>
                <w:sz w:val="21"/>
                <w:szCs w:val="21"/>
              </w:rPr>
            </w:pPr>
            <w:r>
              <w:rPr>
                <w:rFonts w:hint="eastAsia" w:hAnsi="宋体"/>
                <w:bCs/>
                <w:kern w:val="2"/>
                <w:sz w:val="21"/>
                <w:szCs w:val="21"/>
              </w:rPr>
              <w:t>新产品开发周期/年</w:t>
            </w:r>
          </w:p>
        </w:tc>
        <w:tc>
          <w:tcPr>
            <w:tcW w:w="1350" w:type="dxa"/>
            <w:shd w:val="clear" w:color="auto" w:fill="FFFFFF"/>
            <w:vAlign w:val="center"/>
          </w:tcPr>
          <w:p w14:paraId="2FBADC0A">
            <w:pPr>
              <w:pStyle w:val="37"/>
              <w:jc w:val="center"/>
              <w:rPr>
                <w:rFonts w:hAnsi="宋体"/>
                <w:bCs/>
                <w:kern w:val="2"/>
                <w:sz w:val="21"/>
                <w:szCs w:val="21"/>
              </w:rPr>
            </w:pPr>
            <w:r>
              <w:rPr>
                <w:rFonts w:hint="eastAsia" w:hAnsi="宋体"/>
                <w:bCs/>
                <w:kern w:val="2"/>
                <w:sz w:val="21"/>
                <w:szCs w:val="21"/>
              </w:rPr>
              <w:t>立项书要求</w:t>
            </w:r>
          </w:p>
        </w:tc>
        <w:tc>
          <w:tcPr>
            <w:tcW w:w="1680" w:type="dxa"/>
            <w:shd w:val="clear" w:color="auto" w:fill="FFFFFF"/>
            <w:vAlign w:val="center"/>
          </w:tcPr>
          <w:p w14:paraId="2E984A45">
            <w:pPr>
              <w:pStyle w:val="37"/>
              <w:jc w:val="center"/>
              <w:rPr>
                <w:rFonts w:hAnsi="宋体"/>
                <w:bCs/>
                <w:kern w:val="2"/>
                <w:sz w:val="21"/>
                <w:szCs w:val="21"/>
              </w:rPr>
            </w:pPr>
            <w:r>
              <w:rPr>
                <w:rFonts w:hint="eastAsia" w:hAnsi="宋体"/>
                <w:bCs/>
                <w:kern w:val="2"/>
                <w:sz w:val="21"/>
                <w:szCs w:val="21"/>
              </w:rPr>
              <w:t>项目管理系统</w:t>
            </w:r>
          </w:p>
        </w:tc>
        <w:tc>
          <w:tcPr>
            <w:tcW w:w="1157" w:type="dxa"/>
            <w:vMerge w:val="restart"/>
            <w:shd w:val="clear" w:color="auto" w:fill="FFFFFF"/>
            <w:vAlign w:val="center"/>
          </w:tcPr>
          <w:p w14:paraId="2365FC5B">
            <w:pPr>
              <w:pStyle w:val="37"/>
              <w:jc w:val="center"/>
              <w:rPr>
                <w:rFonts w:hAnsi="宋体"/>
                <w:bCs/>
                <w:kern w:val="2"/>
                <w:sz w:val="21"/>
                <w:szCs w:val="21"/>
              </w:rPr>
            </w:pPr>
            <w:r>
              <w:rPr>
                <w:rFonts w:hint="eastAsia" w:hAnsi="宋体"/>
                <w:bCs/>
                <w:kern w:val="2"/>
                <w:sz w:val="21"/>
                <w:szCs w:val="21"/>
              </w:rPr>
              <w:t>技术部</w:t>
            </w:r>
          </w:p>
        </w:tc>
      </w:tr>
      <w:tr w14:paraId="5D3F0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886" w:type="dxa"/>
            <w:vMerge w:val="continue"/>
            <w:shd w:val="clear" w:color="auto" w:fill="FFFFFF"/>
            <w:vAlign w:val="center"/>
          </w:tcPr>
          <w:p w14:paraId="773C2BF0">
            <w:pPr>
              <w:pStyle w:val="11"/>
              <w:widowControl w:val="0"/>
              <w:spacing w:line="240" w:lineRule="auto"/>
              <w:ind w:firstLine="0" w:firstLineChars="0"/>
              <w:jc w:val="center"/>
              <w:rPr>
                <w:rFonts w:ascii="宋体" w:hAnsi="宋体"/>
                <w:b/>
                <w:bCs/>
                <w:color w:val="000000"/>
                <w:kern w:val="2"/>
                <w:sz w:val="21"/>
                <w:szCs w:val="21"/>
              </w:rPr>
            </w:pPr>
          </w:p>
        </w:tc>
        <w:tc>
          <w:tcPr>
            <w:tcW w:w="1830" w:type="dxa"/>
            <w:vMerge w:val="continue"/>
            <w:shd w:val="clear" w:color="auto" w:fill="FFFFFF"/>
            <w:vAlign w:val="center"/>
          </w:tcPr>
          <w:p w14:paraId="5A6E8D19">
            <w:pPr>
              <w:pStyle w:val="37"/>
              <w:jc w:val="center"/>
              <w:rPr>
                <w:rFonts w:hAnsi="宋体"/>
                <w:bCs/>
                <w:kern w:val="2"/>
                <w:sz w:val="21"/>
                <w:szCs w:val="21"/>
              </w:rPr>
            </w:pPr>
          </w:p>
        </w:tc>
        <w:tc>
          <w:tcPr>
            <w:tcW w:w="2565" w:type="dxa"/>
            <w:shd w:val="clear" w:color="auto" w:fill="FFFFFF"/>
            <w:vAlign w:val="center"/>
          </w:tcPr>
          <w:p w14:paraId="5E27DC1C">
            <w:pPr>
              <w:pStyle w:val="37"/>
              <w:jc w:val="center"/>
              <w:rPr>
                <w:rFonts w:hAnsi="宋体"/>
                <w:bCs/>
                <w:kern w:val="2"/>
                <w:sz w:val="21"/>
                <w:szCs w:val="21"/>
              </w:rPr>
            </w:pPr>
            <w:r>
              <w:rPr>
                <w:rFonts w:hint="eastAsia" w:hAnsi="宋体"/>
                <w:bCs/>
                <w:kern w:val="2"/>
                <w:sz w:val="21"/>
                <w:szCs w:val="21"/>
              </w:rPr>
              <w:t>开发成功率/%</w:t>
            </w:r>
          </w:p>
        </w:tc>
        <w:tc>
          <w:tcPr>
            <w:tcW w:w="1350" w:type="dxa"/>
            <w:shd w:val="clear" w:color="auto" w:fill="FFFFFF"/>
            <w:vAlign w:val="center"/>
          </w:tcPr>
          <w:p w14:paraId="3A340AD2">
            <w:pPr>
              <w:pStyle w:val="37"/>
              <w:jc w:val="center"/>
              <w:rPr>
                <w:rFonts w:hAnsi="宋体"/>
                <w:bCs/>
                <w:kern w:val="2"/>
                <w:sz w:val="21"/>
                <w:szCs w:val="21"/>
              </w:rPr>
            </w:pPr>
            <w:r>
              <w:rPr>
                <w:rFonts w:hint="eastAsia" w:hAnsi="宋体"/>
                <w:bCs/>
                <w:kern w:val="2"/>
                <w:sz w:val="21"/>
                <w:szCs w:val="21"/>
              </w:rPr>
              <w:t>≥92</w:t>
            </w:r>
          </w:p>
        </w:tc>
        <w:tc>
          <w:tcPr>
            <w:tcW w:w="1680" w:type="dxa"/>
            <w:shd w:val="clear" w:color="auto" w:fill="FFFFFF"/>
            <w:vAlign w:val="center"/>
          </w:tcPr>
          <w:p w14:paraId="798FDC4C">
            <w:pPr>
              <w:pStyle w:val="37"/>
              <w:jc w:val="center"/>
              <w:rPr>
                <w:rFonts w:hAnsi="宋体"/>
                <w:bCs/>
                <w:kern w:val="2"/>
                <w:sz w:val="21"/>
                <w:szCs w:val="21"/>
              </w:rPr>
            </w:pPr>
            <w:r>
              <w:rPr>
                <w:rFonts w:hint="eastAsia" w:hAnsi="宋体"/>
                <w:bCs/>
                <w:kern w:val="2"/>
                <w:sz w:val="21"/>
                <w:szCs w:val="21"/>
              </w:rPr>
              <w:t>项目管理系统</w:t>
            </w:r>
          </w:p>
        </w:tc>
        <w:tc>
          <w:tcPr>
            <w:tcW w:w="1157" w:type="dxa"/>
            <w:vMerge w:val="continue"/>
            <w:shd w:val="clear" w:color="auto" w:fill="FFFFFF"/>
            <w:vAlign w:val="center"/>
          </w:tcPr>
          <w:p w14:paraId="1F0350CA">
            <w:pPr>
              <w:pStyle w:val="37"/>
              <w:jc w:val="center"/>
              <w:rPr>
                <w:rFonts w:hAnsi="宋体"/>
                <w:bCs/>
                <w:kern w:val="2"/>
                <w:sz w:val="21"/>
                <w:szCs w:val="21"/>
              </w:rPr>
            </w:pPr>
          </w:p>
        </w:tc>
      </w:tr>
      <w:tr w14:paraId="54C58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2" w:hRule="atLeast"/>
        </w:trPr>
        <w:tc>
          <w:tcPr>
            <w:tcW w:w="886" w:type="dxa"/>
            <w:vMerge w:val="restart"/>
            <w:shd w:val="clear" w:color="auto" w:fill="FFFFFF"/>
            <w:vAlign w:val="center"/>
          </w:tcPr>
          <w:p w14:paraId="571E27C4">
            <w:pPr>
              <w:pStyle w:val="11"/>
              <w:widowControl w:val="0"/>
              <w:spacing w:line="240" w:lineRule="auto"/>
              <w:ind w:firstLine="0" w:firstLineChars="0"/>
              <w:jc w:val="center"/>
              <w:rPr>
                <w:rFonts w:ascii="宋体" w:hAnsi="宋体"/>
                <w:b/>
                <w:bCs/>
                <w:color w:val="000000"/>
                <w:kern w:val="2"/>
                <w:sz w:val="21"/>
                <w:szCs w:val="21"/>
              </w:rPr>
            </w:pPr>
            <w:r>
              <w:rPr>
                <w:rFonts w:hint="eastAsia" w:ascii="宋体" w:hAnsi="宋体"/>
                <w:b/>
                <w:bCs/>
                <w:color w:val="000000"/>
                <w:kern w:val="2"/>
                <w:sz w:val="21"/>
                <w:szCs w:val="21"/>
              </w:rPr>
              <w:t>采购过程</w:t>
            </w:r>
          </w:p>
        </w:tc>
        <w:tc>
          <w:tcPr>
            <w:tcW w:w="1830" w:type="dxa"/>
            <w:vMerge w:val="restart"/>
            <w:shd w:val="clear" w:color="auto" w:fill="FFFFFF"/>
            <w:vAlign w:val="center"/>
          </w:tcPr>
          <w:p w14:paraId="3AE85D4D">
            <w:pPr>
              <w:pStyle w:val="37"/>
              <w:jc w:val="center"/>
              <w:rPr>
                <w:rFonts w:hAnsi="宋体"/>
                <w:bCs/>
                <w:kern w:val="2"/>
                <w:sz w:val="21"/>
                <w:szCs w:val="21"/>
              </w:rPr>
            </w:pPr>
            <w:r>
              <w:rPr>
                <w:rFonts w:hint="eastAsia" w:hAnsi="宋体"/>
                <w:bCs/>
                <w:kern w:val="2"/>
                <w:sz w:val="21"/>
                <w:szCs w:val="21"/>
              </w:rPr>
              <w:t>相关方对持续发展、长期合作的需求</w:t>
            </w:r>
          </w:p>
        </w:tc>
        <w:tc>
          <w:tcPr>
            <w:tcW w:w="2565" w:type="dxa"/>
            <w:shd w:val="clear" w:color="auto" w:fill="FFFFFF"/>
            <w:vAlign w:val="center"/>
          </w:tcPr>
          <w:p w14:paraId="7F50174E">
            <w:pPr>
              <w:pStyle w:val="37"/>
              <w:jc w:val="center"/>
              <w:rPr>
                <w:rFonts w:hAnsi="宋体"/>
                <w:bCs/>
                <w:kern w:val="2"/>
                <w:sz w:val="21"/>
                <w:szCs w:val="21"/>
              </w:rPr>
            </w:pPr>
            <w:r>
              <w:rPr>
                <w:rFonts w:hint="eastAsia" w:hAnsi="宋体"/>
                <w:bCs/>
                <w:kern w:val="2"/>
                <w:sz w:val="21"/>
                <w:szCs w:val="21"/>
              </w:rPr>
              <w:t>质量合格率/%</w:t>
            </w:r>
          </w:p>
        </w:tc>
        <w:tc>
          <w:tcPr>
            <w:tcW w:w="1350" w:type="dxa"/>
            <w:shd w:val="clear" w:color="auto" w:fill="FFFFFF"/>
            <w:vAlign w:val="center"/>
          </w:tcPr>
          <w:p w14:paraId="3E9AFE5A">
            <w:pPr>
              <w:pStyle w:val="37"/>
              <w:jc w:val="center"/>
              <w:rPr>
                <w:rFonts w:hAnsi="宋体"/>
                <w:bCs/>
                <w:kern w:val="2"/>
                <w:sz w:val="21"/>
                <w:szCs w:val="21"/>
              </w:rPr>
            </w:pPr>
            <w:r>
              <w:rPr>
                <w:rFonts w:hint="eastAsia" w:hAnsi="宋体"/>
                <w:bCs/>
                <w:kern w:val="2"/>
                <w:sz w:val="21"/>
                <w:szCs w:val="21"/>
              </w:rPr>
              <w:t>≥99</w:t>
            </w:r>
          </w:p>
        </w:tc>
        <w:tc>
          <w:tcPr>
            <w:tcW w:w="1680" w:type="dxa"/>
            <w:shd w:val="clear" w:color="auto" w:fill="FFFFFF"/>
            <w:vAlign w:val="center"/>
          </w:tcPr>
          <w:p w14:paraId="5B1C95A4">
            <w:pPr>
              <w:pStyle w:val="37"/>
              <w:jc w:val="center"/>
              <w:rPr>
                <w:rFonts w:hAnsi="宋体"/>
                <w:bCs/>
                <w:kern w:val="2"/>
                <w:sz w:val="21"/>
                <w:szCs w:val="21"/>
              </w:rPr>
            </w:pPr>
            <w:r>
              <w:rPr>
                <w:rFonts w:hint="eastAsia" w:hAnsi="宋体"/>
                <w:bCs/>
                <w:kern w:val="2"/>
                <w:sz w:val="21"/>
                <w:szCs w:val="21"/>
              </w:rPr>
              <w:t>质量控制系统</w:t>
            </w:r>
          </w:p>
        </w:tc>
        <w:tc>
          <w:tcPr>
            <w:tcW w:w="1157" w:type="dxa"/>
            <w:shd w:val="clear" w:color="auto" w:fill="FFFFFF"/>
            <w:vAlign w:val="center"/>
          </w:tcPr>
          <w:p w14:paraId="72A59156">
            <w:pPr>
              <w:pStyle w:val="37"/>
              <w:jc w:val="center"/>
              <w:rPr>
                <w:rFonts w:hAnsi="宋体"/>
                <w:bCs/>
                <w:kern w:val="2"/>
                <w:sz w:val="21"/>
                <w:szCs w:val="21"/>
              </w:rPr>
            </w:pPr>
            <w:r>
              <w:rPr>
                <w:rFonts w:hint="eastAsia" w:hAnsi="宋体"/>
                <w:bCs/>
                <w:kern w:val="2"/>
                <w:sz w:val="21"/>
                <w:szCs w:val="21"/>
              </w:rPr>
              <w:t>物控部</w:t>
            </w:r>
          </w:p>
        </w:tc>
      </w:tr>
      <w:tr w14:paraId="61C25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886" w:type="dxa"/>
            <w:vMerge w:val="continue"/>
            <w:shd w:val="clear" w:color="auto" w:fill="FFFFFF"/>
            <w:vAlign w:val="center"/>
          </w:tcPr>
          <w:p w14:paraId="39857FB2">
            <w:pPr>
              <w:pStyle w:val="11"/>
              <w:widowControl w:val="0"/>
              <w:spacing w:line="240" w:lineRule="auto"/>
              <w:ind w:firstLine="0" w:firstLineChars="0"/>
              <w:jc w:val="center"/>
              <w:rPr>
                <w:rFonts w:ascii="宋体" w:hAnsi="宋体"/>
                <w:b/>
                <w:bCs/>
                <w:color w:val="000000"/>
                <w:kern w:val="2"/>
                <w:sz w:val="21"/>
                <w:szCs w:val="21"/>
              </w:rPr>
            </w:pPr>
          </w:p>
        </w:tc>
        <w:tc>
          <w:tcPr>
            <w:tcW w:w="1830" w:type="dxa"/>
            <w:vMerge w:val="continue"/>
            <w:shd w:val="clear" w:color="auto" w:fill="FFFFFF"/>
            <w:vAlign w:val="center"/>
          </w:tcPr>
          <w:p w14:paraId="5180B378">
            <w:pPr>
              <w:pStyle w:val="37"/>
              <w:jc w:val="center"/>
              <w:rPr>
                <w:rFonts w:hAnsi="宋体"/>
                <w:bCs/>
                <w:kern w:val="2"/>
                <w:sz w:val="21"/>
                <w:szCs w:val="21"/>
              </w:rPr>
            </w:pPr>
          </w:p>
        </w:tc>
        <w:tc>
          <w:tcPr>
            <w:tcW w:w="2565" w:type="dxa"/>
            <w:shd w:val="clear" w:color="auto" w:fill="FFFFFF"/>
            <w:vAlign w:val="center"/>
          </w:tcPr>
          <w:p w14:paraId="5171DA56">
            <w:pPr>
              <w:pStyle w:val="37"/>
              <w:jc w:val="center"/>
              <w:rPr>
                <w:rFonts w:hAnsi="宋体"/>
                <w:bCs/>
                <w:kern w:val="2"/>
                <w:sz w:val="21"/>
                <w:szCs w:val="21"/>
              </w:rPr>
            </w:pPr>
            <w:r>
              <w:rPr>
                <w:rFonts w:hint="eastAsia" w:hAnsi="宋体"/>
                <w:bCs/>
                <w:kern w:val="2"/>
                <w:sz w:val="21"/>
                <w:szCs w:val="21"/>
              </w:rPr>
              <w:t>准时供货率/%</w:t>
            </w:r>
          </w:p>
        </w:tc>
        <w:tc>
          <w:tcPr>
            <w:tcW w:w="1350" w:type="dxa"/>
            <w:shd w:val="clear" w:color="auto" w:fill="FFFFFF"/>
            <w:vAlign w:val="center"/>
          </w:tcPr>
          <w:p w14:paraId="17D1E39F">
            <w:pPr>
              <w:pStyle w:val="37"/>
              <w:jc w:val="center"/>
              <w:rPr>
                <w:rFonts w:hAnsi="宋体"/>
                <w:bCs/>
                <w:kern w:val="2"/>
                <w:sz w:val="21"/>
                <w:szCs w:val="21"/>
              </w:rPr>
            </w:pPr>
            <w:r>
              <w:rPr>
                <w:rFonts w:hint="eastAsia" w:hAnsi="宋体"/>
                <w:bCs/>
                <w:kern w:val="2"/>
                <w:sz w:val="21"/>
                <w:szCs w:val="21"/>
              </w:rPr>
              <w:t>≥99</w:t>
            </w:r>
          </w:p>
        </w:tc>
        <w:tc>
          <w:tcPr>
            <w:tcW w:w="1680" w:type="dxa"/>
            <w:shd w:val="clear" w:color="auto" w:fill="FFFFFF"/>
            <w:vAlign w:val="center"/>
          </w:tcPr>
          <w:p w14:paraId="6A15FE16">
            <w:pPr>
              <w:pStyle w:val="37"/>
              <w:jc w:val="center"/>
              <w:rPr>
                <w:rFonts w:hAnsi="宋体"/>
                <w:bCs/>
                <w:kern w:val="2"/>
                <w:sz w:val="21"/>
                <w:szCs w:val="21"/>
              </w:rPr>
            </w:pPr>
            <w:r>
              <w:rPr>
                <w:rFonts w:hint="eastAsia" w:hAnsi="宋体"/>
                <w:bCs/>
                <w:kern w:val="2"/>
                <w:sz w:val="21"/>
                <w:szCs w:val="21"/>
              </w:rPr>
              <w:t>质量控制系统</w:t>
            </w:r>
          </w:p>
        </w:tc>
        <w:tc>
          <w:tcPr>
            <w:tcW w:w="1157" w:type="dxa"/>
            <w:shd w:val="clear" w:color="auto" w:fill="FFFFFF"/>
            <w:vAlign w:val="center"/>
          </w:tcPr>
          <w:p w14:paraId="68C17C17">
            <w:pPr>
              <w:pStyle w:val="37"/>
              <w:jc w:val="center"/>
              <w:rPr>
                <w:rFonts w:hAnsi="宋体"/>
                <w:bCs/>
                <w:kern w:val="2"/>
                <w:sz w:val="21"/>
                <w:szCs w:val="21"/>
              </w:rPr>
            </w:pPr>
            <w:r>
              <w:rPr>
                <w:rFonts w:hint="eastAsia" w:hAnsi="宋体"/>
                <w:bCs/>
                <w:kern w:val="2"/>
                <w:sz w:val="21"/>
                <w:szCs w:val="21"/>
              </w:rPr>
              <w:t>物控部</w:t>
            </w:r>
          </w:p>
        </w:tc>
      </w:tr>
      <w:tr w14:paraId="7817E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886" w:type="dxa"/>
            <w:vMerge w:val="restart"/>
            <w:shd w:val="clear" w:color="auto" w:fill="FFFFFF"/>
            <w:vAlign w:val="center"/>
          </w:tcPr>
          <w:p w14:paraId="78E93A62">
            <w:pPr>
              <w:pStyle w:val="11"/>
              <w:widowControl w:val="0"/>
              <w:spacing w:line="240" w:lineRule="auto"/>
              <w:ind w:firstLine="0" w:firstLineChars="0"/>
              <w:jc w:val="center"/>
              <w:rPr>
                <w:rFonts w:ascii="宋体" w:hAnsi="宋体"/>
                <w:b/>
                <w:bCs/>
                <w:color w:val="000000"/>
                <w:kern w:val="2"/>
                <w:sz w:val="21"/>
                <w:szCs w:val="21"/>
              </w:rPr>
            </w:pPr>
            <w:r>
              <w:rPr>
                <w:rFonts w:hint="eastAsia" w:ascii="宋体" w:hAnsi="宋体"/>
                <w:b/>
                <w:bCs/>
                <w:color w:val="000000"/>
                <w:kern w:val="2"/>
                <w:sz w:val="21"/>
                <w:szCs w:val="21"/>
              </w:rPr>
              <w:t>产品制造过程</w:t>
            </w:r>
          </w:p>
        </w:tc>
        <w:tc>
          <w:tcPr>
            <w:tcW w:w="1830" w:type="dxa"/>
            <w:shd w:val="clear" w:color="auto" w:fill="FFFFFF"/>
            <w:vAlign w:val="center"/>
          </w:tcPr>
          <w:p w14:paraId="2671BAC3">
            <w:pPr>
              <w:pStyle w:val="37"/>
              <w:jc w:val="center"/>
              <w:rPr>
                <w:rFonts w:hAnsi="宋体"/>
                <w:bCs/>
                <w:kern w:val="2"/>
                <w:sz w:val="21"/>
                <w:szCs w:val="21"/>
              </w:rPr>
            </w:pPr>
            <w:r>
              <w:rPr>
                <w:rFonts w:hint="eastAsia" w:hAnsi="宋体"/>
                <w:bCs/>
                <w:kern w:val="2"/>
                <w:sz w:val="21"/>
                <w:szCs w:val="21"/>
              </w:rPr>
              <w:t>按时交付</w:t>
            </w:r>
          </w:p>
        </w:tc>
        <w:tc>
          <w:tcPr>
            <w:tcW w:w="2565" w:type="dxa"/>
            <w:shd w:val="clear" w:color="auto" w:fill="FFFFFF"/>
            <w:vAlign w:val="center"/>
          </w:tcPr>
          <w:p w14:paraId="741699BD">
            <w:pPr>
              <w:pStyle w:val="37"/>
              <w:jc w:val="center"/>
              <w:rPr>
                <w:rFonts w:hAnsi="宋体"/>
                <w:bCs/>
                <w:kern w:val="2"/>
                <w:sz w:val="21"/>
                <w:szCs w:val="21"/>
              </w:rPr>
            </w:pPr>
            <w:r>
              <w:rPr>
                <w:rFonts w:hint="eastAsia" w:hAnsi="宋体"/>
                <w:bCs/>
                <w:kern w:val="2"/>
                <w:sz w:val="21"/>
                <w:szCs w:val="21"/>
              </w:rPr>
              <w:t>及时交货率/%</w:t>
            </w:r>
          </w:p>
        </w:tc>
        <w:tc>
          <w:tcPr>
            <w:tcW w:w="1350" w:type="dxa"/>
            <w:shd w:val="clear" w:color="auto" w:fill="FFFFFF"/>
            <w:vAlign w:val="center"/>
          </w:tcPr>
          <w:p w14:paraId="2214CBC4">
            <w:pPr>
              <w:pStyle w:val="37"/>
              <w:jc w:val="center"/>
              <w:rPr>
                <w:rFonts w:hAnsi="宋体"/>
                <w:bCs/>
                <w:kern w:val="2"/>
                <w:sz w:val="21"/>
                <w:szCs w:val="21"/>
              </w:rPr>
            </w:pPr>
            <w:r>
              <w:rPr>
                <w:rFonts w:hint="eastAsia" w:hAnsi="宋体"/>
                <w:bCs/>
                <w:kern w:val="2"/>
                <w:sz w:val="21"/>
                <w:szCs w:val="21"/>
              </w:rPr>
              <w:t>100</w:t>
            </w:r>
          </w:p>
        </w:tc>
        <w:tc>
          <w:tcPr>
            <w:tcW w:w="1680" w:type="dxa"/>
            <w:shd w:val="clear" w:color="auto" w:fill="FFFFFF"/>
            <w:vAlign w:val="center"/>
          </w:tcPr>
          <w:p w14:paraId="12D9EB75">
            <w:pPr>
              <w:pStyle w:val="37"/>
              <w:jc w:val="center"/>
              <w:rPr>
                <w:rFonts w:hAnsi="宋体"/>
                <w:bCs/>
                <w:kern w:val="2"/>
                <w:sz w:val="21"/>
                <w:szCs w:val="21"/>
              </w:rPr>
            </w:pPr>
            <w:r>
              <w:rPr>
                <w:rFonts w:hint="eastAsia" w:hAnsi="宋体"/>
                <w:bCs/>
                <w:kern w:val="2"/>
                <w:sz w:val="21"/>
                <w:szCs w:val="21"/>
                <w:lang w:eastAsia="zh-CN"/>
              </w:rPr>
              <w:t>财物管理</w:t>
            </w:r>
            <w:r>
              <w:rPr>
                <w:rFonts w:hint="eastAsia" w:hAnsi="宋体"/>
                <w:bCs/>
                <w:kern w:val="2"/>
                <w:sz w:val="21"/>
                <w:szCs w:val="21"/>
              </w:rPr>
              <w:t>系统</w:t>
            </w:r>
          </w:p>
        </w:tc>
        <w:tc>
          <w:tcPr>
            <w:tcW w:w="1157" w:type="dxa"/>
            <w:shd w:val="clear" w:color="auto" w:fill="FFFFFF"/>
            <w:vAlign w:val="center"/>
          </w:tcPr>
          <w:p w14:paraId="4D2AA565">
            <w:pPr>
              <w:pStyle w:val="37"/>
              <w:jc w:val="center"/>
              <w:rPr>
                <w:rFonts w:hAnsi="宋体"/>
                <w:bCs/>
                <w:kern w:val="2"/>
                <w:sz w:val="21"/>
                <w:szCs w:val="21"/>
              </w:rPr>
            </w:pPr>
            <w:r>
              <w:rPr>
                <w:rFonts w:hint="eastAsia" w:hAnsi="宋体"/>
                <w:bCs/>
                <w:kern w:val="2"/>
                <w:sz w:val="21"/>
                <w:szCs w:val="21"/>
              </w:rPr>
              <w:t>生产部</w:t>
            </w:r>
          </w:p>
        </w:tc>
      </w:tr>
      <w:tr w14:paraId="6FEC2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886" w:type="dxa"/>
            <w:vMerge w:val="continue"/>
            <w:shd w:val="clear" w:color="auto" w:fill="FFFFFF"/>
            <w:vAlign w:val="center"/>
          </w:tcPr>
          <w:p w14:paraId="493409C0">
            <w:pPr>
              <w:pStyle w:val="11"/>
              <w:widowControl w:val="0"/>
              <w:spacing w:line="240" w:lineRule="auto"/>
              <w:ind w:firstLine="0" w:firstLineChars="0"/>
              <w:jc w:val="center"/>
              <w:rPr>
                <w:rFonts w:ascii="宋体" w:hAnsi="宋体"/>
                <w:b/>
                <w:bCs/>
                <w:color w:val="000000"/>
                <w:kern w:val="2"/>
                <w:sz w:val="21"/>
                <w:szCs w:val="21"/>
              </w:rPr>
            </w:pPr>
          </w:p>
        </w:tc>
        <w:tc>
          <w:tcPr>
            <w:tcW w:w="1830" w:type="dxa"/>
            <w:vMerge w:val="restart"/>
            <w:shd w:val="clear" w:color="auto" w:fill="FFFFFF"/>
            <w:vAlign w:val="center"/>
          </w:tcPr>
          <w:p w14:paraId="6C66E6AF">
            <w:pPr>
              <w:pStyle w:val="37"/>
              <w:jc w:val="center"/>
              <w:rPr>
                <w:rFonts w:hAnsi="宋体"/>
                <w:bCs/>
                <w:kern w:val="2"/>
                <w:sz w:val="21"/>
                <w:szCs w:val="21"/>
              </w:rPr>
            </w:pPr>
            <w:r>
              <w:rPr>
                <w:rFonts w:hint="eastAsia" w:hAnsi="宋体"/>
                <w:bCs/>
                <w:kern w:val="2"/>
                <w:sz w:val="21"/>
                <w:szCs w:val="21"/>
              </w:rPr>
              <w:t>合格率达到目标要求</w:t>
            </w:r>
          </w:p>
        </w:tc>
        <w:tc>
          <w:tcPr>
            <w:tcW w:w="2565" w:type="dxa"/>
            <w:shd w:val="clear" w:color="auto" w:fill="FFFFFF"/>
            <w:vAlign w:val="center"/>
          </w:tcPr>
          <w:p w14:paraId="42ACC2E8">
            <w:pPr>
              <w:pStyle w:val="37"/>
              <w:jc w:val="center"/>
              <w:rPr>
                <w:rFonts w:hAnsi="宋体"/>
                <w:bCs/>
                <w:kern w:val="2"/>
                <w:sz w:val="21"/>
                <w:szCs w:val="21"/>
              </w:rPr>
            </w:pPr>
            <w:r>
              <w:rPr>
                <w:rFonts w:hint="eastAsia" w:hAnsi="宋体"/>
                <w:bCs/>
                <w:kern w:val="2"/>
                <w:sz w:val="21"/>
                <w:szCs w:val="21"/>
              </w:rPr>
              <w:t>一次交验合格率/%</w:t>
            </w:r>
          </w:p>
        </w:tc>
        <w:tc>
          <w:tcPr>
            <w:tcW w:w="1350" w:type="dxa"/>
            <w:shd w:val="clear" w:color="auto" w:fill="FFFFFF"/>
            <w:vAlign w:val="center"/>
          </w:tcPr>
          <w:p w14:paraId="78BE1785">
            <w:pPr>
              <w:pStyle w:val="37"/>
              <w:jc w:val="center"/>
              <w:rPr>
                <w:rFonts w:hAnsi="宋体"/>
                <w:bCs/>
                <w:kern w:val="2"/>
                <w:sz w:val="21"/>
                <w:szCs w:val="21"/>
              </w:rPr>
            </w:pPr>
            <w:r>
              <w:rPr>
                <w:rFonts w:hint="eastAsia" w:hAnsi="宋体"/>
                <w:bCs/>
                <w:kern w:val="2"/>
                <w:sz w:val="21"/>
                <w:szCs w:val="21"/>
              </w:rPr>
              <w:t>＞99</w:t>
            </w:r>
          </w:p>
        </w:tc>
        <w:tc>
          <w:tcPr>
            <w:tcW w:w="1680" w:type="dxa"/>
            <w:vMerge w:val="restart"/>
            <w:shd w:val="clear" w:color="auto" w:fill="FFFFFF"/>
            <w:vAlign w:val="center"/>
          </w:tcPr>
          <w:p w14:paraId="2F992FF8">
            <w:pPr>
              <w:pStyle w:val="37"/>
              <w:jc w:val="center"/>
              <w:rPr>
                <w:rFonts w:hAnsi="宋体"/>
                <w:bCs/>
                <w:kern w:val="2"/>
                <w:sz w:val="21"/>
                <w:szCs w:val="21"/>
              </w:rPr>
            </w:pPr>
            <w:r>
              <w:rPr>
                <w:rFonts w:hint="eastAsia" w:hAnsi="宋体"/>
                <w:bCs/>
                <w:kern w:val="2"/>
                <w:sz w:val="21"/>
                <w:szCs w:val="21"/>
              </w:rPr>
              <w:t>质量控制系统</w:t>
            </w:r>
          </w:p>
        </w:tc>
        <w:tc>
          <w:tcPr>
            <w:tcW w:w="1157" w:type="dxa"/>
            <w:shd w:val="clear" w:color="auto" w:fill="FFFFFF"/>
            <w:vAlign w:val="center"/>
          </w:tcPr>
          <w:p w14:paraId="22D2113E">
            <w:pPr>
              <w:pStyle w:val="37"/>
              <w:jc w:val="center"/>
              <w:rPr>
                <w:rFonts w:hAnsi="宋体"/>
                <w:bCs/>
                <w:kern w:val="2"/>
                <w:sz w:val="21"/>
                <w:szCs w:val="21"/>
              </w:rPr>
            </w:pPr>
            <w:r>
              <w:rPr>
                <w:rFonts w:hint="eastAsia" w:hAnsi="宋体"/>
                <w:bCs/>
                <w:kern w:val="2"/>
                <w:sz w:val="21"/>
                <w:szCs w:val="21"/>
              </w:rPr>
              <w:t>生产部</w:t>
            </w:r>
          </w:p>
        </w:tc>
      </w:tr>
      <w:tr w14:paraId="0E6DE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886" w:type="dxa"/>
            <w:vMerge w:val="continue"/>
            <w:shd w:val="clear" w:color="auto" w:fill="FFFFFF"/>
            <w:vAlign w:val="center"/>
          </w:tcPr>
          <w:p w14:paraId="522091D6">
            <w:pPr>
              <w:pStyle w:val="11"/>
              <w:widowControl w:val="0"/>
              <w:spacing w:line="240" w:lineRule="auto"/>
              <w:ind w:firstLine="0" w:firstLineChars="0"/>
              <w:jc w:val="center"/>
              <w:rPr>
                <w:rFonts w:ascii="宋体" w:hAnsi="宋体"/>
                <w:b/>
                <w:bCs/>
                <w:color w:val="000000"/>
                <w:kern w:val="2"/>
                <w:sz w:val="21"/>
                <w:szCs w:val="21"/>
              </w:rPr>
            </w:pPr>
          </w:p>
        </w:tc>
        <w:tc>
          <w:tcPr>
            <w:tcW w:w="1830" w:type="dxa"/>
            <w:vMerge w:val="continue"/>
            <w:shd w:val="clear" w:color="auto" w:fill="FFFFFF"/>
            <w:vAlign w:val="center"/>
          </w:tcPr>
          <w:p w14:paraId="468796EF">
            <w:pPr>
              <w:pStyle w:val="37"/>
              <w:jc w:val="center"/>
              <w:rPr>
                <w:rFonts w:hAnsi="宋体"/>
                <w:bCs/>
                <w:kern w:val="2"/>
                <w:sz w:val="21"/>
                <w:szCs w:val="21"/>
              </w:rPr>
            </w:pPr>
          </w:p>
        </w:tc>
        <w:tc>
          <w:tcPr>
            <w:tcW w:w="2565" w:type="dxa"/>
            <w:shd w:val="clear" w:color="auto" w:fill="FFFFFF"/>
            <w:vAlign w:val="center"/>
          </w:tcPr>
          <w:p w14:paraId="5AB620A5">
            <w:pPr>
              <w:pStyle w:val="37"/>
              <w:jc w:val="center"/>
              <w:rPr>
                <w:rFonts w:hAnsi="宋体"/>
                <w:bCs/>
                <w:kern w:val="2"/>
                <w:sz w:val="21"/>
                <w:szCs w:val="21"/>
              </w:rPr>
            </w:pPr>
            <w:r>
              <w:rPr>
                <w:rFonts w:hint="eastAsia" w:hAnsi="宋体"/>
                <w:bCs/>
                <w:kern w:val="2"/>
                <w:sz w:val="21"/>
                <w:szCs w:val="21"/>
              </w:rPr>
              <w:t>出厂合格率/%</w:t>
            </w:r>
          </w:p>
        </w:tc>
        <w:tc>
          <w:tcPr>
            <w:tcW w:w="1350" w:type="dxa"/>
            <w:shd w:val="clear" w:color="auto" w:fill="FFFFFF"/>
            <w:vAlign w:val="center"/>
          </w:tcPr>
          <w:p w14:paraId="180F4145">
            <w:pPr>
              <w:pStyle w:val="37"/>
              <w:jc w:val="center"/>
              <w:rPr>
                <w:rFonts w:hAnsi="宋体"/>
                <w:bCs/>
                <w:kern w:val="2"/>
                <w:sz w:val="21"/>
                <w:szCs w:val="21"/>
              </w:rPr>
            </w:pPr>
            <w:r>
              <w:rPr>
                <w:rFonts w:hint="eastAsia" w:hAnsi="宋体"/>
                <w:bCs/>
                <w:kern w:val="2"/>
                <w:sz w:val="21"/>
                <w:szCs w:val="21"/>
              </w:rPr>
              <w:t>＞99</w:t>
            </w:r>
          </w:p>
        </w:tc>
        <w:tc>
          <w:tcPr>
            <w:tcW w:w="1680" w:type="dxa"/>
            <w:vMerge w:val="continue"/>
            <w:shd w:val="clear" w:color="auto" w:fill="FFFFFF"/>
            <w:vAlign w:val="center"/>
          </w:tcPr>
          <w:p w14:paraId="1C47BA0D">
            <w:pPr>
              <w:pStyle w:val="37"/>
              <w:jc w:val="center"/>
              <w:rPr>
                <w:rFonts w:hAnsi="宋体"/>
                <w:bCs/>
                <w:kern w:val="2"/>
                <w:sz w:val="21"/>
                <w:szCs w:val="21"/>
              </w:rPr>
            </w:pPr>
          </w:p>
        </w:tc>
        <w:tc>
          <w:tcPr>
            <w:tcW w:w="1157" w:type="dxa"/>
            <w:shd w:val="clear" w:color="auto" w:fill="FFFFFF"/>
            <w:vAlign w:val="center"/>
          </w:tcPr>
          <w:p w14:paraId="06B9513A">
            <w:pPr>
              <w:pStyle w:val="37"/>
              <w:jc w:val="center"/>
              <w:rPr>
                <w:rFonts w:hAnsi="宋体"/>
                <w:bCs/>
                <w:kern w:val="2"/>
                <w:sz w:val="21"/>
                <w:szCs w:val="21"/>
              </w:rPr>
            </w:pPr>
            <w:r>
              <w:rPr>
                <w:rFonts w:hint="eastAsia" w:hAnsi="宋体"/>
                <w:bCs/>
                <w:kern w:val="2"/>
                <w:sz w:val="21"/>
                <w:szCs w:val="21"/>
              </w:rPr>
              <w:t>生产部</w:t>
            </w:r>
          </w:p>
        </w:tc>
      </w:tr>
      <w:tr w14:paraId="2422D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atLeast"/>
        </w:trPr>
        <w:tc>
          <w:tcPr>
            <w:tcW w:w="886" w:type="dxa"/>
            <w:vMerge w:val="restart"/>
            <w:shd w:val="clear" w:color="auto" w:fill="FFFFFF"/>
            <w:vAlign w:val="center"/>
          </w:tcPr>
          <w:p w14:paraId="28AA7B66">
            <w:pPr>
              <w:pStyle w:val="10"/>
              <w:widowControl w:val="0"/>
              <w:jc w:val="center"/>
              <w:rPr>
                <w:rFonts w:ascii="宋体" w:hAnsi="宋体"/>
                <w:b/>
                <w:bCs/>
                <w:color w:val="000000"/>
                <w:kern w:val="2"/>
                <w:sz w:val="21"/>
                <w:szCs w:val="21"/>
              </w:rPr>
            </w:pPr>
            <w:r>
              <w:rPr>
                <w:rFonts w:hint="eastAsia" w:ascii="宋体" w:hAnsi="宋体"/>
                <w:b/>
                <w:bCs/>
                <w:color w:val="000000"/>
                <w:kern w:val="2"/>
                <w:sz w:val="21"/>
                <w:szCs w:val="21"/>
              </w:rPr>
              <w:t>市场营销服务过程</w:t>
            </w:r>
          </w:p>
        </w:tc>
        <w:tc>
          <w:tcPr>
            <w:tcW w:w="1830" w:type="dxa"/>
            <w:vMerge w:val="restart"/>
            <w:shd w:val="clear" w:color="auto" w:fill="FFFFFF"/>
            <w:vAlign w:val="center"/>
          </w:tcPr>
          <w:p w14:paraId="2F4CD052">
            <w:pPr>
              <w:pStyle w:val="37"/>
              <w:jc w:val="center"/>
              <w:rPr>
                <w:rFonts w:hAnsi="宋体"/>
                <w:bCs/>
                <w:kern w:val="2"/>
                <w:sz w:val="21"/>
                <w:szCs w:val="21"/>
              </w:rPr>
            </w:pPr>
            <w:r>
              <w:rPr>
                <w:rFonts w:hint="eastAsia" w:hAnsi="宋体"/>
                <w:bCs/>
                <w:kern w:val="2"/>
                <w:sz w:val="21"/>
                <w:szCs w:val="21"/>
              </w:rPr>
              <w:t>外部：相关方对供货及时、服务周到的需求</w:t>
            </w:r>
          </w:p>
          <w:p w14:paraId="30E0B295">
            <w:pPr>
              <w:pStyle w:val="37"/>
              <w:jc w:val="center"/>
              <w:rPr>
                <w:rFonts w:hAnsi="宋体"/>
                <w:bCs/>
                <w:kern w:val="2"/>
                <w:sz w:val="21"/>
                <w:szCs w:val="21"/>
              </w:rPr>
            </w:pPr>
            <w:r>
              <w:rPr>
                <w:rFonts w:hint="eastAsia" w:hAnsi="宋体"/>
                <w:bCs/>
                <w:kern w:val="2"/>
                <w:sz w:val="21"/>
                <w:szCs w:val="21"/>
              </w:rPr>
              <w:t>内部：业绩要求</w:t>
            </w:r>
          </w:p>
        </w:tc>
        <w:tc>
          <w:tcPr>
            <w:tcW w:w="2565" w:type="dxa"/>
            <w:shd w:val="clear" w:color="auto" w:fill="FFFFFF"/>
            <w:vAlign w:val="center"/>
          </w:tcPr>
          <w:p w14:paraId="372FBAF9">
            <w:pPr>
              <w:pStyle w:val="37"/>
              <w:jc w:val="center"/>
              <w:rPr>
                <w:rFonts w:hAnsi="宋体"/>
                <w:bCs/>
                <w:kern w:val="2"/>
                <w:sz w:val="21"/>
                <w:szCs w:val="21"/>
              </w:rPr>
            </w:pPr>
            <w:r>
              <w:rPr>
                <w:rFonts w:hint="eastAsia" w:hAnsi="宋体"/>
                <w:bCs/>
                <w:kern w:val="2"/>
                <w:sz w:val="21"/>
                <w:szCs w:val="21"/>
              </w:rPr>
              <w:t>顾客忠诚度/%</w:t>
            </w:r>
          </w:p>
        </w:tc>
        <w:tc>
          <w:tcPr>
            <w:tcW w:w="1350" w:type="dxa"/>
            <w:shd w:val="clear" w:color="auto" w:fill="FFFFFF"/>
            <w:vAlign w:val="center"/>
          </w:tcPr>
          <w:p w14:paraId="3D24A8D1">
            <w:pPr>
              <w:pStyle w:val="37"/>
              <w:jc w:val="center"/>
              <w:rPr>
                <w:rFonts w:hAnsi="宋体"/>
                <w:bCs/>
                <w:kern w:val="2"/>
                <w:sz w:val="21"/>
                <w:szCs w:val="21"/>
              </w:rPr>
            </w:pPr>
            <w:r>
              <w:rPr>
                <w:rFonts w:hint="eastAsia" w:hAnsi="宋体"/>
                <w:color w:val="000000"/>
                <w:kern w:val="2"/>
                <w:sz w:val="21"/>
                <w:szCs w:val="21"/>
              </w:rPr>
              <w:t>≥</w:t>
            </w:r>
            <w:r>
              <w:rPr>
                <w:rFonts w:hint="eastAsia" w:hAnsi="宋体"/>
                <w:bCs/>
                <w:kern w:val="2"/>
                <w:sz w:val="21"/>
                <w:szCs w:val="21"/>
              </w:rPr>
              <w:t>88</w:t>
            </w:r>
          </w:p>
        </w:tc>
        <w:tc>
          <w:tcPr>
            <w:tcW w:w="1680" w:type="dxa"/>
            <w:shd w:val="clear" w:color="auto" w:fill="FFFFFF"/>
            <w:vAlign w:val="center"/>
          </w:tcPr>
          <w:p w14:paraId="426D22E8">
            <w:pPr>
              <w:pStyle w:val="37"/>
              <w:jc w:val="center"/>
              <w:rPr>
                <w:rFonts w:hAnsi="宋体"/>
                <w:bCs/>
                <w:kern w:val="2"/>
                <w:sz w:val="21"/>
                <w:szCs w:val="21"/>
              </w:rPr>
            </w:pPr>
            <w:r>
              <w:rPr>
                <w:rFonts w:hint="eastAsia" w:hAnsi="宋体"/>
                <w:bCs/>
                <w:kern w:val="2"/>
                <w:sz w:val="21"/>
                <w:szCs w:val="21"/>
                <w:lang w:eastAsia="zh-CN"/>
              </w:rPr>
              <w:t>财物管理</w:t>
            </w:r>
            <w:r>
              <w:rPr>
                <w:rFonts w:hint="eastAsia" w:hAnsi="宋体"/>
                <w:bCs/>
                <w:kern w:val="2"/>
                <w:sz w:val="21"/>
                <w:szCs w:val="21"/>
              </w:rPr>
              <w:t>系统</w:t>
            </w:r>
          </w:p>
        </w:tc>
        <w:tc>
          <w:tcPr>
            <w:tcW w:w="1157" w:type="dxa"/>
            <w:shd w:val="clear" w:color="auto" w:fill="FFFFFF"/>
            <w:vAlign w:val="center"/>
          </w:tcPr>
          <w:p w14:paraId="6FE0F4F8">
            <w:pPr>
              <w:pStyle w:val="37"/>
              <w:jc w:val="center"/>
              <w:rPr>
                <w:rFonts w:hAnsi="宋体"/>
                <w:bCs/>
                <w:kern w:val="2"/>
                <w:sz w:val="21"/>
                <w:szCs w:val="21"/>
              </w:rPr>
            </w:pPr>
            <w:r>
              <w:rPr>
                <w:rFonts w:hint="eastAsia" w:hAnsi="宋体"/>
                <w:bCs/>
                <w:kern w:val="2"/>
                <w:sz w:val="21"/>
                <w:szCs w:val="21"/>
              </w:rPr>
              <w:t>销售部</w:t>
            </w:r>
          </w:p>
        </w:tc>
      </w:tr>
      <w:tr w14:paraId="206A4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atLeast"/>
        </w:trPr>
        <w:tc>
          <w:tcPr>
            <w:tcW w:w="886" w:type="dxa"/>
            <w:vMerge w:val="continue"/>
            <w:shd w:val="clear" w:color="auto" w:fill="FFFFFF"/>
            <w:vAlign w:val="center"/>
          </w:tcPr>
          <w:p w14:paraId="6739E0CE">
            <w:pPr>
              <w:pStyle w:val="10"/>
              <w:widowControl w:val="0"/>
              <w:jc w:val="center"/>
              <w:rPr>
                <w:rFonts w:ascii="宋体" w:hAnsi="宋体"/>
                <w:b/>
                <w:bCs/>
                <w:color w:val="000000"/>
                <w:kern w:val="2"/>
                <w:sz w:val="21"/>
                <w:szCs w:val="21"/>
              </w:rPr>
            </w:pPr>
          </w:p>
        </w:tc>
        <w:tc>
          <w:tcPr>
            <w:tcW w:w="1830" w:type="dxa"/>
            <w:vMerge w:val="continue"/>
            <w:shd w:val="clear" w:color="auto" w:fill="FFFFFF"/>
            <w:vAlign w:val="center"/>
          </w:tcPr>
          <w:p w14:paraId="327223B1">
            <w:pPr>
              <w:pStyle w:val="11"/>
              <w:widowControl w:val="0"/>
              <w:spacing w:line="240" w:lineRule="auto"/>
              <w:ind w:firstLine="0" w:firstLineChars="0"/>
              <w:jc w:val="center"/>
              <w:rPr>
                <w:rFonts w:ascii="宋体" w:hAnsi="宋体"/>
                <w:kern w:val="2"/>
                <w:sz w:val="21"/>
                <w:szCs w:val="21"/>
              </w:rPr>
            </w:pPr>
          </w:p>
        </w:tc>
        <w:tc>
          <w:tcPr>
            <w:tcW w:w="2565" w:type="dxa"/>
            <w:tcBorders>
              <w:bottom w:val="single" w:color="auto" w:sz="4" w:space="0"/>
            </w:tcBorders>
            <w:shd w:val="clear" w:color="auto" w:fill="FFFFFF"/>
            <w:vAlign w:val="center"/>
          </w:tcPr>
          <w:p w14:paraId="5FD00382">
            <w:pPr>
              <w:pStyle w:val="11"/>
              <w:widowControl w:val="0"/>
              <w:spacing w:line="240" w:lineRule="auto"/>
              <w:ind w:firstLine="0" w:firstLineChars="0"/>
              <w:jc w:val="center"/>
              <w:rPr>
                <w:rFonts w:ascii="宋体" w:hAnsi="宋体"/>
                <w:kern w:val="2"/>
                <w:sz w:val="21"/>
                <w:szCs w:val="21"/>
              </w:rPr>
            </w:pPr>
            <w:r>
              <w:rPr>
                <w:rFonts w:hint="eastAsia" w:ascii="宋体" w:hAnsi="宋体"/>
                <w:kern w:val="2"/>
                <w:sz w:val="21"/>
                <w:szCs w:val="21"/>
              </w:rPr>
              <w:t>顾客满意度/%</w:t>
            </w:r>
          </w:p>
        </w:tc>
        <w:tc>
          <w:tcPr>
            <w:tcW w:w="1350" w:type="dxa"/>
            <w:tcBorders>
              <w:bottom w:val="single" w:color="auto" w:sz="4" w:space="0"/>
            </w:tcBorders>
            <w:shd w:val="clear" w:color="auto" w:fill="FFFFFF"/>
            <w:vAlign w:val="center"/>
          </w:tcPr>
          <w:p w14:paraId="4A2373A2">
            <w:pPr>
              <w:jc w:val="center"/>
              <w:rPr>
                <w:rFonts w:ascii="宋体" w:hAnsi="宋体"/>
                <w:kern w:val="2"/>
                <w:sz w:val="21"/>
                <w:szCs w:val="21"/>
              </w:rPr>
            </w:pPr>
            <w:r>
              <w:rPr>
                <w:rFonts w:hint="eastAsia" w:ascii="宋体" w:hAnsi="宋体"/>
                <w:color w:val="000000"/>
                <w:kern w:val="2"/>
                <w:sz w:val="21"/>
                <w:szCs w:val="21"/>
              </w:rPr>
              <w:t>≥</w:t>
            </w:r>
            <w:r>
              <w:rPr>
                <w:rFonts w:hint="eastAsia" w:ascii="宋体" w:hAnsi="宋体"/>
                <w:kern w:val="2"/>
                <w:sz w:val="21"/>
                <w:szCs w:val="21"/>
              </w:rPr>
              <w:t>93</w:t>
            </w:r>
          </w:p>
        </w:tc>
        <w:tc>
          <w:tcPr>
            <w:tcW w:w="1680" w:type="dxa"/>
            <w:shd w:val="clear" w:color="auto" w:fill="FFFFFF"/>
            <w:vAlign w:val="center"/>
          </w:tcPr>
          <w:p w14:paraId="4D17ECC9">
            <w:pPr>
              <w:jc w:val="center"/>
              <w:rPr>
                <w:rFonts w:ascii="宋体" w:hAnsi="宋体"/>
                <w:kern w:val="2"/>
                <w:sz w:val="21"/>
                <w:szCs w:val="21"/>
              </w:rPr>
            </w:pPr>
            <w:r>
              <w:rPr>
                <w:rFonts w:hint="eastAsia" w:ascii="宋体" w:hAnsi="宋体"/>
                <w:color w:val="000000"/>
                <w:kern w:val="2"/>
                <w:sz w:val="21"/>
                <w:szCs w:val="21"/>
              </w:rPr>
              <w:t>质量控制系统</w:t>
            </w:r>
          </w:p>
        </w:tc>
        <w:tc>
          <w:tcPr>
            <w:tcW w:w="1157" w:type="dxa"/>
            <w:shd w:val="clear" w:color="auto" w:fill="FFFFFF"/>
            <w:vAlign w:val="center"/>
          </w:tcPr>
          <w:p w14:paraId="29E3BA2E">
            <w:pPr>
              <w:pStyle w:val="11"/>
              <w:widowControl w:val="0"/>
              <w:spacing w:line="240" w:lineRule="auto"/>
              <w:ind w:firstLine="0" w:firstLineChars="0"/>
              <w:jc w:val="center"/>
              <w:rPr>
                <w:rFonts w:ascii="宋体" w:hAnsi="宋体"/>
                <w:kern w:val="2"/>
                <w:sz w:val="21"/>
                <w:szCs w:val="21"/>
              </w:rPr>
            </w:pPr>
            <w:r>
              <w:rPr>
                <w:rFonts w:hint="eastAsia" w:ascii="宋体" w:hAnsi="宋体"/>
                <w:kern w:val="2"/>
                <w:sz w:val="21"/>
                <w:szCs w:val="21"/>
              </w:rPr>
              <w:t>销售部</w:t>
            </w:r>
          </w:p>
        </w:tc>
      </w:tr>
    </w:tbl>
    <w:p w14:paraId="27CF57D9">
      <w:pPr>
        <w:pStyle w:val="5"/>
      </w:pPr>
      <w:r>
        <w:rPr>
          <w:rFonts w:hint="eastAsia"/>
        </w:rPr>
        <w:t>4.5.2.3价值创造过程的设计</w:t>
      </w:r>
    </w:p>
    <w:p w14:paraId="5869E24B">
      <w:pPr>
        <w:pStyle w:val="6"/>
        <w:rPr>
          <w:sz w:val="24"/>
          <w:szCs w:val="24"/>
        </w:rPr>
      </w:pPr>
      <w:r>
        <w:rPr>
          <w:rFonts w:hint="eastAsia"/>
          <w:sz w:val="24"/>
          <w:szCs w:val="24"/>
        </w:rPr>
        <w:t>4.5.2.3.1主要价值创造过程的设计</w:t>
      </w:r>
    </w:p>
    <w:p w14:paraId="711B3581">
      <w:pPr>
        <w:spacing w:line="360" w:lineRule="auto"/>
        <w:ind w:firstLine="480" w:firstLineChars="200"/>
        <w:rPr>
          <w:rFonts w:ascii="宋体" w:hAnsi="宋体"/>
          <w:bCs/>
        </w:rPr>
      </w:pPr>
      <w:r>
        <w:rPr>
          <w:rFonts w:hint="eastAsia" w:ascii="宋体" w:hAnsi="宋体"/>
          <w:bCs/>
        </w:rPr>
        <w:t>为满足过程的主要要求，达到公司的战略目标、充分利用现有资源，实现可持续发展，通过管理评审、经营管理会议，利用FMEA等方法，进行过程的设计和逐层分解，适时评估、改进过程设计。</w:t>
      </w:r>
    </w:p>
    <w:p w14:paraId="3BE08309">
      <w:pPr>
        <w:spacing w:line="360" w:lineRule="auto"/>
        <w:ind w:firstLine="480" w:firstLineChars="200"/>
        <w:rPr>
          <w:rFonts w:ascii="宋体" w:hAnsi="宋体"/>
          <w:bCs/>
        </w:rPr>
      </w:pPr>
      <w:r>
        <w:rPr>
          <w:rFonts w:hint="eastAsia" w:ascii="宋体" w:hAnsi="宋体"/>
          <w:bCs/>
        </w:rPr>
        <w:t>各个主要关键工作过程的设计如下：</w:t>
      </w:r>
    </w:p>
    <w:p w14:paraId="2F0FBCC6">
      <w:pPr>
        <w:numPr>
          <w:ilvl w:val="0"/>
          <w:numId w:val="2"/>
        </w:numPr>
        <w:spacing w:line="360" w:lineRule="auto"/>
        <w:ind w:firstLine="480" w:firstLineChars="200"/>
        <w:rPr>
          <w:rFonts w:ascii="宋体" w:hAnsi="宋体"/>
          <w:bCs/>
        </w:rPr>
      </w:pPr>
      <w:r>
        <w:rPr>
          <w:rFonts w:hint="eastAsia" w:ascii="宋体" w:hAnsi="宋体"/>
          <w:bCs/>
        </w:rPr>
        <w:t>产品研发与设计过程</w:t>
      </w:r>
    </w:p>
    <w:p w14:paraId="09C9BCDE">
      <w:pPr>
        <w:spacing w:line="360" w:lineRule="auto"/>
        <w:ind w:firstLine="480" w:firstLineChars="200"/>
        <w:rPr>
          <w:rFonts w:ascii="宋体" w:hAnsi="宋体"/>
          <w:bCs/>
          <w:szCs w:val="32"/>
        </w:rPr>
      </w:pPr>
      <w:r>
        <w:rPr>
          <w:rFonts w:hint="eastAsia" w:ascii="宋体" w:hAnsi="宋体"/>
          <w:bCs/>
        </w:rPr>
        <w:t>依据产品研发过程所识别的要求，主动更新；循环完善，反复验证进行产品研发过程的设计。运用项目管理原理分析法对产品研发过程进行系统分析，</w:t>
      </w:r>
      <w:r>
        <w:rPr>
          <w:rFonts w:hint="eastAsia" w:ascii="宋体" w:hAnsi="宋体"/>
          <w:szCs w:val="21"/>
        </w:rPr>
        <w:t>按</w:t>
      </w:r>
      <w:r>
        <w:rPr>
          <w:rFonts w:ascii="宋体" w:hAnsi="宋体"/>
          <w:szCs w:val="21"/>
        </w:rPr>
        <w:t>BPM</w:t>
      </w:r>
      <w:r>
        <w:rPr>
          <w:rFonts w:hint="eastAsia" w:ascii="宋体" w:hAnsi="宋体"/>
          <w:szCs w:val="21"/>
        </w:rPr>
        <w:t>（流程管理）、</w:t>
      </w:r>
      <w:r>
        <w:rPr>
          <w:rFonts w:ascii="宋体" w:hAnsi="宋体"/>
          <w:szCs w:val="21"/>
        </w:rPr>
        <w:t>PM</w:t>
      </w:r>
      <w:r>
        <w:rPr>
          <w:rFonts w:hint="eastAsia" w:ascii="宋体" w:hAnsi="宋体"/>
          <w:szCs w:val="21"/>
        </w:rPr>
        <w:t>（项目管理）、</w:t>
      </w:r>
      <w:r>
        <w:rPr>
          <w:rFonts w:ascii="宋体" w:hAnsi="宋体"/>
          <w:szCs w:val="21"/>
        </w:rPr>
        <w:t>PLM</w:t>
      </w:r>
      <w:r>
        <w:rPr>
          <w:rFonts w:hint="eastAsia" w:ascii="宋体" w:hAnsi="宋体"/>
          <w:szCs w:val="21"/>
        </w:rPr>
        <w:t>（产品生命周期管理）等方法，结合行业特点，对研发过程进行设计。并采用大量的先进技术，缩短产品的开发周期和提高产品的技术含量，不断提升产品的销售能力，研发流程</w:t>
      </w:r>
      <w:r>
        <w:rPr>
          <w:rFonts w:hint="eastAsia" w:ascii="宋体" w:hAnsi="宋体"/>
          <w:bCs/>
          <w:szCs w:val="32"/>
        </w:rPr>
        <w:t>详见图4.5.2-1</w:t>
      </w:r>
      <w:r>
        <w:rPr>
          <w:rFonts w:hint="eastAsia" w:ascii="宋体" w:hAnsi="宋体"/>
          <w:szCs w:val="21"/>
        </w:rPr>
        <w:t>。</w:t>
      </w:r>
    </w:p>
    <w:p w14:paraId="1B5F4853">
      <w:pPr>
        <w:spacing w:line="360" w:lineRule="auto"/>
        <w:ind w:firstLine="422" w:firstLineChars="200"/>
        <w:jc w:val="center"/>
        <w:rPr>
          <w:rFonts w:ascii="宋体" w:hAnsi="宋体"/>
          <w:bCs/>
        </w:rPr>
      </w:pPr>
      <w:r>
        <w:rPr>
          <w:rFonts w:hint="eastAsia" w:ascii="黑体" w:hAnsi="黑体" w:eastAsia="黑体"/>
          <w:b/>
          <w:bCs/>
          <w:sz w:val="21"/>
          <w:szCs w:val="21"/>
        </w:rPr>
        <w:t>图4.5.2-1产品研发与设计过程设计流程</w:t>
      </w:r>
    </w:p>
    <w:p w14:paraId="31664A0E">
      <w:pPr>
        <w:spacing w:line="360" w:lineRule="auto"/>
        <w:ind w:firstLine="480" w:firstLineChars="200"/>
        <w:rPr>
          <w:rFonts w:ascii="宋体" w:hAnsi="宋体"/>
          <w:bCs/>
        </w:rPr>
      </w:pPr>
      <w:r>
        <w:object>
          <v:shape id="_x0000_i1026" o:spt="75" type="#_x0000_t75" style="height:321.9pt;width:401.3pt;" o:ole="t" filled="f" o:preferrelative="t" stroked="f" coordsize="21600,21600">
            <v:path/>
            <v:fill on="f" focussize="0,0"/>
            <v:stroke on="f" joinstyle="miter"/>
            <v:imagedata r:id="rId27" o:title=""/>
            <o:lock v:ext="edit" aspectratio="t"/>
            <w10:wrap type="none"/>
            <w10:anchorlock/>
          </v:shape>
          <o:OLEObject Type="Embed" ProgID="Visio.Drawing.11" ShapeID="_x0000_i1026" DrawAspect="Content" ObjectID="_1468075726" r:id="rId26">
            <o:LockedField>false</o:LockedField>
          </o:OLEObject>
        </w:object>
      </w:r>
    </w:p>
    <w:p w14:paraId="3C33D3E0">
      <w:pPr>
        <w:spacing w:line="360" w:lineRule="auto"/>
        <w:rPr>
          <w:rFonts w:ascii="宋体" w:hAnsi="宋体"/>
          <w:bCs/>
          <w:szCs w:val="32"/>
        </w:rPr>
      </w:pPr>
    </w:p>
    <w:p w14:paraId="2B541B95">
      <w:pPr>
        <w:spacing w:line="360" w:lineRule="auto"/>
        <w:ind w:firstLine="480" w:firstLineChars="200"/>
        <w:rPr>
          <w:rFonts w:ascii="宋体" w:hAnsi="宋体"/>
          <w:bCs/>
          <w:szCs w:val="32"/>
        </w:rPr>
      </w:pPr>
      <w:r>
        <w:rPr>
          <w:rFonts w:hint="eastAsia" w:ascii="宋体" w:hAnsi="宋体"/>
          <w:bCs/>
          <w:szCs w:val="32"/>
        </w:rPr>
        <w:t>2）采购过程的设计</w:t>
      </w:r>
    </w:p>
    <w:p w14:paraId="54B2E97C">
      <w:pPr>
        <w:spacing w:line="360" w:lineRule="auto"/>
        <w:ind w:firstLine="480" w:firstLineChars="200"/>
      </w:pPr>
      <w:r>
        <w:rPr>
          <w:rFonts w:hint="eastAsia" w:ascii="宋体" w:hAnsi="宋体"/>
          <w:bCs/>
          <w:szCs w:val="32"/>
        </w:rPr>
        <w:t>根据相关方对可续发展、长期合作的需求以及降低采购成本的要求，为实现采购品的质量合格率、供货周期等绩效指标，通过供方质量控制系统、材料、零部件控制系统和检验和试验质量控制系统给构成的质量管理体系为依托，从原辅材料验收过程和供应商管理过程两方面对采购过程进行设计</w:t>
      </w:r>
      <w:r>
        <w:rPr>
          <w:rFonts w:hint="eastAsia"/>
        </w:rPr>
        <w:t>。</w:t>
      </w:r>
      <w:r>
        <w:rPr>
          <w:rFonts w:hint="eastAsia" w:ascii="宋体" w:hAnsi="宋体"/>
          <w:bCs/>
          <w:szCs w:val="32"/>
        </w:rPr>
        <w:t>以核心供应商管理体系为纽带，对供应商进行分级管理；运用对供应商的评价激励手段，促进供应商自我完善，持续改进；通过对供应商开发建设，引进优质供应商资源，提高现有供应商生产规模和管理水平，降低采购成本，提高供应链的竞争力，详见图4.5.2-2。</w:t>
      </w:r>
    </w:p>
    <w:p w14:paraId="6EB42963">
      <w:pPr>
        <w:shd w:val="solid" w:color="FFFFFF" w:fill="FFFFFF"/>
        <w:jc w:val="center"/>
        <w:rPr>
          <w:rFonts w:ascii="黑体" w:hAnsi="黑体" w:eastAsia="黑体"/>
          <w:b/>
          <w:bCs/>
          <w:color w:val="000000"/>
          <w:sz w:val="21"/>
          <w:szCs w:val="21"/>
        </w:rPr>
      </w:pPr>
      <w:r>
        <w:rPr>
          <w:rFonts w:hint="eastAsia" w:ascii="黑体" w:hAnsi="黑体" w:eastAsia="黑体"/>
          <w:b/>
          <w:bCs/>
          <w:color w:val="000000"/>
          <w:sz w:val="21"/>
          <w:szCs w:val="21"/>
        </w:rPr>
        <w:t>图4.5.2-2采购过程设计流程</w:t>
      </w:r>
    </w:p>
    <w:p w14:paraId="10A4B806">
      <w:pPr>
        <w:spacing w:line="360" w:lineRule="auto"/>
        <w:jc w:val="center"/>
      </w:pPr>
      <w:r>
        <w:drawing>
          <wp:inline distT="0" distB="0" distL="114300" distR="114300">
            <wp:extent cx="3971925" cy="4924425"/>
            <wp:effectExtent l="0" t="0" r="9525" b="9525"/>
            <wp:docPr id="1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5"/>
                    <pic:cNvPicPr>
                      <a:picLocks noChangeAspect="1"/>
                    </pic:cNvPicPr>
                  </pic:nvPicPr>
                  <pic:blipFill>
                    <a:blip r:embed="rId28"/>
                    <a:stretch>
                      <a:fillRect/>
                    </a:stretch>
                  </pic:blipFill>
                  <pic:spPr>
                    <a:xfrm>
                      <a:off x="0" y="0"/>
                      <a:ext cx="3971925" cy="4924425"/>
                    </a:xfrm>
                    <a:prstGeom prst="rect">
                      <a:avLst/>
                    </a:prstGeom>
                    <a:noFill/>
                    <a:ln>
                      <a:noFill/>
                    </a:ln>
                  </pic:spPr>
                </pic:pic>
              </a:graphicData>
            </a:graphic>
          </wp:inline>
        </w:drawing>
      </w:r>
    </w:p>
    <w:p w14:paraId="1A3477CD">
      <w:pPr>
        <w:spacing w:line="360" w:lineRule="auto"/>
        <w:ind w:firstLine="480" w:firstLineChars="200"/>
        <w:rPr>
          <w:rFonts w:ascii="宋体" w:hAnsi="宋体"/>
          <w:bCs/>
          <w:szCs w:val="32"/>
        </w:rPr>
      </w:pPr>
      <w:r>
        <w:rPr>
          <w:rFonts w:hint="eastAsia" w:ascii="宋体" w:hAnsi="宋体"/>
          <w:bCs/>
          <w:szCs w:val="32"/>
        </w:rPr>
        <w:t>3)产品制造过程的设计</w:t>
      </w:r>
    </w:p>
    <w:p w14:paraId="69E4C119">
      <w:pPr>
        <w:spacing w:line="360" w:lineRule="auto"/>
        <w:ind w:firstLine="480" w:firstLineChars="200"/>
        <w:rPr>
          <w:rFonts w:ascii="宋体" w:hAnsi="宋体"/>
          <w:bCs/>
          <w:szCs w:val="32"/>
        </w:rPr>
      </w:pPr>
      <w:r>
        <w:rPr>
          <w:rFonts w:hint="eastAsia" w:ascii="宋体" w:hAnsi="宋体"/>
          <w:bCs/>
          <w:szCs w:val="32"/>
        </w:rPr>
        <w:t>依据公司的战略目标和产品制造过程的主要要求，并根据现有的生产条件、国内外的先进水平、产品的技术要求和公司高质、高效、低成本的制造理念来设计产品制造过程。产品制造过程主要围绕生产组织、工艺优化、质量控制三条主线来设计。</w:t>
      </w:r>
    </w:p>
    <w:p w14:paraId="07D0BCD1">
      <w:pPr>
        <w:spacing w:line="360" w:lineRule="auto"/>
        <w:ind w:firstLine="480" w:firstLineChars="200"/>
        <w:rPr>
          <w:rFonts w:ascii="宋体" w:hAnsi="宋体"/>
          <w:bCs/>
          <w:szCs w:val="32"/>
        </w:rPr>
      </w:pPr>
      <w:r>
        <w:rPr>
          <w:rFonts w:hint="eastAsia" w:ascii="宋体" w:hAnsi="宋体"/>
          <w:bCs/>
          <w:szCs w:val="32"/>
        </w:rPr>
        <w:t>公司的产品制造过程广泛应用快速反应、工艺复杂的生产线，实施刚柔结合的制造工艺技术，并把生产管理系统、质量控制系统等融合于整个生产过程中，广泛应用先进的技术和设备；通过优化工艺提高制造的一致性水平；从而满足相关方对交付时间、品质稳定、成本降低的需求。</w:t>
      </w:r>
    </w:p>
    <w:p w14:paraId="6DE86481">
      <w:pPr>
        <w:spacing w:line="360" w:lineRule="auto"/>
        <w:ind w:firstLine="480" w:firstLineChars="200"/>
        <w:rPr>
          <w:rFonts w:ascii="宋体" w:hAnsi="宋体"/>
          <w:bCs/>
          <w:szCs w:val="32"/>
        </w:rPr>
      </w:pPr>
      <w:r>
        <w:rPr>
          <w:rFonts w:ascii="宋体" w:hAnsi="宋体"/>
          <w:bCs/>
          <w:szCs w:val="32"/>
        </w:rPr>
        <mc:AlternateContent>
          <mc:Choice Requires="wps">
            <w:drawing>
              <wp:anchor distT="0" distB="0" distL="114300" distR="114300" simplePos="0" relativeHeight="251685888" behindDoc="0" locked="0" layoutInCell="1" allowOverlap="1">
                <wp:simplePos x="0" y="0"/>
                <wp:positionH relativeFrom="column">
                  <wp:posOffset>4451985</wp:posOffset>
                </wp:positionH>
                <wp:positionV relativeFrom="paragraph">
                  <wp:posOffset>123825</wp:posOffset>
                </wp:positionV>
                <wp:extent cx="263525" cy="273050"/>
                <wp:effectExtent l="0" t="0" r="0" b="0"/>
                <wp:wrapNone/>
                <wp:docPr id="2" name="矩形 85"/>
                <wp:cNvGraphicFramePr/>
                <a:graphic xmlns:a="http://schemas.openxmlformats.org/drawingml/2006/main">
                  <a:graphicData uri="http://schemas.microsoft.com/office/word/2010/wordprocessingShape">
                    <wps:wsp>
                      <wps:cNvSpPr/>
                      <wps:spPr>
                        <a:xfrm>
                          <a:off x="0" y="0"/>
                          <a:ext cx="263525" cy="273050"/>
                        </a:xfrm>
                        <a:prstGeom prst="rect">
                          <a:avLst/>
                        </a:prstGeom>
                        <a:noFill/>
                        <a:ln>
                          <a:noFill/>
                        </a:ln>
                      </wps:spPr>
                      <wps:txbx>
                        <w:txbxContent>
                          <w:p w14:paraId="7505D54C">
                            <w:pPr>
                              <w:pStyle w:val="20"/>
                              <w:kinsoku w:val="0"/>
                              <w:overflowPunct w:val="0"/>
                              <w:spacing w:before="0" w:beforeAutospacing="0" w:after="0" w:afterAutospacing="0"/>
                              <w:textAlignment w:val="baseline"/>
                              <w:rPr>
                                <w:sz w:val="18"/>
                                <w:szCs w:val="18"/>
                              </w:rPr>
                            </w:pPr>
                          </w:p>
                        </w:txbxContent>
                      </wps:txbx>
                      <wps:bodyPr wrap="none" lIns="74487" tIns="37246" rIns="74487" bIns="37246" upright="1">
                        <a:spAutoFit/>
                      </wps:bodyPr>
                    </wps:wsp>
                  </a:graphicData>
                </a:graphic>
              </wp:anchor>
            </w:drawing>
          </mc:Choice>
          <mc:Fallback>
            <w:pict>
              <v:rect id="矩形 85" o:spid="_x0000_s1026" o:spt="1" style="position:absolute;left:0pt;margin-left:350.55pt;margin-top:9.75pt;height:21.5pt;width:20.75pt;mso-wrap-style:none;z-index:251685888;mso-width-relative:page;mso-height-relative:page;" filled="f" stroked="f" coordsize="21600,21600" o:gfxdata="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FXvXn9UAAAAJAQAADwAAAAAAAAABACAAAAAiAAAAZHJz&#10;L2Rvd25yZXYueG1sUEsBAhQAFAAAAAgAh07iQHteFRHOAQAAmwMAAA4AAAAAAAAAAQAgAAAAJAEA&#10;AGRycy9lMm9Eb2MueG1sUEsFBgAAAAAGAAYAWQEAAGQFAAAAAA==&#10;">
                <v:fill on="f" focussize="0,0"/>
                <v:stroke on="f"/>
                <v:imagedata o:title=""/>
                <o:lock v:ext="edit" aspectratio="f"/>
                <v:textbox inset="5.86511811023622pt,2.93275590551181pt,5.86511811023622pt,2.93275590551181pt" style="mso-fit-shape-to-text:t;">
                  <w:txbxContent>
                    <w:p w14:paraId="7505D54C">
                      <w:pPr>
                        <w:pStyle w:val="20"/>
                        <w:kinsoku w:val="0"/>
                        <w:overflowPunct w:val="0"/>
                        <w:spacing w:before="0" w:beforeAutospacing="0" w:after="0" w:afterAutospacing="0"/>
                        <w:textAlignment w:val="baseline"/>
                        <w:rPr>
                          <w:sz w:val="18"/>
                          <w:szCs w:val="18"/>
                        </w:rPr>
                      </w:pPr>
                    </w:p>
                  </w:txbxContent>
                </v:textbox>
              </v:rect>
            </w:pict>
          </mc:Fallback>
        </mc:AlternateContent>
      </w:r>
      <w:r>
        <w:rPr>
          <w:rFonts w:hint="eastAsia" w:ascii="宋体" w:hAnsi="宋体"/>
          <w:bCs/>
          <w:szCs w:val="32"/>
        </w:rPr>
        <w:t>在工艺方面，通过专业人员分析确定关键工序、关键岗位和工序质量控制点，并通过生产能力评估对每条流水线所具备的生产能力和条件（包括生产人员、检验人员、必须的设备、工装、试生产运行等）进行评审，进行生产工艺流程评估、确定生产工序流程中的关键工序、关键岗位及操作资格要求以及生产现场的工艺管理，评估后形成相关信息和制度；只有获得生产资格的，方能进行生产。</w:t>
      </w:r>
    </w:p>
    <w:p w14:paraId="0764AD1E">
      <w:pPr>
        <w:spacing w:line="360" w:lineRule="auto"/>
        <w:ind w:firstLine="480" w:firstLineChars="200"/>
        <w:rPr>
          <w:rFonts w:ascii="宋体" w:hAnsi="宋体"/>
          <w:bCs/>
          <w:szCs w:val="32"/>
        </w:rPr>
      </w:pPr>
      <w:r>
        <w:rPr>
          <w:rFonts w:hint="eastAsia" w:ascii="宋体" w:hAnsi="宋体"/>
          <w:bCs/>
          <w:szCs w:val="32"/>
        </w:rPr>
        <w:t>4)市场营销服务过程的设计</w:t>
      </w:r>
    </w:p>
    <w:p w14:paraId="3C51FBF1">
      <w:pPr>
        <w:spacing w:line="360" w:lineRule="auto"/>
        <w:ind w:firstLine="480" w:firstLineChars="200"/>
        <w:rPr>
          <w:rFonts w:ascii="宋体" w:hAnsi="宋体"/>
          <w:bCs/>
          <w:szCs w:val="32"/>
        </w:rPr>
      </w:pPr>
      <w:r>
        <w:rPr>
          <w:rFonts w:hint="eastAsia" w:ascii="宋体" w:hAnsi="宋体"/>
          <w:bCs/>
          <w:szCs w:val="32"/>
        </w:rPr>
        <w:t>根据过程的要求和旨在超越顾客的期望，实现顾客价值和公司赢利与发展的要求，建设和完善市场营销和客户服务网络，应用新技术</w:t>
      </w:r>
      <w:r>
        <w:rPr>
          <w:rFonts w:hint="eastAsia" w:ascii="宋体" w:hAnsi="宋体"/>
          <w:bCs/>
          <w:szCs w:val="32"/>
          <w:lang w:eastAsia="zh-CN"/>
        </w:rPr>
        <w:t>财物管理</w:t>
      </w:r>
      <w:r>
        <w:rPr>
          <w:rFonts w:hint="eastAsia" w:ascii="宋体" w:hAnsi="宋体"/>
          <w:bCs/>
          <w:szCs w:val="32"/>
        </w:rPr>
        <w:t>和有关信息，从市场信息收集与分析开始，了解顾客的需求和期望，在此基础上进行市场开发、配套开发、建立业务关系、顾客服务与顾客管理等活动，并通过信息的传递、反馈，进行市场营销服务过程的设计。（详见图4.5.2-3）</w:t>
      </w:r>
    </w:p>
    <w:p w14:paraId="303B0E30">
      <w:pPr>
        <w:spacing w:line="360" w:lineRule="auto"/>
        <w:jc w:val="center"/>
        <w:rPr>
          <w:rFonts w:ascii="黑体" w:hAnsi="黑体" w:eastAsia="黑体"/>
          <w:color w:val="000000"/>
          <w:sz w:val="21"/>
          <w:szCs w:val="21"/>
        </w:rPr>
      </w:pPr>
      <w:r>
        <w:rPr>
          <w:rFonts w:hint="eastAsia" w:ascii="黑体" w:hAnsi="黑体" w:eastAsia="黑体"/>
          <w:b/>
          <w:bCs/>
          <w:color w:val="000000"/>
          <w:sz w:val="21"/>
          <w:szCs w:val="21"/>
        </w:rPr>
        <w:t>图4.5.2-3 市场营销服务流程</w:t>
      </w:r>
    </w:p>
    <w:p w14:paraId="649C25C5">
      <w:pPr>
        <w:spacing w:line="360" w:lineRule="auto"/>
        <w:rPr>
          <w:color w:val="FF0000"/>
        </w:rPr>
      </w:pPr>
      <w:r>
        <w:rPr>
          <w:color w:val="FF0000"/>
          <w:sz w:val="20"/>
        </w:rPr>
        <mc:AlternateContent>
          <mc:Choice Requires="wps">
            <w:drawing>
              <wp:anchor distT="0" distB="0" distL="114300" distR="114300" simplePos="0" relativeHeight="251686912" behindDoc="0" locked="0" layoutInCell="1" allowOverlap="1">
                <wp:simplePos x="0" y="0"/>
                <wp:positionH relativeFrom="column">
                  <wp:posOffset>800100</wp:posOffset>
                </wp:positionH>
                <wp:positionV relativeFrom="paragraph">
                  <wp:posOffset>99060</wp:posOffset>
                </wp:positionV>
                <wp:extent cx="3819525" cy="2059305"/>
                <wp:effectExtent l="4445" t="4445" r="5080" b="12700"/>
                <wp:wrapNone/>
                <wp:docPr id="86" name="矩形 86"/>
                <wp:cNvGraphicFramePr/>
                <a:graphic xmlns:a="http://schemas.openxmlformats.org/drawingml/2006/main">
                  <a:graphicData uri="http://schemas.microsoft.com/office/word/2010/wordprocessingShape">
                    <wps:wsp>
                      <wps:cNvSpPr/>
                      <wps:spPr>
                        <a:xfrm>
                          <a:off x="0" y="0"/>
                          <a:ext cx="3819525" cy="2059305"/>
                        </a:xfrm>
                        <a:prstGeom prst="rect">
                          <a:avLst/>
                        </a:prstGeom>
                        <a:solidFill>
                          <a:srgbClr val="FFFFFF"/>
                        </a:solidFill>
                        <a:ln w="9525" cap="flat" cmpd="sng">
                          <a:solidFill>
                            <a:srgbClr val="000000"/>
                          </a:solidFill>
                          <a:prstDash val="solid"/>
                          <a:miter/>
                          <a:headEnd type="none" w="med" len="med"/>
                          <a:tailEnd type="none" w="med" len="med"/>
                        </a:ln>
                        <a:effectLst/>
                      </wps:spPr>
                      <wps:bodyPr wrap="square" upright="1"/>
                    </wps:wsp>
                  </a:graphicData>
                </a:graphic>
              </wp:anchor>
            </w:drawing>
          </mc:Choice>
          <mc:Fallback>
            <w:pict>
              <v:rect id="_x0000_s1026" o:spid="_x0000_s1026" o:spt="1" style="position:absolute;left:0pt;margin-left:63pt;margin-top:7.8pt;height:162.15pt;width:300.75pt;z-index:251686912;mso-width-relative:page;mso-height-relative:page;" fillcolor="#FFFFFF" filled="t" stroked="t" coordsize="21600,21600" o:gfxdata="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MMl7FnYAAAACgEAAA8AAAAAAAAAAQAgAAAAIgAA&#10;AGRycy9kb3ducmV2LnhtbFBLAQIUABQAAAAIAIdO4kCc2bZeCAIAAD0EAAAOAAAAAAAAAAEAIAAA&#10;ACcBAABkcnMvZTJvRG9jLnhtbFBLBQYAAAAABgAGAFkBAAChBQAAAAA=&#10;">
                <v:fill on="t" focussize="0,0"/>
                <v:stroke color="#000000" joinstyle="miter"/>
                <v:imagedata o:title=""/>
                <o:lock v:ext="edit" aspectratio="f"/>
              </v:rect>
            </w:pict>
          </mc:Fallback>
        </mc:AlternateContent>
      </w:r>
      <w:r>
        <w:rPr>
          <w:color w:val="FF0000"/>
          <w:sz w:val="20"/>
        </w:rPr>
        <mc:AlternateContent>
          <mc:Choice Requires="wps">
            <w:drawing>
              <wp:anchor distT="0" distB="0" distL="114300" distR="114300" simplePos="0" relativeHeight="251687936" behindDoc="0" locked="0" layoutInCell="1" allowOverlap="1">
                <wp:simplePos x="0" y="0"/>
                <wp:positionH relativeFrom="column">
                  <wp:posOffset>4800600</wp:posOffset>
                </wp:positionH>
                <wp:positionV relativeFrom="paragraph">
                  <wp:posOffset>198120</wp:posOffset>
                </wp:positionV>
                <wp:extent cx="1028700" cy="792480"/>
                <wp:effectExtent l="13970" t="14605" r="24130" b="31115"/>
                <wp:wrapNone/>
                <wp:docPr id="87" name="文本框 87"/>
                <wp:cNvGraphicFramePr/>
                <a:graphic xmlns:a="http://schemas.openxmlformats.org/drawingml/2006/main">
                  <a:graphicData uri="http://schemas.microsoft.com/office/word/2010/wordprocessingShape">
                    <wps:wsp>
                      <wps:cNvSpPr txBox="1"/>
                      <wps:spPr>
                        <a:xfrm>
                          <a:off x="0" y="0"/>
                          <a:ext cx="1028700" cy="792480"/>
                        </a:xfrm>
                        <a:prstGeom prst="rect">
                          <a:avLst/>
                        </a:prstGeom>
                        <a:solidFill>
                          <a:srgbClr val="00CCFF"/>
                        </a:solidFill>
                        <a:ln w="28575" cap="flat" cmpd="sng">
                          <a:solidFill>
                            <a:srgbClr val="000000"/>
                          </a:solidFill>
                          <a:prstDash val="solid"/>
                          <a:miter/>
                          <a:headEnd type="none" w="med" len="med"/>
                          <a:tailEnd type="none" w="med" len="med"/>
                        </a:ln>
                        <a:effectLst/>
                      </wps:spPr>
                      <wps:txbx>
                        <w:txbxContent>
                          <w:p w14:paraId="2C27B5F7">
                            <w:pPr>
                              <w:jc w:val="center"/>
                              <w:rPr>
                                <w:b/>
                                <w:bCs/>
                              </w:rPr>
                            </w:pPr>
                          </w:p>
                          <w:p w14:paraId="0A7CA012">
                            <w:pPr>
                              <w:jc w:val="center"/>
                            </w:pPr>
                            <w:r>
                              <w:rPr>
                                <w:rFonts w:hint="eastAsia"/>
                                <w:b/>
                                <w:bCs/>
                              </w:rPr>
                              <w:t>设计制造</w:t>
                            </w:r>
                          </w:p>
                        </w:txbxContent>
                      </wps:txbx>
                      <wps:bodyPr wrap="square" upright="1"/>
                    </wps:wsp>
                  </a:graphicData>
                </a:graphic>
              </wp:anchor>
            </w:drawing>
          </mc:Choice>
          <mc:Fallback>
            <w:pict>
              <v:shape id="_x0000_s1026" o:spid="_x0000_s1026" o:spt="202" type="#_x0000_t202" style="position:absolute;left:0pt;margin-left:378pt;margin-top:15.6pt;height:62.4pt;width:81pt;z-index:251687936;mso-width-relative:page;mso-height-relative:page;" fillcolor="#00CCFF" filled="t" stroked="t" coordsize="21600,21600" o:gfxdata="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c0Se9&#10;2AAAAAoBAAAPAAAAAAAAAAEAIAAAACIAAABkcnMvZG93bnJldi54bWxQSwECFAAUAAAACACHTuJA&#10;AOTUcSECAABVBAAADgAAAAAAAAABACAAAAAnAQAAZHJzL2Uyb0RvYy54bWxQSwUGAAAAAAYABgBZ&#10;AQAAugUAAAAA&#10;">
                <v:fill on="t" focussize="0,0"/>
                <v:stroke weight="2.25pt" color="#000000" joinstyle="miter"/>
                <v:imagedata o:title=""/>
                <o:lock v:ext="edit" aspectratio="f"/>
                <v:textbox>
                  <w:txbxContent>
                    <w:p w14:paraId="2C27B5F7">
                      <w:pPr>
                        <w:jc w:val="center"/>
                        <w:rPr>
                          <w:b/>
                          <w:bCs/>
                        </w:rPr>
                      </w:pPr>
                    </w:p>
                    <w:p w14:paraId="0A7CA012">
                      <w:pPr>
                        <w:jc w:val="center"/>
                      </w:pPr>
                      <w:r>
                        <w:rPr>
                          <w:rFonts w:hint="eastAsia"/>
                          <w:b/>
                          <w:bCs/>
                        </w:rPr>
                        <w:t>设计制造</w:t>
                      </w:r>
                    </w:p>
                  </w:txbxContent>
                </v:textbox>
              </v:shape>
            </w:pict>
          </mc:Fallback>
        </mc:AlternateContent>
      </w:r>
      <w:r>
        <w:rPr>
          <w:rFonts w:ascii="宋体" w:hAnsi="宋体"/>
          <w:color w:val="000000"/>
          <w:sz w:val="20"/>
          <w:szCs w:val="28"/>
        </w:rPr>
        <mc:AlternateContent>
          <mc:Choice Requires="wps">
            <w:drawing>
              <wp:anchor distT="0" distB="0" distL="114300" distR="114300" simplePos="0" relativeHeight="251688960" behindDoc="0" locked="0" layoutInCell="1" allowOverlap="1">
                <wp:simplePos x="0" y="0"/>
                <wp:positionH relativeFrom="column">
                  <wp:posOffset>2743200</wp:posOffset>
                </wp:positionH>
                <wp:positionV relativeFrom="paragraph">
                  <wp:posOffset>198120</wp:posOffset>
                </wp:positionV>
                <wp:extent cx="914400" cy="297180"/>
                <wp:effectExtent l="4445" t="4445" r="14605" b="22225"/>
                <wp:wrapNone/>
                <wp:docPr id="88" name="文本框 88"/>
                <wp:cNvGraphicFramePr/>
                <a:graphic xmlns:a="http://schemas.openxmlformats.org/drawingml/2006/main">
                  <a:graphicData uri="http://schemas.microsoft.com/office/word/2010/wordprocessingShape">
                    <wps:wsp>
                      <wps:cNvSpPr txBox="1"/>
                      <wps:spPr>
                        <a:xfrm>
                          <a:off x="0" y="0"/>
                          <a:ext cx="914400" cy="297180"/>
                        </a:xfrm>
                        <a:prstGeom prst="rect">
                          <a:avLst/>
                        </a:prstGeom>
                        <a:solidFill>
                          <a:srgbClr val="0000FF"/>
                        </a:solidFill>
                        <a:ln w="9525" cap="flat" cmpd="sng">
                          <a:solidFill>
                            <a:srgbClr val="000000"/>
                          </a:solidFill>
                          <a:prstDash val="solid"/>
                          <a:miter/>
                          <a:headEnd type="none" w="med" len="med"/>
                          <a:tailEnd type="none" w="med" len="med"/>
                        </a:ln>
                        <a:effectLst/>
                      </wps:spPr>
                      <wps:txbx>
                        <w:txbxContent>
                          <w:p w14:paraId="592D1D52">
                            <w:pPr>
                              <w:jc w:val="center"/>
                              <w:rPr>
                                <w:b/>
                                <w:bCs/>
                                <w:color w:val="FFFFFF"/>
                              </w:rPr>
                            </w:pPr>
                            <w:r>
                              <w:rPr>
                                <w:rFonts w:hint="eastAsia"/>
                                <w:b/>
                                <w:bCs/>
                                <w:color w:val="FFFFFF"/>
                              </w:rPr>
                              <w:t>配套 开发</w:t>
                            </w:r>
                          </w:p>
                        </w:txbxContent>
                      </wps:txbx>
                      <wps:bodyPr wrap="square" upright="1"/>
                    </wps:wsp>
                  </a:graphicData>
                </a:graphic>
              </wp:anchor>
            </w:drawing>
          </mc:Choice>
          <mc:Fallback>
            <w:pict>
              <v:shape id="_x0000_s1026" o:spid="_x0000_s1026" o:spt="202" type="#_x0000_t202" style="position:absolute;left:0pt;margin-left:216pt;margin-top:15.6pt;height:23.4pt;width:72pt;z-index:251688960;mso-width-relative:page;mso-height-relative:page;" fillcolor="#0000FF" filled="t" stroked="t" coordsize="21600,21600" o:gfxdata="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36+GOdgAAAAJ&#10;AQAADwAAAAAAAAABACAAAAAiAAAAZHJzL2Rvd25yZXYueG1sUEsBAhQAFAAAAAgAh07iQMclUesc&#10;AgAAUwQAAA4AAAAAAAAAAQAgAAAAJwEAAGRycy9lMm9Eb2MueG1sUEsFBgAAAAAGAAYAWQEAALUF&#10;AAAAAA==&#10;">
                <v:fill on="t" focussize="0,0"/>
                <v:stroke color="#000000" joinstyle="miter"/>
                <v:imagedata o:title=""/>
                <o:lock v:ext="edit" aspectratio="f"/>
                <v:textbox>
                  <w:txbxContent>
                    <w:p w14:paraId="592D1D52">
                      <w:pPr>
                        <w:jc w:val="center"/>
                        <w:rPr>
                          <w:b/>
                          <w:bCs/>
                          <w:color w:val="FFFFFF"/>
                        </w:rPr>
                      </w:pPr>
                      <w:r>
                        <w:rPr>
                          <w:rFonts w:hint="eastAsia"/>
                          <w:b/>
                          <w:bCs/>
                          <w:color w:val="FFFFFF"/>
                        </w:rPr>
                        <w:t>配套 开发</w:t>
                      </w:r>
                    </w:p>
                  </w:txbxContent>
                </v:textbox>
              </v:shape>
            </w:pict>
          </mc:Fallback>
        </mc:AlternateContent>
      </w:r>
      <w:r>
        <w:rPr>
          <w:rFonts w:ascii="宋体" w:hAnsi="宋体"/>
          <w:color w:val="000000"/>
          <w:sz w:val="20"/>
          <w:szCs w:val="28"/>
        </w:rPr>
        <mc:AlternateContent>
          <mc:Choice Requires="wps">
            <w:drawing>
              <wp:anchor distT="0" distB="0" distL="114300" distR="114300" simplePos="0" relativeHeight="251689984" behindDoc="0" locked="0" layoutInCell="1" allowOverlap="1">
                <wp:simplePos x="0" y="0"/>
                <wp:positionH relativeFrom="column">
                  <wp:posOffset>1600200</wp:posOffset>
                </wp:positionH>
                <wp:positionV relativeFrom="paragraph">
                  <wp:posOffset>198120</wp:posOffset>
                </wp:positionV>
                <wp:extent cx="914400" cy="297180"/>
                <wp:effectExtent l="4445" t="4445" r="14605" b="22225"/>
                <wp:wrapNone/>
                <wp:docPr id="89" name="文本框 89"/>
                <wp:cNvGraphicFramePr/>
                <a:graphic xmlns:a="http://schemas.openxmlformats.org/drawingml/2006/main">
                  <a:graphicData uri="http://schemas.microsoft.com/office/word/2010/wordprocessingShape">
                    <wps:wsp>
                      <wps:cNvSpPr txBox="1"/>
                      <wps:spPr>
                        <a:xfrm>
                          <a:off x="0" y="0"/>
                          <a:ext cx="914400" cy="297180"/>
                        </a:xfrm>
                        <a:prstGeom prst="rect">
                          <a:avLst/>
                        </a:prstGeom>
                        <a:solidFill>
                          <a:srgbClr val="0000FF"/>
                        </a:solidFill>
                        <a:ln w="9525" cap="flat" cmpd="sng">
                          <a:solidFill>
                            <a:srgbClr val="000000"/>
                          </a:solidFill>
                          <a:prstDash val="solid"/>
                          <a:miter/>
                          <a:headEnd type="none" w="med" len="med"/>
                          <a:tailEnd type="none" w="med" len="med"/>
                        </a:ln>
                        <a:effectLst/>
                      </wps:spPr>
                      <wps:txbx>
                        <w:txbxContent>
                          <w:p w14:paraId="23AF5546">
                            <w:pPr>
                              <w:jc w:val="center"/>
                              <w:rPr>
                                <w:b/>
                                <w:bCs/>
                                <w:color w:val="FFFFFF"/>
                              </w:rPr>
                            </w:pPr>
                            <w:r>
                              <w:rPr>
                                <w:rFonts w:hint="eastAsia"/>
                                <w:b/>
                                <w:bCs/>
                                <w:color w:val="FFFFFF"/>
                              </w:rPr>
                              <w:t>市场 开发</w:t>
                            </w:r>
                          </w:p>
                        </w:txbxContent>
                      </wps:txbx>
                      <wps:bodyPr wrap="square" upright="1"/>
                    </wps:wsp>
                  </a:graphicData>
                </a:graphic>
              </wp:anchor>
            </w:drawing>
          </mc:Choice>
          <mc:Fallback>
            <w:pict>
              <v:shape id="_x0000_s1026" o:spid="_x0000_s1026" o:spt="202" type="#_x0000_t202" style="position:absolute;left:0pt;margin-left:126pt;margin-top:15.6pt;height:23.4pt;width:72pt;z-index:251689984;mso-width-relative:page;mso-height-relative:page;" fillcolor="#0000FF" filled="t" stroked="t" coordsize="21600,21600" o:gfxdata="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gktr41wAAAAkB&#10;AAAPAAAAAAAAAAEAIAAAACIAAABkcnMvZG93bnJldi54bWxQSwECFAAUAAAACACHTuJATdPn1RwC&#10;AABTBAAADgAAAAAAAAABACAAAAAmAQAAZHJzL2Uyb0RvYy54bWxQSwUGAAAAAAYABgBZAQAAtAUA&#10;AAAA&#10;">
                <v:fill on="t" focussize="0,0"/>
                <v:stroke color="#000000" joinstyle="miter"/>
                <v:imagedata o:title=""/>
                <o:lock v:ext="edit" aspectratio="f"/>
                <v:textbox>
                  <w:txbxContent>
                    <w:p w14:paraId="23AF5546">
                      <w:pPr>
                        <w:jc w:val="center"/>
                        <w:rPr>
                          <w:b/>
                          <w:bCs/>
                          <w:color w:val="FFFFFF"/>
                        </w:rPr>
                      </w:pPr>
                      <w:r>
                        <w:rPr>
                          <w:rFonts w:hint="eastAsia"/>
                          <w:b/>
                          <w:bCs/>
                          <w:color w:val="FFFFFF"/>
                        </w:rPr>
                        <w:t>市场 开发</w:t>
                      </w:r>
                    </w:p>
                  </w:txbxContent>
                </v:textbox>
              </v:shape>
            </w:pict>
          </mc:Fallback>
        </mc:AlternateContent>
      </w:r>
    </w:p>
    <w:p w14:paraId="5561EAB4">
      <w:pPr>
        <w:pStyle w:val="18"/>
        <w:spacing w:line="360" w:lineRule="auto"/>
        <w:ind w:left="0" w:leftChars="0" w:firstLine="400" w:firstLineChars="200"/>
        <w:rPr>
          <w:rFonts w:ascii="宋体" w:hAnsi="宋体" w:eastAsia="宋体"/>
          <w:color w:val="000000"/>
          <w:sz w:val="24"/>
          <w:szCs w:val="28"/>
        </w:rPr>
      </w:pPr>
      <w:r>
        <w:rPr>
          <w:rFonts w:ascii="宋体" w:hAnsi="宋体" w:eastAsia="宋体"/>
          <w:color w:val="000000"/>
          <w:sz w:val="20"/>
          <w:szCs w:val="28"/>
        </w:rPr>
        <mc:AlternateContent>
          <mc:Choice Requires="wps">
            <w:drawing>
              <wp:anchor distT="0" distB="0" distL="114300" distR="114300" simplePos="0" relativeHeight="251691008" behindDoc="0" locked="0" layoutInCell="1" allowOverlap="1">
                <wp:simplePos x="0" y="0"/>
                <wp:positionH relativeFrom="column">
                  <wp:posOffset>228600</wp:posOffset>
                </wp:positionH>
                <wp:positionV relativeFrom="paragraph">
                  <wp:posOffset>0</wp:posOffset>
                </wp:positionV>
                <wp:extent cx="457200" cy="1584960"/>
                <wp:effectExtent l="4445" t="4445" r="14605" b="10795"/>
                <wp:wrapNone/>
                <wp:docPr id="90" name="文本框 90"/>
                <wp:cNvGraphicFramePr/>
                <a:graphic xmlns:a="http://schemas.openxmlformats.org/drawingml/2006/main">
                  <a:graphicData uri="http://schemas.microsoft.com/office/word/2010/wordprocessingShape">
                    <wps:wsp>
                      <wps:cNvSpPr txBox="1"/>
                      <wps:spPr>
                        <a:xfrm>
                          <a:off x="0" y="0"/>
                          <a:ext cx="457200" cy="1584960"/>
                        </a:xfrm>
                        <a:prstGeom prst="rect">
                          <a:avLst/>
                        </a:prstGeom>
                        <a:solidFill>
                          <a:srgbClr val="00FFFF"/>
                        </a:solidFill>
                        <a:ln w="9525" cap="flat" cmpd="sng">
                          <a:solidFill>
                            <a:srgbClr val="000000"/>
                          </a:solidFill>
                          <a:prstDash val="solid"/>
                          <a:miter/>
                          <a:headEnd type="none" w="med" len="med"/>
                          <a:tailEnd type="none" w="med" len="med"/>
                        </a:ln>
                        <a:effectLst/>
                      </wps:spPr>
                      <wps:txbx>
                        <w:txbxContent>
                          <w:p w14:paraId="4A4E2798">
                            <w:pPr>
                              <w:ind w:firstLine="482" w:firstLineChars="200"/>
                              <w:rPr>
                                <w:b/>
                                <w:bCs/>
                              </w:rPr>
                            </w:pPr>
                            <w:r>
                              <w:rPr>
                                <w:rFonts w:hint="eastAsia"/>
                                <w:b/>
                                <w:bCs/>
                              </w:rPr>
                              <w:t>客 户 需 求</w:t>
                            </w:r>
                          </w:p>
                        </w:txbxContent>
                      </wps:txbx>
                      <wps:bodyPr vert="eaVert" wrap="square" upright="1"/>
                    </wps:wsp>
                  </a:graphicData>
                </a:graphic>
              </wp:anchor>
            </w:drawing>
          </mc:Choice>
          <mc:Fallback>
            <w:pict>
              <v:shape id="_x0000_s1026" o:spid="_x0000_s1026" o:spt="202" type="#_x0000_t202" style="position:absolute;left:0pt;margin-left:18pt;margin-top:0pt;height:124.8pt;width:36pt;z-index:251691008;mso-width-relative:page;mso-height-relative:page;" fillcolor="#00FFFF" filled="t" stroked="t" coordsize="21600,21600" o:gfxdata="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K9y&#10;QHzWAAAABwEAAA8AAAAAAAAAAQAgAAAAIgAAAGRycy9kb3ducmV2LnhtbFBLAQIUABQAAAAIAIdO&#10;4kBaMNS2JQIAAGIEAAAOAAAAAAAAAAEAIAAAACUBAABkcnMvZTJvRG9jLnhtbFBLBQYAAAAABgAG&#10;AFkBAAC8BQAAAAA=&#10;">
                <v:fill on="t" focussize="0,0"/>
                <v:stroke color="#000000" joinstyle="miter"/>
                <v:imagedata o:title=""/>
                <o:lock v:ext="edit" aspectratio="f"/>
                <v:textbox style="layout-flow:vertical-ideographic;">
                  <w:txbxContent>
                    <w:p w14:paraId="4A4E2798">
                      <w:pPr>
                        <w:ind w:firstLine="482" w:firstLineChars="200"/>
                        <w:rPr>
                          <w:b/>
                          <w:bCs/>
                        </w:rPr>
                      </w:pPr>
                      <w:r>
                        <w:rPr>
                          <w:rFonts w:hint="eastAsia"/>
                          <w:b/>
                          <w:bCs/>
                        </w:rPr>
                        <w:t>客 户 需 求</w:t>
                      </w:r>
                    </w:p>
                  </w:txbxContent>
                </v:textbox>
              </v:shape>
            </w:pict>
          </mc:Fallback>
        </mc:AlternateContent>
      </w:r>
      <w:r>
        <w:rPr>
          <w:rFonts w:ascii="宋体" w:hAnsi="宋体" w:eastAsia="宋体"/>
          <w:color w:val="000000"/>
          <w:sz w:val="20"/>
          <w:szCs w:val="28"/>
        </w:rPr>
        <mc:AlternateContent>
          <mc:Choice Requires="wps">
            <w:drawing>
              <wp:anchor distT="0" distB="0" distL="114300" distR="114300" simplePos="0" relativeHeight="251692032" behindDoc="0" locked="0" layoutInCell="1" allowOverlap="1">
                <wp:simplePos x="0" y="0"/>
                <wp:positionH relativeFrom="column">
                  <wp:posOffset>685800</wp:posOffset>
                </wp:positionH>
                <wp:positionV relativeFrom="paragraph">
                  <wp:posOffset>0</wp:posOffset>
                </wp:positionV>
                <wp:extent cx="571500" cy="198120"/>
                <wp:effectExtent l="4445" t="8890" r="14605" b="21590"/>
                <wp:wrapNone/>
                <wp:docPr id="91" name="右箭头 91"/>
                <wp:cNvGraphicFramePr/>
                <a:graphic xmlns:a="http://schemas.openxmlformats.org/drawingml/2006/main">
                  <a:graphicData uri="http://schemas.microsoft.com/office/word/2010/wordprocessingShape">
                    <wps:wsp>
                      <wps:cNvSpPr/>
                      <wps:spPr>
                        <a:xfrm>
                          <a:off x="0" y="0"/>
                          <a:ext cx="571500" cy="198120"/>
                        </a:xfrm>
                        <a:prstGeom prst="rightArrow">
                          <a:avLst>
                            <a:gd name="adj1" fmla="val 50000"/>
                            <a:gd name="adj2" fmla="val 72115"/>
                          </a:avLst>
                        </a:prstGeom>
                        <a:solidFill>
                          <a:srgbClr val="FF00FF"/>
                        </a:solidFill>
                        <a:ln w="9525" cap="flat" cmpd="sng">
                          <a:solidFill>
                            <a:srgbClr val="000000"/>
                          </a:solidFill>
                          <a:prstDash val="solid"/>
                          <a:miter/>
                          <a:headEnd type="none" w="med" len="med"/>
                          <a:tailEnd type="none" w="med" len="med"/>
                        </a:ln>
                        <a:effectLst/>
                      </wps:spPr>
                      <wps:bodyPr wrap="square" upright="1"/>
                    </wps:wsp>
                  </a:graphicData>
                </a:graphic>
              </wp:anchor>
            </w:drawing>
          </mc:Choice>
          <mc:Fallback>
            <w:pict>
              <v:shape id="_x0000_s1026" o:spid="_x0000_s1026" o:spt="13" type="#_x0000_t13" style="position:absolute;left:0pt;margin-left:54pt;margin-top:0pt;height:15.6pt;width:45pt;z-index:251692032;mso-width-relative:page;mso-height-relative:page;" fillcolor="#FF00FF" filled="t" stroked="t" coordsize="21600,21600" o:gfxdata="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CBsrbjTAAAABwEAAA8AAAAAAAAAAQAgAAAAIgAAAGRycy9kb3ducmV2Lnht&#10;bFBLAQIUABQAAAAIAIdO4kAauEInNwIAAJUEAAAOAAAAAAAAAAEAIAAAACIBAABkcnMvZTJvRG9j&#10;LnhtbFBLBQYAAAAABgAGAFkBAADLBQAAAAA=&#10;" adj="16201,5400">
                <v:fill on="t" focussize="0,0"/>
                <v:stroke color="#000000" joinstyle="miter"/>
                <v:imagedata o:title=""/>
                <o:lock v:ext="edit" aspectratio="f"/>
              </v:shape>
            </w:pict>
          </mc:Fallback>
        </mc:AlternateContent>
      </w:r>
      <w:r>
        <w:rPr>
          <w:color w:val="FF0000"/>
          <w:sz w:val="20"/>
        </w:rPr>
        <mc:AlternateContent>
          <mc:Choice Requires="wps">
            <w:drawing>
              <wp:anchor distT="0" distB="0" distL="114300" distR="114300" simplePos="0" relativeHeight="251693056" behindDoc="0" locked="0" layoutInCell="1" allowOverlap="1">
                <wp:simplePos x="0" y="0"/>
                <wp:positionH relativeFrom="column">
                  <wp:posOffset>3657600</wp:posOffset>
                </wp:positionH>
                <wp:positionV relativeFrom="paragraph">
                  <wp:posOffset>99060</wp:posOffset>
                </wp:positionV>
                <wp:extent cx="1137285" cy="0"/>
                <wp:effectExtent l="0" t="38100" r="5715" b="38100"/>
                <wp:wrapNone/>
                <wp:docPr id="92" name="直接连接符 92"/>
                <wp:cNvGraphicFramePr/>
                <a:graphic xmlns:a="http://schemas.openxmlformats.org/drawingml/2006/main">
                  <a:graphicData uri="http://schemas.microsoft.com/office/word/2010/wordprocessingShape">
                    <wps:wsp>
                      <wps:cNvCnPr/>
                      <wps:spPr>
                        <a:xfrm>
                          <a:off x="0" y="0"/>
                          <a:ext cx="1137285" cy="0"/>
                        </a:xfrm>
                        <a:prstGeom prst="line">
                          <a:avLst/>
                        </a:prstGeom>
                        <a:ln w="19050" cap="flat" cmpd="sng">
                          <a:solidFill>
                            <a:srgbClr val="000000"/>
                          </a:solidFill>
                          <a:prstDash val="solid"/>
                          <a:headEnd type="none" w="med" len="med"/>
                          <a:tailEnd type="triangle" w="med" len="med"/>
                        </a:ln>
                        <a:effectLst/>
                      </wps:spPr>
                      <wps:bodyPr/>
                    </wps:wsp>
                  </a:graphicData>
                </a:graphic>
              </wp:anchor>
            </w:drawing>
          </mc:Choice>
          <mc:Fallback>
            <w:pict>
              <v:line id="_x0000_s1026" o:spid="_x0000_s1026" o:spt="20" style="position:absolute;left:0pt;margin-left:288pt;margin-top:7.8pt;height:0pt;width:89.55pt;z-index:251693056;mso-width-relative:page;mso-height-relative:page;" filled="f" stroked="t" coordsize="21600,21600" o:gfxdata="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mjO1XNUAAAAJAQAADwAAAAAAAAABACAAAAAiAAAAZHJzL2Rvd25yZXYueG1s&#10;UEsBAhQAFAAAAAgAh07iQHQaeDH7AQAA7QMAAA4AAAAAAAAAAQAgAAAAJAEAAGRycy9lMm9Eb2Mu&#10;eG1sUEsFBgAAAAAGAAYAWQEAAJEFAAAAAA==&#10;">
                <v:fill on="f" focussize="0,0"/>
                <v:stroke weight="1.5pt" color="#000000" joinstyle="round" endarrow="block"/>
                <v:imagedata o:title=""/>
                <o:lock v:ext="edit" aspectratio="f"/>
              </v:line>
            </w:pict>
          </mc:Fallback>
        </mc:AlternateContent>
      </w:r>
      <w:r>
        <w:rPr>
          <w:color w:val="FF0000"/>
          <w:sz w:val="20"/>
        </w:rPr>
        <mc:AlternateContent>
          <mc:Choice Requires="wps">
            <w:drawing>
              <wp:anchor distT="0" distB="0" distL="114300" distR="114300" simplePos="0" relativeHeight="251694080" behindDoc="0" locked="0" layoutInCell="1" allowOverlap="1">
                <wp:simplePos x="0" y="0"/>
                <wp:positionH relativeFrom="column">
                  <wp:posOffset>2514600</wp:posOffset>
                </wp:positionH>
                <wp:positionV relativeFrom="paragraph">
                  <wp:posOffset>99060</wp:posOffset>
                </wp:positionV>
                <wp:extent cx="228600" cy="0"/>
                <wp:effectExtent l="0" t="38100" r="0" b="38100"/>
                <wp:wrapNone/>
                <wp:docPr id="93" name="直接连接符 93"/>
                <wp:cNvGraphicFramePr/>
                <a:graphic xmlns:a="http://schemas.openxmlformats.org/drawingml/2006/main">
                  <a:graphicData uri="http://schemas.microsoft.com/office/word/2010/wordprocessingShape">
                    <wps:wsp>
                      <wps:cNvCnPr/>
                      <wps:spPr>
                        <a:xfrm>
                          <a:off x="0" y="0"/>
                          <a:ext cx="228600" cy="0"/>
                        </a:xfrm>
                        <a:prstGeom prst="line">
                          <a:avLst/>
                        </a:prstGeom>
                        <a:ln w="19050" cap="flat" cmpd="sng">
                          <a:solidFill>
                            <a:srgbClr val="000000"/>
                          </a:solidFill>
                          <a:prstDash val="solid"/>
                          <a:headEnd type="none" w="med" len="med"/>
                          <a:tailEnd type="triangle" w="med" len="med"/>
                        </a:ln>
                        <a:effectLst/>
                      </wps:spPr>
                      <wps:bodyPr/>
                    </wps:wsp>
                  </a:graphicData>
                </a:graphic>
              </wp:anchor>
            </w:drawing>
          </mc:Choice>
          <mc:Fallback>
            <w:pict>
              <v:line id="_x0000_s1026" o:spid="_x0000_s1026" o:spt="20" style="position:absolute;left:0pt;margin-left:198pt;margin-top:7.8pt;height:0pt;width:18pt;z-index:251694080;mso-width-relative:page;mso-height-relative:page;" filled="f" stroked="t" coordsize="21600,21600" o:gfxdata="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Cec/dzVAAAACQEAAA8AAAAAAAAAAQAgAAAAIgAAAGRycy9kb3ducmV2LnhtbFBL&#10;AQIUABQAAAAIAIdO4kDvJCvo+QEAAOwDAAAOAAAAAAAAAAEAIAAAACQBAABkcnMvZTJvRG9jLnht&#10;bFBLBQYAAAAABgAGAFkBAACPBQAAAAA=&#10;">
                <v:fill on="f" focussize="0,0"/>
                <v:stroke weight="1.5pt" color="#000000" joinstyle="round" endarrow="block"/>
                <v:imagedata o:title=""/>
                <o:lock v:ext="edit" aspectratio="f"/>
              </v:line>
            </w:pict>
          </mc:Fallback>
        </mc:AlternateContent>
      </w:r>
      <w:r>
        <w:rPr>
          <w:color w:val="FF0000"/>
          <w:sz w:val="20"/>
        </w:rPr>
        <mc:AlternateContent>
          <mc:Choice Requires="wps">
            <w:drawing>
              <wp:anchor distT="0" distB="0" distL="114300" distR="114300" simplePos="0" relativeHeight="251695104" behindDoc="0" locked="0" layoutInCell="1" allowOverlap="1">
                <wp:simplePos x="0" y="0"/>
                <wp:positionH relativeFrom="column">
                  <wp:posOffset>1257300</wp:posOffset>
                </wp:positionH>
                <wp:positionV relativeFrom="paragraph">
                  <wp:posOffset>0</wp:posOffset>
                </wp:positionV>
                <wp:extent cx="342900" cy="297180"/>
                <wp:effectExtent l="4445" t="10160" r="14605" b="16510"/>
                <wp:wrapNone/>
                <wp:docPr id="94" name="任意多边形 94"/>
                <wp:cNvGraphicFramePr/>
                <a:graphic xmlns:a="http://schemas.openxmlformats.org/drawingml/2006/main">
                  <a:graphicData uri="http://schemas.microsoft.com/office/word/2010/wordprocessingShape">
                    <wps:wsp>
                      <wps:cNvSpPr/>
                      <wps:spPr>
                        <a:xfrm>
                          <a:off x="0" y="0"/>
                          <a:ext cx="342900" cy="297180"/>
                        </a:xfrm>
                        <a:custGeom>
                          <a:avLst/>
                          <a:gdLst>
                            <a:gd name="txL" fmla="*/ 12427 w 21600"/>
                            <a:gd name="txT" fmla="*/ 2912 h 21600"/>
                            <a:gd name="txR" fmla="*/ 18227 w 21600"/>
                            <a:gd name="txB" fmla="*/ 9246 h 21600"/>
                          </a:gdLst>
                          <a:ahLst/>
                          <a:cxnLst>
                            <a:cxn ang="270">
                              <a:pos x="15126" y="0"/>
                            </a:cxn>
                            <a:cxn ang="90">
                              <a:pos x="15126" y="12158"/>
                            </a:cxn>
                            <a:cxn ang="90">
                              <a:pos x="3237" y="21600"/>
                            </a:cxn>
                            <a:cxn ang="0">
                              <a:pos x="21600" y="6079"/>
                            </a:cxn>
                          </a:cxnLst>
                          <a:rect l="txL" t="txT" r="txR" b="txB"/>
                          <a:pathLst>
                            <a:path w="21600" h="21600">
                              <a:moveTo>
                                <a:pt x="21600" y="6079"/>
                              </a:moveTo>
                              <a:lnTo>
                                <a:pt x="15126" y="0"/>
                              </a:lnTo>
                              <a:lnTo>
                                <a:pt x="15126" y="2912"/>
                              </a:lnTo>
                              <a:lnTo>
                                <a:pt x="12427" y="2912"/>
                              </a:lnTo>
                              <a:arcTo wR="12427" hR="9246" stAng="-5400000" swAng="-5400000"/>
                              <a:lnTo>
                                <a:pt x="0" y="21600"/>
                              </a:lnTo>
                              <a:lnTo>
                                <a:pt x="6474" y="21600"/>
                              </a:lnTo>
                              <a:lnTo>
                                <a:pt x="6474" y="12158"/>
                              </a:lnTo>
                              <a:arcTo wR="5953" hR="2912" stAng="10800000" swAng="5400000"/>
                              <a:lnTo>
                                <a:pt x="15126" y="9246"/>
                              </a:lnTo>
                              <a:lnTo>
                                <a:pt x="15126" y="12158"/>
                              </a:lnTo>
                              <a:close/>
                            </a:path>
                          </a:pathLst>
                        </a:custGeom>
                        <a:solidFill>
                          <a:srgbClr val="FF00FF"/>
                        </a:solidFill>
                        <a:ln w="9525" cap="flat" cmpd="sng">
                          <a:solidFill>
                            <a:srgbClr val="000000"/>
                          </a:solidFill>
                          <a:prstDash val="solid"/>
                          <a:miter/>
                          <a:headEnd type="none" w="med" len="med"/>
                          <a:tailEnd type="none" w="med" len="med"/>
                        </a:ln>
                        <a:effectLst/>
                      </wps:spPr>
                      <wps:bodyPr wrap="square" upright="1"/>
                    </wps:wsp>
                  </a:graphicData>
                </a:graphic>
              </wp:anchor>
            </w:drawing>
          </mc:Choice>
          <mc:Fallback>
            <w:pict>
              <v:shape id="_x0000_s1026" o:spid="_x0000_s1026" o:spt="100" style="position:absolute;left:0pt;margin-left:99pt;margin-top:0pt;height:23.4pt;width:27pt;z-index:251695104;mso-width-relative:page;mso-height-relative:page;" fillcolor="#FF00FF" filled="t" stroked="t" coordsize="21600,21600" o:gfxdata="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" path="m21600,6079l15126,0,15126,2912,12427,2912c5564,2912,0,7052,0,12158l0,21600,6474,21600,6474,12158c6474,10550,9139,9246,12427,9246l15126,9246,15126,12158xe">
                <v:path o:connectlocs="15126,0;15126,12158;3237,21600;21600,6079" o:connectangles="0,0,0,0"/>
                <v:fill on="t" focussize="0,0"/>
                <v:stroke color="#000000" joinstyle="miter"/>
                <v:imagedata o:title=""/>
                <o:lock v:ext="edit" aspectratio="f"/>
              </v:shape>
            </w:pict>
          </mc:Fallback>
        </mc:AlternateContent>
      </w:r>
    </w:p>
    <w:p w14:paraId="2875EA10">
      <w:pPr>
        <w:pStyle w:val="18"/>
        <w:spacing w:line="360" w:lineRule="auto"/>
        <w:ind w:left="0" w:leftChars="0" w:firstLine="400" w:firstLineChars="200"/>
        <w:rPr>
          <w:rFonts w:ascii="宋体" w:hAnsi="宋体" w:eastAsia="宋体"/>
          <w:color w:val="000000"/>
          <w:sz w:val="24"/>
          <w:szCs w:val="28"/>
        </w:rPr>
      </w:pPr>
      <w:r>
        <w:rPr>
          <w:color w:val="FF0000"/>
          <w:sz w:val="20"/>
        </w:rPr>
        <mc:AlternateContent>
          <mc:Choice Requires="wps">
            <w:drawing>
              <wp:anchor distT="0" distB="0" distL="114300" distR="114300" simplePos="0" relativeHeight="251696128" behindDoc="0" locked="0" layoutInCell="1" allowOverlap="1">
                <wp:simplePos x="0" y="0"/>
                <wp:positionH relativeFrom="column">
                  <wp:posOffset>914400</wp:posOffset>
                </wp:positionH>
                <wp:positionV relativeFrom="paragraph">
                  <wp:posOffset>0</wp:posOffset>
                </wp:positionV>
                <wp:extent cx="571500" cy="594360"/>
                <wp:effectExtent l="4445" t="4445" r="14605" b="10795"/>
                <wp:wrapNone/>
                <wp:docPr id="95" name="文本框 95"/>
                <wp:cNvGraphicFramePr/>
                <a:graphic xmlns:a="http://schemas.openxmlformats.org/drawingml/2006/main">
                  <a:graphicData uri="http://schemas.microsoft.com/office/word/2010/wordprocessingShape">
                    <wps:wsp>
                      <wps:cNvSpPr txBox="1"/>
                      <wps:spPr>
                        <a:xfrm>
                          <a:off x="0" y="0"/>
                          <a:ext cx="571500" cy="594360"/>
                        </a:xfrm>
                        <a:prstGeom prst="rect">
                          <a:avLst/>
                        </a:prstGeom>
                        <a:solidFill>
                          <a:srgbClr val="00FF00"/>
                        </a:solidFill>
                        <a:ln w="9525" cap="flat" cmpd="sng">
                          <a:solidFill>
                            <a:srgbClr val="000000"/>
                          </a:solidFill>
                          <a:prstDash val="solid"/>
                          <a:miter/>
                          <a:headEnd type="none" w="med" len="med"/>
                          <a:tailEnd type="none" w="med" len="med"/>
                        </a:ln>
                        <a:effectLst/>
                      </wps:spPr>
                      <wps:txbx>
                        <w:txbxContent>
                          <w:p w14:paraId="6239A233">
                            <w:r>
                              <w:rPr>
                                <w:rFonts w:hint="eastAsia"/>
                              </w:rPr>
                              <w:t>售后服务</w:t>
                            </w:r>
                          </w:p>
                        </w:txbxContent>
                      </wps:txbx>
                      <wps:bodyPr wrap="square" upright="1"/>
                    </wps:wsp>
                  </a:graphicData>
                </a:graphic>
              </wp:anchor>
            </w:drawing>
          </mc:Choice>
          <mc:Fallback>
            <w:pict>
              <v:shape id="_x0000_s1026" o:spid="_x0000_s1026" o:spt="202" type="#_x0000_t202" style="position:absolute;left:0pt;margin-left:72pt;margin-top:0pt;height:46.8pt;width:45pt;z-index:251696128;mso-width-relative:page;mso-height-relative:page;" fillcolor="#00FF00" filled="t" stroked="t" coordsize="21600,21600" o:gfxdata="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zcily1wAAAAcB&#10;AAAPAAAAAAAAAAEAIAAAACIAAABkcnMvZG93bnJldi54bWxQSwECFAAUAAAACACHTuJA1+cVjhwC&#10;AABTBAAADgAAAAAAAAABACAAAAAmAQAAZHJzL2Uyb0RvYy54bWxQSwUGAAAAAAYABgBZAQAAtAUA&#10;AAAA&#10;">
                <v:fill on="t" focussize="0,0"/>
                <v:stroke color="#000000" joinstyle="miter"/>
                <v:imagedata o:title=""/>
                <o:lock v:ext="edit" aspectratio="f"/>
                <v:textbox>
                  <w:txbxContent>
                    <w:p w14:paraId="6239A233">
                      <w:r>
                        <w:rPr>
                          <w:rFonts w:hint="eastAsia"/>
                        </w:rPr>
                        <w:t>售后服务</w:t>
                      </w:r>
                    </w:p>
                  </w:txbxContent>
                </v:textbox>
              </v:shape>
            </w:pict>
          </mc:Fallback>
        </mc:AlternateContent>
      </w:r>
      <w:r>
        <w:rPr>
          <w:rFonts w:ascii="宋体" w:hAnsi="宋体" w:eastAsia="宋体"/>
          <w:color w:val="000000"/>
          <w:sz w:val="20"/>
          <w:szCs w:val="28"/>
        </w:rPr>
        <mc:AlternateContent>
          <mc:Choice Requires="wps">
            <w:drawing>
              <wp:anchor distT="0" distB="0" distL="114300" distR="114300" simplePos="0" relativeHeight="251697152" behindDoc="0" locked="0" layoutInCell="1" allowOverlap="1">
                <wp:simplePos x="0" y="0"/>
                <wp:positionH relativeFrom="column">
                  <wp:posOffset>3886200</wp:posOffset>
                </wp:positionH>
                <wp:positionV relativeFrom="paragraph">
                  <wp:posOffset>0</wp:posOffset>
                </wp:positionV>
                <wp:extent cx="571500" cy="495300"/>
                <wp:effectExtent l="4445" t="4445" r="14605" b="14605"/>
                <wp:wrapNone/>
                <wp:docPr id="96" name="文本框 96"/>
                <wp:cNvGraphicFramePr/>
                <a:graphic xmlns:a="http://schemas.openxmlformats.org/drawingml/2006/main">
                  <a:graphicData uri="http://schemas.microsoft.com/office/word/2010/wordprocessingShape">
                    <wps:wsp>
                      <wps:cNvSpPr txBox="1"/>
                      <wps:spPr>
                        <a:xfrm>
                          <a:off x="0" y="0"/>
                          <a:ext cx="571500" cy="495300"/>
                        </a:xfrm>
                        <a:prstGeom prst="rect">
                          <a:avLst/>
                        </a:prstGeom>
                        <a:solidFill>
                          <a:srgbClr val="FF00FF"/>
                        </a:solidFill>
                        <a:ln w="9525" cap="flat" cmpd="sng">
                          <a:solidFill>
                            <a:srgbClr val="000000"/>
                          </a:solidFill>
                          <a:prstDash val="solid"/>
                          <a:miter/>
                          <a:headEnd type="none" w="med" len="med"/>
                          <a:tailEnd type="none" w="med" len="med"/>
                        </a:ln>
                        <a:effectLst/>
                      </wps:spPr>
                      <wps:txbx>
                        <w:txbxContent>
                          <w:p w14:paraId="08F7DED9">
                            <w:pPr>
                              <w:rPr>
                                <w:b/>
                                <w:bCs/>
                              </w:rPr>
                            </w:pPr>
                            <w:r>
                              <w:rPr>
                                <w:rFonts w:hint="eastAsia"/>
                                <w:b/>
                                <w:bCs/>
                              </w:rPr>
                              <w:t>交付</w:t>
                            </w:r>
                          </w:p>
                          <w:p w14:paraId="282CCECD">
                            <w:r>
                              <w:rPr>
                                <w:rFonts w:hint="eastAsia"/>
                                <w:b/>
                                <w:bCs/>
                              </w:rPr>
                              <w:t>入库</w:t>
                            </w:r>
                          </w:p>
                        </w:txbxContent>
                      </wps:txbx>
                      <wps:bodyPr wrap="square" upright="1"/>
                    </wps:wsp>
                  </a:graphicData>
                </a:graphic>
              </wp:anchor>
            </w:drawing>
          </mc:Choice>
          <mc:Fallback>
            <w:pict>
              <v:shape id="_x0000_s1026" o:spid="_x0000_s1026" o:spt="202" type="#_x0000_t202" style="position:absolute;left:0pt;margin-left:306pt;margin-top:0pt;height:39pt;width:45pt;z-index:251697152;mso-width-relative:page;mso-height-relative:page;" fillcolor="#FF00FF" filled="t" stroked="t" coordsize="21600,21600" o:gfxdata="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gbsDS9cAAAAH&#10;AQAADwAAAAAAAAABACAAAAAiAAAAZHJzL2Rvd25yZXYueG1sUEsBAhQAFAAAAAgAh07iQIKKjPod&#10;AgAAUwQAAA4AAAAAAAAAAQAgAAAAJgEAAGRycy9lMm9Eb2MueG1sUEsFBgAAAAAGAAYAWQEAALUF&#10;AAAAAA==&#10;">
                <v:fill on="t" focussize="0,0"/>
                <v:stroke color="#000000" joinstyle="miter"/>
                <v:imagedata o:title=""/>
                <o:lock v:ext="edit" aspectratio="f"/>
                <v:textbox>
                  <w:txbxContent>
                    <w:p w14:paraId="08F7DED9">
                      <w:pPr>
                        <w:rPr>
                          <w:b/>
                          <w:bCs/>
                        </w:rPr>
                      </w:pPr>
                      <w:r>
                        <w:rPr>
                          <w:rFonts w:hint="eastAsia"/>
                          <w:b/>
                          <w:bCs/>
                        </w:rPr>
                        <w:t>交付</w:t>
                      </w:r>
                    </w:p>
                    <w:p w14:paraId="282CCECD">
                      <w:r>
                        <w:rPr>
                          <w:rFonts w:hint="eastAsia"/>
                          <w:b/>
                          <w:bCs/>
                        </w:rPr>
                        <w:t>入库</w:t>
                      </w:r>
                    </w:p>
                  </w:txbxContent>
                </v:textbox>
              </v:shape>
            </w:pict>
          </mc:Fallback>
        </mc:AlternateContent>
      </w:r>
      <w:r>
        <w:rPr>
          <w:rFonts w:ascii="宋体" w:hAnsi="宋体" w:eastAsia="宋体"/>
          <w:color w:val="000000"/>
          <w:sz w:val="20"/>
          <w:szCs w:val="28"/>
        </w:rPr>
        <mc:AlternateContent>
          <mc:Choice Requires="wps">
            <w:drawing>
              <wp:anchor distT="0" distB="0" distL="114300" distR="114300" simplePos="0" relativeHeight="251698176" behindDoc="0" locked="0" layoutInCell="1" allowOverlap="1">
                <wp:simplePos x="0" y="0"/>
                <wp:positionH relativeFrom="column">
                  <wp:posOffset>2057400</wp:posOffset>
                </wp:positionH>
                <wp:positionV relativeFrom="paragraph">
                  <wp:posOffset>0</wp:posOffset>
                </wp:positionV>
                <wp:extent cx="1257300" cy="396240"/>
                <wp:effectExtent l="4445" t="4445" r="14605" b="18415"/>
                <wp:wrapNone/>
                <wp:docPr id="97" name="椭圆 97"/>
                <wp:cNvGraphicFramePr/>
                <a:graphic xmlns:a="http://schemas.openxmlformats.org/drawingml/2006/main">
                  <a:graphicData uri="http://schemas.microsoft.com/office/word/2010/wordprocessingShape">
                    <wps:wsp>
                      <wps:cNvSpPr/>
                      <wps:spPr>
                        <a:xfrm>
                          <a:off x="0" y="0"/>
                          <a:ext cx="1257300" cy="396240"/>
                        </a:xfrm>
                        <a:prstGeom prst="ellipse">
                          <a:avLst/>
                        </a:prstGeom>
                        <a:solidFill>
                          <a:srgbClr val="FF0000"/>
                        </a:solidFill>
                        <a:ln w="9525" cap="flat" cmpd="sng">
                          <a:solidFill>
                            <a:srgbClr val="000000"/>
                          </a:solidFill>
                          <a:prstDash val="solid"/>
                          <a:headEnd type="none" w="med" len="med"/>
                          <a:tailEnd type="none" w="med" len="med"/>
                        </a:ln>
                        <a:effectLst/>
                      </wps:spPr>
                      <wps:txbx>
                        <w:txbxContent>
                          <w:p w14:paraId="3E30CC89">
                            <w:pPr>
                              <w:ind w:firstLine="241" w:firstLineChars="100"/>
                              <w:jc w:val="center"/>
                              <w:rPr>
                                <w:b/>
                                <w:bCs/>
                                <w:color w:val="FFFFFF"/>
                              </w:rPr>
                            </w:pPr>
                            <w:r>
                              <w:rPr>
                                <w:rFonts w:hint="eastAsia"/>
                                <w:b/>
                                <w:bCs/>
                                <w:color w:val="FFFFFF"/>
                              </w:rPr>
                              <w:t>销 售</w:t>
                            </w:r>
                          </w:p>
                        </w:txbxContent>
                      </wps:txbx>
                      <wps:bodyPr wrap="square" upright="1"/>
                    </wps:wsp>
                  </a:graphicData>
                </a:graphic>
              </wp:anchor>
            </w:drawing>
          </mc:Choice>
          <mc:Fallback>
            <w:pict>
              <v:shape id="_x0000_s1026" o:spid="_x0000_s1026" o:spt="3" type="#_x0000_t3" style="position:absolute;left:0pt;margin-left:162pt;margin-top:0pt;height:31.2pt;width:99pt;z-index:251698176;mso-width-relative:page;mso-height-relative:page;" fillcolor="#FF0000" filled="t" stroked="t" coordsize="21600,21600" o:gfxdata="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GhTYYTWAAAABwEAAA8AAAAAAAAAAQAg&#10;AAAAIgAAAGRycy9kb3ducmV2LnhtbFBLAQIUABQAAAAIAIdO4kC0UFAMEAIAAEAEAAAOAAAAAAAA&#10;AAEAIAAAACUBAABkcnMvZTJvRG9jLnhtbFBLBQYAAAAABgAGAFkBAACnBQAAAAA=&#10;">
                <v:fill on="t" focussize="0,0"/>
                <v:stroke color="#000000" joinstyle="round"/>
                <v:imagedata o:title=""/>
                <o:lock v:ext="edit" aspectratio="f"/>
                <v:textbox>
                  <w:txbxContent>
                    <w:p w14:paraId="3E30CC89">
                      <w:pPr>
                        <w:ind w:firstLine="241" w:firstLineChars="100"/>
                        <w:jc w:val="center"/>
                        <w:rPr>
                          <w:b/>
                          <w:bCs/>
                          <w:color w:val="FFFFFF"/>
                        </w:rPr>
                      </w:pPr>
                      <w:r>
                        <w:rPr>
                          <w:rFonts w:hint="eastAsia"/>
                          <w:b/>
                          <w:bCs/>
                          <w:color w:val="FFFFFF"/>
                        </w:rPr>
                        <w:t>销 售</w:t>
                      </w:r>
                    </w:p>
                  </w:txbxContent>
                </v:textbox>
              </v:shape>
            </w:pict>
          </mc:Fallback>
        </mc:AlternateContent>
      </w:r>
      <w:r>
        <w:rPr>
          <w:rFonts w:ascii="宋体" w:hAnsi="宋体" w:eastAsia="宋体"/>
          <w:color w:val="000000"/>
          <w:sz w:val="20"/>
          <w:szCs w:val="28"/>
        </w:rPr>
        <mc:AlternateContent>
          <mc:Choice Requires="wps">
            <w:drawing>
              <wp:anchor distT="0" distB="0" distL="114300" distR="114300" simplePos="0" relativeHeight="251699200" behindDoc="0" locked="0" layoutInCell="1" allowOverlap="1">
                <wp:simplePos x="0" y="0"/>
                <wp:positionH relativeFrom="column">
                  <wp:posOffset>4457700</wp:posOffset>
                </wp:positionH>
                <wp:positionV relativeFrom="paragraph">
                  <wp:posOffset>198120</wp:posOffset>
                </wp:positionV>
                <wp:extent cx="342900" cy="0"/>
                <wp:effectExtent l="0" t="38100" r="0" b="38100"/>
                <wp:wrapNone/>
                <wp:docPr id="98" name="直接连接符 98"/>
                <wp:cNvGraphicFramePr/>
                <a:graphic xmlns:a="http://schemas.openxmlformats.org/drawingml/2006/main">
                  <a:graphicData uri="http://schemas.microsoft.com/office/word/2010/wordprocessingShape">
                    <wps:wsp>
                      <wps:cNvCnPr/>
                      <wps:spPr>
                        <a:xfrm flipH="1">
                          <a:off x="0" y="0"/>
                          <a:ext cx="342900" cy="0"/>
                        </a:xfrm>
                        <a:prstGeom prst="line">
                          <a:avLst/>
                        </a:prstGeom>
                        <a:ln w="19050" cap="flat" cmpd="sng">
                          <a:solidFill>
                            <a:srgbClr val="000000"/>
                          </a:solidFill>
                          <a:prstDash val="solid"/>
                          <a:headEnd type="none" w="med" len="med"/>
                          <a:tailEnd type="triangle" w="med" len="med"/>
                        </a:ln>
                        <a:effectLst/>
                      </wps:spPr>
                      <wps:bodyPr/>
                    </wps:wsp>
                  </a:graphicData>
                </a:graphic>
              </wp:anchor>
            </w:drawing>
          </mc:Choice>
          <mc:Fallback>
            <w:pict>
              <v:line id="_x0000_s1026" o:spid="_x0000_s1026" o:spt="20" style="position:absolute;left:0pt;flip:x;margin-left:351pt;margin-top:15.6pt;height:0pt;width:27pt;z-index:251699200;mso-width-relative:page;mso-height-relative:page;" filled="f" stroked="t" coordsize="21600,21600" o:gfxdata="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ylTm5dYAAAAJAQAADwAAAAAAAAABACAAAAAiAAAAZHJzL2Rvd25y&#10;ZXYueG1sUEsBAhQAFAAAAAgAh07iQCwrtzIAAgAA9gMAAA4AAAAAAAAAAQAgAAAAJQEAAGRycy9l&#10;Mm9Eb2MueG1sUEsFBgAAAAAGAAYAWQEAAJcFAAAAAA==&#10;">
                <v:fill on="f" focussize="0,0"/>
                <v:stroke weight="1.5pt" color="#000000" joinstyle="round" endarrow="block"/>
                <v:imagedata o:title=""/>
                <o:lock v:ext="edit" aspectratio="f"/>
              </v:line>
            </w:pict>
          </mc:Fallback>
        </mc:AlternateContent>
      </w:r>
      <w:r>
        <w:rPr>
          <w:rFonts w:ascii="宋体" w:hAnsi="宋体" w:eastAsia="宋体"/>
          <w:color w:val="000000"/>
          <w:sz w:val="20"/>
          <w:szCs w:val="28"/>
        </w:rPr>
        <mc:AlternateContent>
          <mc:Choice Requires="wps">
            <w:drawing>
              <wp:anchor distT="0" distB="0" distL="114300" distR="114300" simplePos="0" relativeHeight="251700224" behindDoc="0" locked="0" layoutInCell="1" allowOverlap="1">
                <wp:simplePos x="0" y="0"/>
                <wp:positionH relativeFrom="column">
                  <wp:posOffset>3314700</wp:posOffset>
                </wp:positionH>
                <wp:positionV relativeFrom="paragraph">
                  <wp:posOffset>198120</wp:posOffset>
                </wp:positionV>
                <wp:extent cx="571500" cy="0"/>
                <wp:effectExtent l="0" t="38100" r="0" b="38100"/>
                <wp:wrapNone/>
                <wp:docPr id="99" name="直接连接符 99"/>
                <wp:cNvGraphicFramePr/>
                <a:graphic xmlns:a="http://schemas.openxmlformats.org/drawingml/2006/main">
                  <a:graphicData uri="http://schemas.microsoft.com/office/word/2010/wordprocessingShape">
                    <wps:wsp>
                      <wps:cNvCnPr/>
                      <wps:spPr>
                        <a:xfrm flipH="1">
                          <a:off x="0" y="0"/>
                          <a:ext cx="571500" cy="0"/>
                        </a:xfrm>
                        <a:prstGeom prst="line">
                          <a:avLst/>
                        </a:prstGeom>
                        <a:ln w="19050" cap="flat" cmpd="sng">
                          <a:solidFill>
                            <a:srgbClr val="000000"/>
                          </a:solidFill>
                          <a:prstDash val="solid"/>
                          <a:headEnd type="none" w="med" len="med"/>
                          <a:tailEnd type="triangle" w="med" len="med"/>
                        </a:ln>
                        <a:effectLst/>
                      </wps:spPr>
                      <wps:bodyPr/>
                    </wps:wsp>
                  </a:graphicData>
                </a:graphic>
              </wp:anchor>
            </w:drawing>
          </mc:Choice>
          <mc:Fallback>
            <w:pict>
              <v:line id="_x0000_s1026" o:spid="_x0000_s1026" o:spt="20" style="position:absolute;left:0pt;flip:x;margin-left:261pt;margin-top:15.6pt;height:0pt;width:45pt;z-index:251700224;mso-width-relative:page;mso-height-relative:page;" filled="f" stroked="t" coordsize="21600,21600" o:gfxdata="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LAF6l1QAAAAkBAAAPAAAAAAAAAAEAIAAAACIAAABkcnMvZG93bnJl&#10;di54bWxQSwECFAAUAAAACACHTuJAtbNa/wACAAD2AwAADgAAAAAAAAABACAAAAAkAQAAZHJzL2Uy&#10;b0RvYy54bWxQSwUGAAAAAAYABgBZAQAAlgUAAAAA&#10;">
                <v:fill on="f" focussize="0,0"/>
                <v:stroke weight="1.5pt" color="#000000" joinstyle="round" endarrow="block"/>
                <v:imagedata o:title=""/>
                <o:lock v:ext="edit" aspectratio="f"/>
              </v:line>
            </w:pict>
          </mc:Fallback>
        </mc:AlternateContent>
      </w:r>
    </w:p>
    <w:p w14:paraId="4EA12627">
      <w:pPr>
        <w:pStyle w:val="18"/>
        <w:spacing w:line="360" w:lineRule="auto"/>
        <w:ind w:left="0" w:leftChars="0" w:firstLine="400" w:firstLineChars="200"/>
        <w:rPr>
          <w:rFonts w:ascii="宋体" w:hAnsi="宋体" w:eastAsia="宋体"/>
          <w:color w:val="000000"/>
          <w:sz w:val="24"/>
          <w:szCs w:val="28"/>
        </w:rPr>
      </w:pPr>
      <w:r>
        <w:rPr>
          <w:sz w:val="20"/>
        </w:rPr>
        <mc:AlternateContent>
          <mc:Choice Requires="wps">
            <w:drawing>
              <wp:anchor distT="0" distB="0" distL="114300" distR="114300" simplePos="0" relativeHeight="251701248" behindDoc="0" locked="0" layoutInCell="1" allowOverlap="1">
                <wp:simplePos x="0" y="0"/>
                <wp:positionH relativeFrom="column">
                  <wp:posOffset>2057400</wp:posOffset>
                </wp:positionH>
                <wp:positionV relativeFrom="paragraph">
                  <wp:posOffset>230505</wp:posOffset>
                </wp:positionV>
                <wp:extent cx="0" cy="99060"/>
                <wp:effectExtent l="38100" t="0" r="38100" b="15240"/>
                <wp:wrapNone/>
                <wp:docPr id="100" name="直接连接符 100"/>
                <wp:cNvGraphicFramePr/>
                <a:graphic xmlns:a="http://schemas.openxmlformats.org/drawingml/2006/main">
                  <a:graphicData uri="http://schemas.microsoft.com/office/word/2010/wordprocessingShape">
                    <wps:wsp>
                      <wps:cNvCnPr/>
                      <wps:spPr>
                        <a:xfrm>
                          <a:off x="0" y="0"/>
                          <a:ext cx="0" cy="99060"/>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id="_x0000_s1026" o:spid="_x0000_s1026" o:spt="20" style="position:absolute;left:0pt;margin-left:162pt;margin-top:18.15pt;height:7.8pt;width:0pt;z-index:251701248;mso-width-relative:page;mso-height-relative:page;" filled="f" stroked="t" coordsize="21600,21600" o:gfxdata="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e0m2u9kAAAAJAQAADwAAAAAAAAABACAAAAAiAAAAZHJzL2Rvd25yZXYueG1s&#10;UEsBAhQAFAAAAAgAh07iQCRETN73AQAA7AMAAA4AAAAAAAAAAQAgAAAAKAEAAGRycy9lMm9Eb2Mu&#10;eG1sUEsFBgAAAAAGAAYAWQEAAJEFAAAAAA==&#10;">
                <v:fill on="f" focussize="0,0"/>
                <v:stroke color="#000000" joinstyle="round" endarrow="block"/>
                <v:imagedata o:title=""/>
                <o:lock v:ext="edit" aspectratio="f"/>
              </v:line>
            </w:pict>
          </mc:Fallback>
        </mc:AlternateContent>
      </w:r>
      <w:r>
        <w:rPr>
          <w:sz w:val="20"/>
        </w:rPr>
        <mc:AlternateContent>
          <mc:Choice Requires="wps">
            <w:drawing>
              <wp:anchor distT="0" distB="0" distL="114300" distR="114300" simplePos="0" relativeHeight="251702272" behindDoc="0" locked="0" layoutInCell="1" allowOverlap="1">
                <wp:simplePos x="0" y="0"/>
                <wp:positionH relativeFrom="column">
                  <wp:posOffset>3314700</wp:posOffset>
                </wp:positionH>
                <wp:positionV relativeFrom="paragraph">
                  <wp:posOffset>230505</wp:posOffset>
                </wp:positionV>
                <wp:extent cx="0" cy="99060"/>
                <wp:effectExtent l="38100" t="0" r="38100" b="15240"/>
                <wp:wrapNone/>
                <wp:docPr id="101" name="直接连接符 101"/>
                <wp:cNvGraphicFramePr/>
                <a:graphic xmlns:a="http://schemas.openxmlformats.org/drawingml/2006/main">
                  <a:graphicData uri="http://schemas.microsoft.com/office/word/2010/wordprocessingShape">
                    <wps:wsp>
                      <wps:cNvCnPr/>
                      <wps:spPr>
                        <a:xfrm>
                          <a:off x="0" y="0"/>
                          <a:ext cx="0" cy="99060"/>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id="_x0000_s1026" o:spid="_x0000_s1026" o:spt="20" style="position:absolute;left:0pt;margin-left:261pt;margin-top:18.15pt;height:7.8pt;width:0pt;z-index:251702272;mso-width-relative:page;mso-height-relative:page;" filled="f" stroked="t" coordsize="21600,21600" o:gfxdata="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DDNueTZAAAACQEAAA8AAAAAAAAAAQAgAAAAIgAAAGRycy9kb3ducmV2Lnht&#10;bFBLAQIUABQAAAAIAIdO4kAaoDNW+AEAAOwDAAAOAAAAAAAAAAEAIAAAACgBAABkcnMvZTJvRG9j&#10;LnhtbFBLBQYAAAAABgAGAFkBAACSBQAAAAA=&#10;">
                <v:fill on="f" focussize="0,0"/>
                <v:stroke color="#000000" joinstyle="round" endarrow="block"/>
                <v:imagedata o:title=""/>
                <o:lock v:ext="edit" aspectratio="f"/>
              </v:line>
            </w:pict>
          </mc:Fallback>
        </mc:AlternateContent>
      </w:r>
      <w:r>
        <w:rPr>
          <w:rFonts w:ascii="宋体" w:hAnsi="宋体" w:eastAsia="宋体"/>
          <w:color w:val="000000"/>
          <w:sz w:val="20"/>
          <w:szCs w:val="28"/>
        </w:rPr>
        <mc:AlternateContent>
          <mc:Choice Requires="wps">
            <w:drawing>
              <wp:anchor distT="0" distB="0" distL="114300" distR="114300" simplePos="0" relativeHeight="251703296" behindDoc="0" locked="0" layoutInCell="1" allowOverlap="1">
                <wp:simplePos x="0" y="0"/>
                <wp:positionH relativeFrom="column">
                  <wp:posOffset>2628900</wp:posOffset>
                </wp:positionH>
                <wp:positionV relativeFrom="paragraph">
                  <wp:posOffset>99060</wp:posOffset>
                </wp:positionV>
                <wp:extent cx="0" cy="198120"/>
                <wp:effectExtent l="38100" t="0" r="38100" b="11430"/>
                <wp:wrapNone/>
                <wp:docPr id="102" name="直接连接符 102"/>
                <wp:cNvGraphicFramePr/>
                <a:graphic xmlns:a="http://schemas.openxmlformats.org/drawingml/2006/main">
                  <a:graphicData uri="http://schemas.microsoft.com/office/word/2010/wordprocessingShape">
                    <wps:wsp>
                      <wps:cNvCnPr/>
                      <wps:spPr>
                        <a:xfrm>
                          <a:off x="0" y="0"/>
                          <a:ext cx="0" cy="198120"/>
                        </a:xfrm>
                        <a:prstGeom prst="line">
                          <a:avLst/>
                        </a:prstGeom>
                        <a:ln w="19050" cap="flat" cmpd="sng">
                          <a:solidFill>
                            <a:srgbClr val="000000"/>
                          </a:solidFill>
                          <a:prstDash val="solid"/>
                          <a:headEnd type="none" w="med" len="med"/>
                          <a:tailEnd type="triangle" w="med" len="med"/>
                        </a:ln>
                        <a:effectLst/>
                      </wps:spPr>
                      <wps:bodyPr/>
                    </wps:wsp>
                  </a:graphicData>
                </a:graphic>
              </wp:anchor>
            </w:drawing>
          </mc:Choice>
          <mc:Fallback>
            <w:pict>
              <v:line id="_x0000_s1026" o:spid="_x0000_s1026" o:spt="20" style="position:absolute;left:0pt;margin-left:207pt;margin-top:7.8pt;height:15.6pt;width:0pt;z-index:251703296;mso-width-relative:page;mso-height-relative:page;" filled="f" stroked="t" coordsize="21600,21600" o:gfxdata="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4UxUuNUAAAAJAQAADwAAAAAAAAABACAAAAAiAAAAZHJzL2Rvd25yZXYueG1sUEsB&#10;AhQAFAAAAAgAh07iQBaaVPX4AQAA7gMAAA4AAAAAAAAAAQAgAAAAJAEAAGRycy9lMm9Eb2MueG1s&#10;UEsFBgAAAAAGAAYAWQEAAI4FAAAAAA==&#10;">
                <v:fill on="f" focussize="0,0"/>
                <v:stroke weight="1.5pt" color="#000000" joinstyle="round" endarrow="block"/>
                <v:imagedata o:title=""/>
                <o:lock v:ext="edit" aspectratio="f"/>
              </v:line>
            </w:pict>
          </mc:Fallback>
        </mc:AlternateContent>
      </w:r>
      <w:r>
        <w:rPr>
          <w:sz w:val="20"/>
        </w:rPr>
        <mc:AlternateContent>
          <mc:Choice Requires="wps">
            <w:drawing>
              <wp:anchor distT="0" distB="0" distL="114300" distR="114300" simplePos="0" relativeHeight="251704320" behindDoc="0" locked="0" layoutInCell="1" allowOverlap="1">
                <wp:simplePos x="0" y="0"/>
                <wp:positionH relativeFrom="column">
                  <wp:posOffset>2057400</wp:posOffset>
                </wp:positionH>
                <wp:positionV relativeFrom="paragraph">
                  <wp:posOffset>230505</wp:posOffset>
                </wp:positionV>
                <wp:extent cx="1257300" cy="0"/>
                <wp:effectExtent l="0" t="9525" r="0" b="9525"/>
                <wp:wrapNone/>
                <wp:docPr id="103" name="直接连接符 103"/>
                <wp:cNvGraphicFramePr/>
                <a:graphic xmlns:a="http://schemas.openxmlformats.org/drawingml/2006/main">
                  <a:graphicData uri="http://schemas.microsoft.com/office/word/2010/wordprocessingShape">
                    <wps:wsp>
                      <wps:cNvCnPr/>
                      <wps:spPr>
                        <a:xfrm>
                          <a:off x="0" y="0"/>
                          <a:ext cx="1257300" cy="0"/>
                        </a:xfrm>
                        <a:prstGeom prst="line">
                          <a:avLst/>
                        </a:prstGeom>
                        <a:ln w="190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62pt;margin-top:18.15pt;height:0pt;width:99pt;z-index:251704320;mso-width-relative:page;mso-height-relative:page;" filled="f" stroked="t" coordsize="21600,21600" o:gfxdata="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pfEPH1gAAAAkBAAAPAAAAAAAAAAEAIAAAACIAAABkcnMvZG93bnJldi54bWxQSwECFAAU&#10;AAAACACHTuJAsyrYxfMBAADrAwAADgAAAAAAAAABACAAAAAlAQAAZHJzL2Uyb0RvYy54bWxQSwUG&#10;AAAAAAYABgBZAQAAigUAAAAA&#10;">
                <v:fill on="f" focussize="0,0"/>
                <v:stroke weight="1.5pt" color="#000000" joinstyle="round"/>
                <v:imagedata o:title=""/>
                <o:lock v:ext="edit" aspectratio="f"/>
              </v:line>
            </w:pict>
          </mc:Fallback>
        </mc:AlternateContent>
      </w:r>
      <w:r>
        <w:rPr>
          <w:rFonts w:ascii="宋体" w:hAnsi="宋体" w:eastAsia="宋体"/>
          <w:color w:val="000000"/>
          <w:sz w:val="20"/>
          <w:szCs w:val="28"/>
        </w:rPr>
        <mc:AlternateContent>
          <mc:Choice Requires="wps">
            <w:drawing>
              <wp:anchor distT="0" distB="0" distL="114300" distR="114300" simplePos="0" relativeHeight="251705344" behindDoc="0" locked="0" layoutInCell="1" allowOverlap="1">
                <wp:simplePos x="0" y="0"/>
                <wp:positionH relativeFrom="column">
                  <wp:posOffset>1828800</wp:posOffset>
                </wp:positionH>
                <wp:positionV relativeFrom="paragraph">
                  <wp:posOffset>198120</wp:posOffset>
                </wp:positionV>
                <wp:extent cx="1828800" cy="990600"/>
                <wp:effectExtent l="4445" t="4445" r="14605" b="14605"/>
                <wp:wrapNone/>
                <wp:docPr id="104" name="矩形 104"/>
                <wp:cNvGraphicFramePr/>
                <a:graphic xmlns:a="http://schemas.openxmlformats.org/drawingml/2006/main">
                  <a:graphicData uri="http://schemas.microsoft.com/office/word/2010/wordprocessingShape">
                    <wps:wsp>
                      <wps:cNvSpPr/>
                      <wps:spPr>
                        <a:xfrm>
                          <a:off x="0" y="0"/>
                          <a:ext cx="1828800" cy="990600"/>
                        </a:xfrm>
                        <a:prstGeom prst="rect">
                          <a:avLst/>
                        </a:prstGeom>
                        <a:solidFill>
                          <a:srgbClr val="CCFFFF"/>
                        </a:solidFill>
                        <a:ln w="9525" cap="flat" cmpd="sng">
                          <a:solidFill>
                            <a:srgbClr val="000000"/>
                          </a:solidFill>
                          <a:prstDash val="solid"/>
                          <a:miter/>
                          <a:headEnd type="none" w="med" len="med"/>
                          <a:tailEnd type="none" w="med" len="med"/>
                        </a:ln>
                        <a:effectLst/>
                      </wps:spPr>
                      <wps:bodyPr wrap="square" upright="1"/>
                    </wps:wsp>
                  </a:graphicData>
                </a:graphic>
              </wp:anchor>
            </w:drawing>
          </mc:Choice>
          <mc:Fallback>
            <w:pict>
              <v:rect id="_x0000_s1026" o:spid="_x0000_s1026" o:spt="1" style="position:absolute;left:0pt;margin-left:144pt;margin-top:15.6pt;height:78pt;width:144pt;z-index:251705344;mso-width-relative:page;mso-height-relative:page;" fillcolor="#CCFFFF" filled="t" stroked="t" coordsize="21600,21600" o:gfxdata="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AtL6doAAAAKAQAADwAAAAAAAAABACAA&#10;AAAiAAAAZHJzL2Rvd25yZXYueG1sUEsBAhQAFAAAAAgAh07iQM0w2MsLAgAAPgQAAA4AAAAAAAAA&#10;AQAgAAAAKQEAAGRycy9lMm9Eb2MueG1sUEsFBgAAAAAGAAYAWQEAAKYFAAAAAA==&#10;">
                <v:fill on="t" focussize="0,0"/>
                <v:stroke color="#000000" joinstyle="miter"/>
                <v:imagedata o:title=""/>
                <o:lock v:ext="edit" aspectratio="f"/>
              </v:rect>
            </w:pict>
          </mc:Fallback>
        </mc:AlternateContent>
      </w:r>
      <w:r>
        <w:rPr>
          <w:rFonts w:ascii="宋体" w:hAnsi="宋体" w:eastAsia="宋体"/>
          <w:color w:val="000000"/>
          <w:sz w:val="20"/>
          <w:szCs w:val="28"/>
        </w:rPr>
        <mc:AlternateContent>
          <mc:Choice Requires="wps">
            <w:drawing>
              <wp:anchor distT="0" distB="0" distL="114300" distR="114300" simplePos="0" relativeHeight="251706368" behindDoc="0" locked="0" layoutInCell="1" allowOverlap="1">
                <wp:simplePos x="0" y="0"/>
                <wp:positionH relativeFrom="column">
                  <wp:posOffset>1485900</wp:posOffset>
                </wp:positionH>
                <wp:positionV relativeFrom="paragraph">
                  <wp:posOffset>198120</wp:posOffset>
                </wp:positionV>
                <wp:extent cx="342900" cy="0"/>
                <wp:effectExtent l="0" t="38100" r="0" b="38100"/>
                <wp:wrapNone/>
                <wp:docPr id="105" name="直接连接符 105"/>
                <wp:cNvGraphicFramePr/>
                <a:graphic xmlns:a="http://schemas.openxmlformats.org/drawingml/2006/main">
                  <a:graphicData uri="http://schemas.microsoft.com/office/word/2010/wordprocessingShape">
                    <wps:wsp>
                      <wps:cNvCnPr/>
                      <wps:spPr>
                        <a:xfrm>
                          <a:off x="0" y="0"/>
                          <a:ext cx="342900" cy="0"/>
                        </a:xfrm>
                        <a:prstGeom prst="line">
                          <a:avLst/>
                        </a:prstGeom>
                        <a:ln w="19050" cap="flat" cmpd="sng">
                          <a:solidFill>
                            <a:srgbClr val="000000"/>
                          </a:solidFill>
                          <a:prstDash val="solid"/>
                          <a:headEnd type="triangle" w="med" len="med"/>
                          <a:tailEnd type="triangle" w="med" len="med"/>
                        </a:ln>
                        <a:effectLst/>
                      </wps:spPr>
                      <wps:bodyPr/>
                    </wps:wsp>
                  </a:graphicData>
                </a:graphic>
              </wp:anchor>
            </w:drawing>
          </mc:Choice>
          <mc:Fallback>
            <w:pict>
              <v:line id="_x0000_s1026" o:spid="_x0000_s1026" o:spt="20" style="position:absolute;left:0pt;margin-left:117pt;margin-top:15.6pt;height:0pt;width:27pt;z-index:251706368;mso-width-relative:page;mso-height-relative:page;" filled="f" stroked="t" coordsize="21600,21600" o:gfxdata="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Li3eW1QAAAAkBAAAPAAAAAAAAAAEAIAAAACIAAABkcnMvZG93bnJldi54bWxQSwECFAAU&#10;AAAACACHTuJA7shmKfQBAADyAwAADgAAAAAAAAABACAAAAAkAQAAZHJzL2Uyb0RvYy54bWxQSwUG&#10;AAAAAAYABgBZAQAAigUAAAAA&#10;">
                <v:fill on="f" focussize="0,0"/>
                <v:stroke weight="1.5pt" color="#000000" joinstyle="round" startarrow="block" endarrow="block"/>
                <v:imagedata o:title=""/>
                <o:lock v:ext="edit" aspectratio="f"/>
              </v:line>
            </w:pict>
          </mc:Fallback>
        </mc:AlternateContent>
      </w:r>
    </w:p>
    <w:p w14:paraId="174184CE">
      <w:pPr>
        <w:pStyle w:val="11"/>
        <w:spacing w:line="480" w:lineRule="exact"/>
        <w:ind w:firstLine="0" w:firstLineChars="0"/>
      </w:pPr>
      <w:r>
        <w:rPr>
          <w:rFonts w:ascii="宋体" w:hAnsi="宋体"/>
          <w:color w:val="000000"/>
          <w:sz w:val="20"/>
          <w:szCs w:val="28"/>
        </w:rPr>
        <mc:AlternateContent>
          <mc:Choice Requires="wps">
            <w:drawing>
              <wp:anchor distT="0" distB="0" distL="114300" distR="114300" simplePos="0" relativeHeight="251709440" behindDoc="0" locked="0" layoutInCell="1" allowOverlap="1">
                <wp:simplePos x="0" y="0"/>
                <wp:positionH relativeFrom="column">
                  <wp:posOffset>2462530</wp:posOffset>
                </wp:positionH>
                <wp:positionV relativeFrom="paragraph">
                  <wp:posOffset>24765</wp:posOffset>
                </wp:positionV>
                <wp:extent cx="457200" cy="792480"/>
                <wp:effectExtent l="4445" t="4445" r="14605" b="22225"/>
                <wp:wrapNone/>
                <wp:docPr id="108" name="文本框 108"/>
                <wp:cNvGraphicFramePr/>
                <a:graphic xmlns:a="http://schemas.openxmlformats.org/drawingml/2006/main">
                  <a:graphicData uri="http://schemas.microsoft.com/office/word/2010/wordprocessingShape">
                    <wps:wsp>
                      <wps:cNvSpPr txBox="1"/>
                      <wps:spPr>
                        <a:xfrm>
                          <a:off x="0" y="0"/>
                          <a:ext cx="457200" cy="792480"/>
                        </a:xfrm>
                        <a:prstGeom prst="rect">
                          <a:avLst/>
                        </a:prstGeom>
                        <a:solidFill>
                          <a:srgbClr val="CC99FF"/>
                        </a:solidFill>
                        <a:ln w="9525" cap="flat" cmpd="sng">
                          <a:solidFill>
                            <a:srgbClr val="000000"/>
                          </a:solidFill>
                          <a:prstDash val="solid"/>
                          <a:miter/>
                          <a:headEnd type="none" w="med" len="med"/>
                          <a:tailEnd type="none" w="med" len="med"/>
                        </a:ln>
                        <a:effectLst/>
                      </wps:spPr>
                      <wps:txbx>
                        <w:txbxContent>
                          <w:p w14:paraId="77B970CF">
                            <w:r>
                              <w:rPr>
                                <w:rFonts w:hint="eastAsia"/>
                              </w:rPr>
                              <w:t>中间顾客</w:t>
                            </w:r>
                          </w:p>
                        </w:txbxContent>
                      </wps:txbx>
                      <wps:bodyPr vert="eaVert" wrap="square" upright="1"/>
                    </wps:wsp>
                  </a:graphicData>
                </a:graphic>
              </wp:anchor>
            </w:drawing>
          </mc:Choice>
          <mc:Fallback>
            <w:pict>
              <v:shape id="_x0000_s1026" o:spid="_x0000_s1026" o:spt="202" type="#_x0000_t202" style="position:absolute;left:0pt;margin-left:193.9pt;margin-top:1.95pt;height:62.4pt;width:36pt;z-index:251709440;mso-width-relative:page;mso-height-relative:page;" fillcolor="#CC99FF" filled="t" stroked="t" coordsize="21600,21600" o:gfxdata="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i3H20dcAAAAJAQAADwAAAAAAAAABACAAAAAiAAAAZHJzL2Rvd25yZXYueG1sUEsBAhQAFAAA&#10;AAgAh07iQOLl0IApAgAAYwQAAA4AAAAAAAAAAQAgAAAAJgEAAGRycy9lMm9Eb2MueG1sUEsFBgAA&#10;AAAGAAYAWQEAAMEFAAAAAA==&#10;">
                <v:fill on="t" focussize="0,0"/>
                <v:stroke color="#000000" joinstyle="miter"/>
                <v:imagedata o:title=""/>
                <o:lock v:ext="edit" aspectratio="f"/>
                <v:textbox style="layout-flow:vertical-ideographic;">
                  <w:txbxContent>
                    <w:p w14:paraId="77B970CF">
                      <w:r>
                        <w:rPr>
                          <w:rFonts w:hint="eastAsia"/>
                        </w:rPr>
                        <w:t>中间顾客</w:t>
                      </w:r>
                    </w:p>
                  </w:txbxContent>
                </v:textbox>
              </v:shape>
            </w:pict>
          </mc:Fallback>
        </mc:AlternateContent>
      </w:r>
      <w:r>
        <w:rPr>
          <w:sz w:val="20"/>
        </w:rPr>
        <mc:AlternateContent>
          <mc:Choice Requires="wps">
            <w:drawing>
              <wp:anchor distT="0" distB="0" distL="114300" distR="114300" simplePos="0" relativeHeight="251707392" behindDoc="0" locked="0" layoutInCell="1" allowOverlap="1">
                <wp:simplePos x="0" y="0"/>
                <wp:positionH relativeFrom="column">
                  <wp:posOffset>4619625</wp:posOffset>
                </wp:positionH>
                <wp:positionV relativeFrom="paragraph">
                  <wp:posOffset>297180</wp:posOffset>
                </wp:positionV>
                <wp:extent cx="180975" cy="297180"/>
                <wp:effectExtent l="5080" t="31750" r="4445" b="33020"/>
                <wp:wrapNone/>
                <wp:docPr id="106" name="左箭头 106"/>
                <wp:cNvGraphicFramePr/>
                <a:graphic xmlns:a="http://schemas.openxmlformats.org/drawingml/2006/main">
                  <a:graphicData uri="http://schemas.microsoft.com/office/word/2010/wordprocessingShape">
                    <wps:wsp>
                      <wps:cNvSpPr/>
                      <wps:spPr>
                        <a:xfrm>
                          <a:off x="0" y="0"/>
                          <a:ext cx="180975" cy="297180"/>
                        </a:xfrm>
                        <a:prstGeom prst="leftArrow">
                          <a:avLst>
                            <a:gd name="adj1" fmla="val 50000"/>
                            <a:gd name="adj2" fmla="val 25000"/>
                          </a:avLst>
                        </a:prstGeom>
                        <a:solidFill>
                          <a:srgbClr val="FF00FF"/>
                        </a:solidFill>
                        <a:ln w="9525" cap="flat" cmpd="sng">
                          <a:solidFill>
                            <a:srgbClr val="000000"/>
                          </a:solidFill>
                          <a:prstDash val="solid"/>
                          <a:miter/>
                          <a:headEnd type="none" w="med" len="med"/>
                          <a:tailEnd type="none" w="med" len="med"/>
                        </a:ln>
                        <a:effectLst/>
                      </wps:spPr>
                      <wps:bodyPr wrap="square" upright="1"/>
                    </wps:wsp>
                  </a:graphicData>
                </a:graphic>
              </wp:anchor>
            </w:drawing>
          </mc:Choice>
          <mc:Fallback>
            <w:pict>
              <v:shape id="_x0000_s1026" o:spid="_x0000_s1026" o:spt="66" type="#_x0000_t66" style="position:absolute;left:0pt;margin-left:363.75pt;margin-top:23.4pt;height:23.4pt;width:14.25pt;z-index:251707392;mso-width-relative:page;mso-height-relative:page;" fillcolor="#FF00FF" filled="t" stroked="t" coordsize="21600,21600" o:gfxdata="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AJncw2AAAAAkBAAAPAAAAAAAAAAEAIAAAACIAAABkcnMvZG93bnJl&#10;di54bWxQSwECFAAUAAAACACHTuJAn5aVVzYCAACWBAAADgAAAAAAAAABACAAAAAnAQAAZHJzL2Uy&#10;b0RvYy54bWxQSwUGAAAAAAYABgBZAQAAzwUAAAAA&#10;" adj="5400,5400">
                <v:fill on="t" focussize="0,0"/>
                <v:stroke color="#000000" joinstyle="miter"/>
                <v:imagedata o:title=""/>
                <o:lock v:ext="edit" aspectratio="f"/>
              </v:shape>
            </w:pict>
          </mc:Fallback>
        </mc:AlternateContent>
      </w:r>
      <w:r>
        <w:rPr>
          <w:sz w:val="20"/>
        </w:rPr>
        <mc:AlternateContent>
          <mc:Choice Requires="wps">
            <w:drawing>
              <wp:anchor distT="0" distB="0" distL="114300" distR="114300" simplePos="0" relativeHeight="251708416" behindDoc="0" locked="0" layoutInCell="1" allowOverlap="1">
                <wp:simplePos x="0" y="0"/>
                <wp:positionH relativeFrom="column">
                  <wp:posOffset>1866900</wp:posOffset>
                </wp:positionH>
                <wp:positionV relativeFrom="paragraph">
                  <wp:posOffset>22860</wp:posOffset>
                </wp:positionV>
                <wp:extent cx="457200" cy="792480"/>
                <wp:effectExtent l="4445" t="4445" r="14605" b="22225"/>
                <wp:wrapNone/>
                <wp:docPr id="107" name="文本框 107"/>
                <wp:cNvGraphicFramePr/>
                <a:graphic xmlns:a="http://schemas.openxmlformats.org/drawingml/2006/main">
                  <a:graphicData uri="http://schemas.microsoft.com/office/word/2010/wordprocessingShape">
                    <wps:wsp>
                      <wps:cNvSpPr txBox="1"/>
                      <wps:spPr>
                        <a:xfrm>
                          <a:off x="0" y="0"/>
                          <a:ext cx="457200" cy="792480"/>
                        </a:xfrm>
                        <a:prstGeom prst="rect">
                          <a:avLst/>
                        </a:prstGeom>
                        <a:solidFill>
                          <a:srgbClr val="CC99FF"/>
                        </a:solidFill>
                        <a:ln w="9525" cap="flat" cmpd="sng">
                          <a:solidFill>
                            <a:srgbClr val="000000"/>
                          </a:solidFill>
                          <a:prstDash val="solid"/>
                          <a:miter/>
                          <a:headEnd type="none" w="med" len="med"/>
                          <a:tailEnd type="none" w="med" len="med"/>
                        </a:ln>
                        <a:effectLst/>
                      </wps:spPr>
                      <wps:txbx>
                        <w:txbxContent>
                          <w:p w14:paraId="7A188E0F">
                            <w:pPr>
                              <w:pStyle w:val="47"/>
                              <w:rPr>
                                <w:color w:val="auto"/>
                              </w:rPr>
                            </w:pPr>
                            <w:r>
                              <w:rPr>
                                <w:rFonts w:hint="eastAsia"/>
                                <w:color w:val="auto"/>
                              </w:rPr>
                              <w:t>直接顾客</w:t>
                            </w:r>
                          </w:p>
                        </w:txbxContent>
                      </wps:txbx>
                      <wps:bodyPr vert="eaVert" wrap="square" upright="1"/>
                    </wps:wsp>
                  </a:graphicData>
                </a:graphic>
              </wp:anchor>
            </w:drawing>
          </mc:Choice>
          <mc:Fallback>
            <w:pict>
              <v:shape id="_x0000_s1026" o:spid="_x0000_s1026" o:spt="202" type="#_x0000_t202" style="position:absolute;left:0pt;margin-left:147pt;margin-top:1.8pt;height:62.4pt;width:36pt;z-index:251708416;mso-width-relative:page;mso-height-relative:page;" fillcolor="#CC99FF" filled="t" stroked="t" coordsize="21600,21600" o:gfxdata="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aYN8BNcAAAAJAQAADwAAAAAAAAABACAAAAAiAAAAZHJzL2Rvd25yZXYueG1sUEsBAhQAFAAA&#10;AAgAh07iQEhr2bUpAgAAYwQAAA4AAAAAAAAAAQAgAAAAJgEAAGRycy9lMm9Eb2MueG1sUEsFBgAA&#10;AAAGAAYAWQEAAMEFAAAAAA==&#10;">
                <v:fill on="t" focussize="0,0"/>
                <v:stroke color="#000000" joinstyle="miter"/>
                <v:imagedata o:title=""/>
                <o:lock v:ext="edit" aspectratio="f"/>
                <v:textbox style="layout-flow:vertical-ideographic;">
                  <w:txbxContent>
                    <w:p w14:paraId="7A188E0F">
                      <w:pPr>
                        <w:pStyle w:val="47"/>
                        <w:rPr>
                          <w:color w:val="auto"/>
                        </w:rPr>
                      </w:pPr>
                      <w:r>
                        <w:rPr>
                          <w:rFonts w:hint="eastAsia"/>
                          <w:color w:val="auto"/>
                        </w:rPr>
                        <w:t>直接顾客</w:t>
                      </w:r>
                    </w:p>
                  </w:txbxContent>
                </v:textbox>
              </v:shape>
            </w:pict>
          </mc:Fallback>
        </mc:AlternateContent>
      </w:r>
      <w:r>
        <w:rPr>
          <w:rFonts w:ascii="宋体" w:hAnsi="宋体"/>
          <w:color w:val="000000"/>
          <w:sz w:val="20"/>
          <w:szCs w:val="28"/>
        </w:rPr>
        <mc:AlternateContent>
          <mc:Choice Requires="wps">
            <w:drawing>
              <wp:anchor distT="0" distB="0" distL="114300" distR="114300" simplePos="0" relativeHeight="251710464" behindDoc="0" locked="0" layoutInCell="1" allowOverlap="1">
                <wp:simplePos x="0" y="0"/>
                <wp:positionH relativeFrom="column">
                  <wp:posOffset>3019425</wp:posOffset>
                </wp:positionH>
                <wp:positionV relativeFrom="paragraph">
                  <wp:posOffset>13335</wp:posOffset>
                </wp:positionV>
                <wp:extent cx="542925" cy="792480"/>
                <wp:effectExtent l="4445" t="4445" r="5080" b="22225"/>
                <wp:wrapNone/>
                <wp:docPr id="109" name="文本框 109"/>
                <wp:cNvGraphicFramePr/>
                <a:graphic xmlns:a="http://schemas.openxmlformats.org/drawingml/2006/main">
                  <a:graphicData uri="http://schemas.microsoft.com/office/word/2010/wordprocessingShape">
                    <wps:wsp>
                      <wps:cNvSpPr txBox="1"/>
                      <wps:spPr>
                        <a:xfrm>
                          <a:off x="0" y="0"/>
                          <a:ext cx="542925" cy="792480"/>
                        </a:xfrm>
                        <a:prstGeom prst="rect">
                          <a:avLst/>
                        </a:prstGeom>
                        <a:solidFill>
                          <a:srgbClr val="CC99FF"/>
                        </a:solidFill>
                        <a:ln w="9525" cap="flat" cmpd="sng">
                          <a:solidFill>
                            <a:srgbClr val="000000"/>
                          </a:solidFill>
                          <a:prstDash val="solid"/>
                          <a:miter/>
                          <a:headEnd type="none" w="med" len="med"/>
                          <a:tailEnd type="none" w="med" len="med"/>
                        </a:ln>
                        <a:effectLst/>
                      </wps:spPr>
                      <wps:txbx>
                        <w:txbxContent>
                          <w:p w14:paraId="2374D600">
                            <w:r>
                              <w:rPr>
                                <w:rFonts w:hint="eastAsia"/>
                              </w:rPr>
                              <w:t>最终顾客</w:t>
                            </w:r>
                          </w:p>
                        </w:txbxContent>
                      </wps:txbx>
                      <wps:bodyPr vert="eaVert" wrap="square" upright="1"/>
                    </wps:wsp>
                  </a:graphicData>
                </a:graphic>
              </wp:anchor>
            </w:drawing>
          </mc:Choice>
          <mc:Fallback>
            <w:pict>
              <v:shape id="_x0000_s1026" o:spid="_x0000_s1026" o:spt="202" type="#_x0000_t202" style="position:absolute;left:0pt;margin-left:237.75pt;margin-top:1.05pt;height:62.4pt;width:42.75pt;z-index:251710464;mso-width-relative:page;mso-height-relative:page;" fillcolor="#CC99FF" filled="t" stroked="t" coordsize="21600,21600" o:gfxdata="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3/QwWdgAAAAJAQAADwAAAAAAAAABACAAAAAiAAAAZHJzL2Rvd25yZXYueG1sUEsBAhQAFAAA&#10;AAgAh07iQIkL3lQoAgAAYwQAAA4AAAAAAAAAAQAgAAAAJwEAAGRycy9lMm9Eb2MueG1sUEsFBgAA&#10;AAAGAAYAWQEAAMEFAAAAAA==&#10;">
                <v:fill on="t" focussize="0,0"/>
                <v:stroke color="#000000" joinstyle="miter"/>
                <v:imagedata o:title=""/>
                <o:lock v:ext="edit" aspectratio="f"/>
                <v:textbox style="layout-flow:vertical-ideographic;">
                  <w:txbxContent>
                    <w:p w14:paraId="2374D600">
                      <w:r>
                        <w:rPr>
                          <w:rFonts w:hint="eastAsia"/>
                        </w:rPr>
                        <w:t>最终顾客</w:t>
                      </w:r>
                    </w:p>
                  </w:txbxContent>
                </v:textbox>
              </v:shape>
            </w:pict>
          </mc:Fallback>
        </mc:AlternateContent>
      </w:r>
      <w:r>
        <w:rPr>
          <w:rFonts w:ascii="宋体" w:hAnsi="宋体"/>
          <w:color w:val="000000"/>
          <w:sz w:val="20"/>
          <w:szCs w:val="28"/>
        </w:rPr>
        <mc:AlternateContent>
          <mc:Choice Requires="wps">
            <w:drawing>
              <wp:anchor distT="0" distB="0" distL="114300" distR="114300" simplePos="0" relativeHeight="251711488" behindDoc="0" locked="0" layoutInCell="1" allowOverlap="1">
                <wp:simplePos x="0" y="0"/>
                <wp:positionH relativeFrom="column">
                  <wp:posOffset>4800600</wp:posOffset>
                </wp:positionH>
                <wp:positionV relativeFrom="paragraph">
                  <wp:posOffset>213360</wp:posOffset>
                </wp:positionV>
                <wp:extent cx="1028700" cy="594360"/>
                <wp:effectExtent l="13970" t="13970" r="24130" b="20320"/>
                <wp:wrapNone/>
                <wp:docPr id="110" name="文本框 110"/>
                <wp:cNvGraphicFramePr/>
                <a:graphic xmlns:a="http://schemas.openxmlformats.org/drawingml/2006/main">
                  <a:graphicData uri="http://schemas.microsoft.com/office/word/2010/wordprocessingShape">
                    <wps:wsp>
                      <wps:cNvSpPr txBox="1"/>
                      <wps:spPr>
                        <a:xfrm>
                          <a:off x="0" y="0"/>
                          <a:ext cx="1028700" cy="594360"/>
                        </a:xfrm>
                        <a:prstGeom prst="rect">
                          <a:avLst/>
                        </a:prstGeom>
                        <a:solidFill>
                          <a:srgbClr val="00CCFF"/>
                        </a:solidFill>
                        <a:ln w="28575" cap="flat" cmpd="sng">
                          <a:solidFill>
                            <a:srgbClr val="000000"/>
                          </a:solidFill>
                          <a:prstDash val="solid"/>
                          <a:miter/>
                          <a:headEnd type="none" w="med" len="med"/>
                          <a:tailEnd type="none" w="med" len="med"/>
                        </a:ln>
                        <a:effectLst/>
                      </wps:spPr>
                      <wps:txbx>
                        <w:txbxContent>
                          <w:p w14:paraId="16A0291F">
                            <w:pPr>
                              <w:jc w:val="center"/>
                            </w:pPr>
                            <w:r>
                              <w:rPr>
                                <w:rFonts w:hint="eastAsia"/>
                                <w:b/>
                                <w:bCs/>
                              </w:rPr>
                              <w:t>ERP</w:t>
                            </w:r>
                          </w:p>
                        </w:txbxContent>
                      </wps:txbx>
                      <wps:bodyPr wrap="square" upright="1"/>
                    </wps:wsp>
                  </a:graphicData>
                </a:graphic>
              </wp:anchor>
            </w:drawing>
          </mc:Choice>
          <mc:Fallback>
            <w:pict>
              <v:shape id="_x0000_s1026" o:spid="_x0000_s1026" o:spt="202" type="#_x0000_t202" style="position:absolute;left:0pt;margin-left:378pt;margin-top:16.8pt;height:46.8pt;width:81pt;z-index:251711488;mso-width-relative:page;mso-height-relative:page;" fillcolor="#00CCFF" filled="t" stroked="t" coordsize="21600,21600" o:gfxdata="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icEg&#10;a9kAAAAKAQAADwAAAAAAAAABACAAAAAiAAAAZHJzL2Rvd25yZXYueG1sUEsBAhQAFAAAAAgAh07i&#10;QI98evEhAgAAVwQAAA4AAAAAAAAAAQAgAAAAKAEAAGRycy9lMm9Eb2MueG1sUEsFBgAAAAAGAAYA&#10;WQEAALsFAAAAAA==&#10;">
                <v:fill on="t" focussize="0,0"/>
                <v:stroke weight="2.25pt" color="#000000" joinstyle="miter"/>
                <v:imagedata o:title=""/>
                <o:lock v:ext="edit" aspectratio="f"/>
                <v:textbox>
                  <w:txbxContent>
                    <w:p w14:paraId="16A0291F">
                      <w:pPr>
                        <w:jc w:val="center"/>
                      </w:pPr>
                      <w:r>
                        <w:rPr>
                          <w:rFonts w:hint="eastAsia"/>
                          <w:b/>
                          <w:bCs/>
                        </w:rPr>
                        <w:t>ERP</w:t>
                      </w:r>
                    </w:p>
                  </w:txbxContent>
                </v:textbox>
              </v:shape>
            </w:pict>
          </mc:Fallback>
        </mc:AlternateContent>
      </w:r>
      <w:r>
        <w:rPr>
          <w:sz w:val="20"/>
        </w:rPr>
        <mc:AlternateContent>
          <mc:Choice Requires="wps">
            <w:drawing>
              <wp:anchor distT="0" distB="0" distL="114300" distR="114300" simplePos="0" relativeHeight="251712512" behindDoc="0" locked="0" layoutInCell="1" allowOverlap="1">
                <wp:simplePos x="0" y="0"/>
                <wp:positionH relativeFrom="column">
                  <wp:posOffset>914400</wp:posOffset>
                </wp:positionH>
                <wp:positionV relativeFrom="paragraph">
                  <wp:posOffset>198120</wp:posOffset>
                </wp:positionV>
                <wp:extent cx="571500" cy="594360"/>
                <wp:effectExtent l="4445" t="4445" r="14605" b="10795"/>
                <wp:wrapNone/>
                <wp:docPr id="111" name="文本框 111"/>
                <wp:cNvGraphicFramePr/>
                <a:graphic xmlns:a="http://schemas.openxmlformats.org/drawingml/2006/main">
                  <a:graphicData uri="http://schemas.microsoft.com/office/word/2010/wordprocessingShape">
                    <wps:wsp>
                      <wps:cNvSpPr txBox="1"/>
                      <wps:spPr>
                        <a:xfrm>
                          <a:off x="0" y="0"/>
                          <a:ext cx="571500" cy="594360"/>
                        </a:xfrm>
                        <a:prstGeom prst="rect">
                          <a:avLst/>
                        </a:prstGeom>
                        <a:solidFill>
                          <a:srgbClr val="00FF00"/>
                        </a:solidFill>
                        <a:ln w="9525" cap="flat" cmpd="sng">
                          <a:solidFill>
                            <a:srgbClr val="000000"/>
                          </a:solidFill>
                          <a:prstDash val="solid"/>
                          <a:miter/>
                          <a:headEnd type="none" w="med" len="med"/>
                          <a:tailEnd type="none" w="med" len="med"/>
                        </a:ln>
                        <a:effectLst/>
                      </wps:spPr>
                      <wps:txbx>
                        <w:txbxContent>
                          <w:p w14:paraId="1D8B21D3">
                            <w:r>
                              <w:rPr>
                                <w:rFonts w:hint="eastAsia"/>
                              </w:rPr>
                              <w:t>客户</w:t>
                            </w:r>
                          </w:p>
                          <w:p w14:paraId="7D9D5F89">
                            <w:r>
                              <w:rPr>
                                <w:rFonts w:hint="eastAsia"/>
                              </w:rPr>
                              <w:t>管理</w:t>
                            </w:r>
                          </w:p>
                        </w:txbxContent>
                      </wps:txbx>
                      <wps:bodyPr wrap="square" upright="1"/>
                    </wps:wsp>
                  </a:graphicData>
                </a:graphic>
              </wp:anchor>
            </w:drawing>
          </mc:Choice>
          <mc:Fallback>
            <w:pict>
              <v:shape id="_x0000_s1026" o:spid="_x0000_s1026" o:spt="202" type="#_x0000_t202" style="position:absolute;left:0pt;margin-left:72pt;margin-top:15.6pt;height:46.8pt;width:45pt;z-index:251712512;mso-width-relative:page;mso-height-relative:page;" fillcolor="#00FF00" filled="t" stroked="t" coordsize="21600,21600" o:gfxdata="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2dHdmdkA&#10;AAAKAQAADwAAAAAAAAABACAAAAAiAAAAZHJzL2Rvd25yZXYueG1sUEsBAhQAFAAAAAgAh07iQMVj&#10;1wceAgAAVQQAAA4AAAAAAAAAAQAgAAAAKAEAAGRycy9lMm9Eb2MueG1sUEsFBgAAAAAGAAYAWQEA&#10;ALgFAAAAAA==&#10;">
                <v:fill on="t" focussize="0,0"/>
                <v:stroke color="#000000" joinstyle="miter"/>
                <v:imagedata o:title=""/>
                <o:lock v:ext="edit" aspectratio="f"/>
                <v:textbox>
                  <w:txbxContent>
                    <w:p w14:paraId="1D8B21D3">
                      <w:r>
                        <w:rPr>
                          <w:rFonts w:hint="eastAsia"/>
                        </w:rPr>
                        <w:t>客户</w:t>
                      </w:r>
                    </w:p>
                    <w:p w14:paraId="7D9D5F89">
                      <w:r>
                        <w:rPr>
                          <w:rFonts w:hint="eastAsia"/>
                        </w:rPr>
                        <w:t>管理</w:t>
                      </w:r>
                    </w:p>
                  </w:txbxContent>
                </v:textbox>
              </v:shape>
            </w:pict>
          </mc:Fallback>
        </mc:AlternateContent>
      </w:r>
      <w:r>
        <w:rPr>
          <w:sz w:val="20"/>
        </w:rPr>
        <mc:AlternateContent>
          <mc:Choice Requires="wps">
            <w:drawing>
              <wp:anchor distT="0" distB="0" distL="114300" distR="114300" simplePos="0" relativeHeight="251713536" behindDoc="0" locked="0" layoutInCell="1" allowOverlap="1">
                <wp:simplePos x="0" y="0"/>
                <wp:positionH relativeFrom="column">
                  <wp:posOffset>685800</wp:posOffset>
                </wp:positionH>
                <wp:positionV relativeFrom="paragraph">
                  <wp:posOffset>297180</wp:posOffset>
                </wp:positionV>
                <wp:extent cx="228600" cy="198120"/>
                <wp:effectExtent l="4445" t="17780" r="14605" b="31750"/>
                <wp:wrapNone/>
                <wp:docPr id="112" name="右箭头 112"/>
                <wp:cNvGraphicFramePr/>
                <a:graphic xmlns:a="http://schemas.openxmlformats.org/drawingml/2006/main">
                  <a:graphicData uri="http://schemas.microsoft.com/office/word/2010/wordprocessingShape">
                    <wps:wsp>
                      <wps:cNvSpPr/>
                      <wps:spPr>
                        <a:xfrm>
                          <a:off x="0" y="0"/>
                          <a:ext cx="228600" cy="198120"/>
                        </a:xfrm>
                        <a:prstGeom prst="rightArrow">
                          <a:avLst>
                            <a:gd name="adj1" fmla="val 50000"/>
                            <a:gd name="adj2" fmla="val 28846"/>
                          </a:avLst>
                        </a:prstGeom>
                        <a:solidFill>
                          <a:srgbClr val="FF00FF"/>
                        </a:solidFill>
                        <a:ln w="9525" cap="flat" cmpd="sng">
                          <a:solidFill>
                            <a:srgbClr val="000000"/>
                          </a:solidFill>
                          <a:prstDash val="solid"/>
                          <a:miter/>
                          <a:headEnd type="none" w="med" len="med"/>
                          <a:tailEnd type="none" w="med" len="med"/>
                        </a:ln>
                        <a:effectLst/>
                      </wps:spPr>
                      <wps:bodyPr wrap="square" upright="1"/>
                    </wps:wsp>
                  </a:graphicData>
                </a:graphic>
              </wp:anchor>
            </w:drawing>
          </mc:Choice>
          <mc:Fallback>
            <w:pict>
              <v:shape id="_x0000_s1026" o:spid="_x0000_s1026" o:spt="13" type="#_x0000_t13" style="position:absolute;left:0pt;margin-left:54pt;margin-top:23.4pt;height:15.6pt;width:18pt;z-index:251713536;mso-width-relative:page;mso-height-relative:page;" fillcolor="#FF00FF" filled="t" stroked="t" coordsize="21600,21600" o:gfxdata="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9IRm3VAAAACQEAAA8AAAAAAAAAAQAgAAAAIgAAAGRycy9kb3du&#10;cmV2LnhtbFBLAQIUABQAAAAIAIdO4kDZQwreOwIAAJcEAAAOAAAAAAAAAAEAIAAAACQBAABkcnMv&#10;ZTJvRG9jLnhtbFBLBQYAAAAABgAGAFkBAADRBQAAAAA=&#10;" adj="16201,5400">
                <v:fill on="t" focussize="0,0"/>
                <v:stroke color="#000000" joinstyle="miter"/>
                <v:imagedata o:title=""/>
                <o:lock v:ext="edit" aspectratio="f"/>
              </v:shape>
            </w:pict>
          </mc:Fallback>
        </mc:AlternateContent>
      </w:r>
      <w:r>
        <w:rPr>
          <w:sz w:val="20"/>
        </w:rPr>
        <mc:AlternateContent>
          <mc:Choice Requires="wps">
            <w:drawing>
              <wp:anchor distT="0" distB="0" distL="114300" distR="114300" simplePos="0" relativeHeight="251714560" behindDoc="0" locked="0" layoutInCell="1" allowOverlap="1">
                <wp:simplePos x="0" y="0"/>
                <wp:positionH relativeFrom="column">
                  <wp:posOffset>1257300</wp:posOffset>
                </wp:positionH>
                <wp:positionV relativeFrom="paragraph">
                  <wp:posOffset>0</wp:posOffset>
                </wp:positionV>
                <wp:extent cx="0" cy="198120"/>
                <wp:effectExtent l="38100" t="0" r="38100" b="11430"/>
                <wp:wrapNone/>
                <wp:docPr id="113" name="直接连接符 113"/>
                <wp:cNvGraphicFramePr/>
                <a:graphic xmlns:a="http://schemas.openxmlformats.org/drawingml/2006/main">
                  <a:graphicData uri="http://schemas.microsoft.com/office/word/2010/wordprocessingShape">
                    <wps:wsp>
                      <wps:cNvCnPr/>
                      <wps:spPr>
                        <a:xfrm flipV="1">
                          <a:off x="0" y="0"/>
                          <a:ext cx="0" cy="198120"/>
                        </a:xfrm>
                        <a:prstGeom prst="line">
                          <a:avLst/>
                        </a:prstGeom>
                        <a:ln w="19050" cap="flat" cmpd="sng">
                          <a:solidFill>
                            <a:srgbClr val="000000"/>
                          </a:solidFill>
                          <a:prstDash val="solid"/>
                          <a:headEnd type="none" w="med" len="med"/>
                          <a:tailEnd type="triangle" w="med" len="med"/>
                        </a:ln>
                        <a:effectLst/>
                      </wps:spPr>
                      <wps:bodyPr/>
                    </wps:wsp>
                  </a:graphicData>
                </a:graphic>
              </wp:anchor>
            </w:drawing>
          </mc:Choice>
          <mc:Fallback>
            <w:pict>
              <v:line id="_x0000_s1026" o:spid="_x0000_s1026" o:spt="20" style="position:absolute;left:0pt;flip:y;margin-left:99pt;margin-top:0pt;height:15.6pt;width:0pt;z-index:251714560;mso-width-relative:page;mso-height-relative:page;" filled="f" stroked="t" coordsize="21600,21600" o:gfxdata="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ngnnz9MAAAAHAQAADwAAAAAAAAABACAAAAAiAAAAZHJzL2Rvd25yZXYu&#10;eG1sUEsBAhQAFAAAAAgAh07iQE57Q6oAAgAA+AMAAA4AAAAAAAAAAQAgAAAAIgEAAGRycy9lMm9E&#10;b2MueG1sUEsFBgAAAAAGAAYAWQEAAJQFAAAAAA==&#10;">
                <v:fill on="f" focussize="0,0"/>
                <v:stroke weight="1.5pt" color="#000000" joinstyle="round" endarrow="block"/>
                <v:imagedata o:title=""/>
                <o:lock v:ext="edit" aspectratio="f"/>
              </v:line>
            </w:pict>
          </mc:Fallback>
        </mc:AlternateContent>
      </w:r>
    </w:p>
    <w:p w14:paraId="4790961F">
      <w:pPr>
        <w:pStyle w:val="18"/>
        <w:spacing w:line="360" w:lineRule="auto"/>
        <w:ind w:left="0" w:leftChars="0" w:firstLine="0" w:firstLineChars="0"/>
        <w:rPr>
          <w:rFonts w:eastAsia="宋体"/>
          <w:color w:val="FF0000"/>
          <w:sz w:val="24"/>
        </w:rPr>
      </w:pPr>
      <w:r>
        <w:rPr>
          <w:sz w:val="20"/>
        </w:rPr>
        <mc:AlternateContent>
          <mc:Choice Requires="wps">
            <w:drawing>
              <wp:anchor distT="0" distB="0" distL="114300" distR="114300" simplePos="0" relativeHeight="251715584" behindDoc="0" locked="0" layoutInCell="1" allowOverlap="1">
                <wp:simplePos x="0" y="0"/>
                <wp:positionH relativeFrom="column">
                  <wp:posOffset>1485900</wp:posOffset>
                </wp:positionH>
                <wp:positionV relativeFrom="paragraph">
                  <wp:posOffset>91440</wp:posOffset>
                </wp:positionV>
                <wp:extent cx="342900" cy="0"/>
                <wp:effectExtent l="0" t="38100" r="0" b="38100"/>
                <wp:wrapNone/>
                <wp:docPr id="114" name="直接连接符 114"/>
                <wp:cNvGraphicFramePr/>
                <a:graphic xmlns:a="http://schemas.openxmlformats.org/drawingml/2006/main">
                  <a:graphicData uri="http://schemas.microsoft.com/office/word/2010/wordprocessingShape">
                    <wps:wsp>
                      <wps:cNvCnPr/>
                      <wps:spPr>
                        <a:xfrm>
                          <a:off x="0" y="0"/>
                          <a:ext cx="342900" cy="0"/>
                        </a:xfrm>
                        <a:prstGeom prst="line">
                          <a:avLst/>
                        </a:prstGeom>
                        <a:ln w="19050" cap="flat" cmpd="sng">
                          <a:solidFill>
                            <a:srgbClr val="000000"/>
                          </a:solidFill>
                          <a:prstDash val="solid"/>
                          <a:headEnd type="triangle" w="med" len="med"/>
                          <a:tailEnd type="triangle" w="med" len="med"/>
                        </a:ln>
                        <a:effectLst/>
                      </wps:spPr>
                      <wps:bodyPr/>
                    </wps:wsp>
                  </a:graphicData>
                </a:graphic>
              </wp:anchor>
            </w:drawing>
          </mc:Choice>
          <mc:Fallback>
            <w:pict>
              <v:line id="_x0000_s1026" o:spid="_x0000_s1026" o:spt="20" style="position:absolute;left:0pt;margin-left:117pt;margin-top:7.2pt;height:0pt;width:27pt;z-index:251715584;mso-width-relative:page;mso-height-relative:page;" filled="f" stroked="t" coordsize="21600,21600" o:gfxdata="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jGuYj1QAAAAkBAAAPAAAAAAAAAAEAIAAAACIAAABkcnMvZG93bnJldi54bWxQSwECFAAU&#10;AAAACACHTuJAj1veMPQBAADyAwAADgAAAAAAAAABACAAAAAkAQAAZHJzL2Uyb0RvYy54bWxQSwUG&#10;AAAAAAYABgBZAQAAigUAAAAA&#10;">
                <v:fill on="f" focussize="0,0"/>
                <v:stroke weight="1.5pt" color="#000000" joinstyle="round" startarrow="block" endarrow="block"/>
                <v:imagedata o:title=""/>
                <o:lock v:ext="edit" aspectratio="f"/>
              </v:line>
            </w:pict>
          </mc:Fallback>
        </mc:AlternateContent>
      </w:r>
    </w:p>
    <w:p w14:paraId="10DC0173">
      <w:pPr>
        <w:pStyle w:val="18"/>
        <w:spacing w:line="360" w:lineRule="auto"/>
        <w:ind w:left="0" w:leftChars="0" w:firstLine="0" w:firstLineChars="0"/>
        <w:rPr>
          <w:rFonts w:ascii="宋体" w:hAnsi="宋体" w:eastAsia="宋体"/>
          <w:b/>
          <w:bCs w:val="0"/>
          <w:color w:val="000000"/>
          <w:sz w:val="21"/>
        </w:rPr>
      </w:pPr>
    </w:p>
    <w:p w14:paraId="6330589D">
      <w:pPr>
        <w:spacing w:line="360" w:lineRule="auto"/>
        <w:ind w:firstLine="480" w:firstLineChars="200"/>
        <w:rPr>
          <w:rFonts w:ascii="宋体" w:hAnsi="宋体"/>
          <w:bCs/>
          <w:szCs w:val="32"/>
        </w:rPr>
      </w:pPr>
      <w:r>
        <w:rPr>
          <w:rFonts w:hint="eastAsia" w:ascii="宋体" w:hAnsi="宋体"/>
          <w:bCs/>
          <w:szCs w:val="32"/>
        </w:rPr>
        <w:t>公司设立专门部门（技术部与销售部）负责，拉近技术和市场的距离，大大增强了对顾客和市场的反应速度，提高了产品配套的效率，成为行业内包括竞争对手学习和模仿的标杆。</w:t>
      </w:r>
    </w:p>
    <w:p w14:paraId="50C475F2">
      <w:pPr>
        <w:pStyle w:val="5"/>
      </w:pPr>
      <w:r>
        <w:rPr>
          <w:rFonts w:hint="eastAsia"/>
        </w:rPr>
        <w:t>4.5.2.4价值创造过程的实施与改进</w:t>
      </w:r>
    </w:p>
    <w:p w14:paraId="1BEDA8DF">
      <w:pPr>
        <w:pStyle w:val="5"/>
        <w:spacing w:before="0" w:after="0" w:line="360" w:lineRule="auto"/>
        <w:rPr>
          <w:sz w:val="24"/>
          <w:szCs w:val="24"/>
        </w:rPr>
      </w:pPr>
      <w:r>
        <w:rPr>
          <w:rFonts w:hint="eastAsia"/>
          <w:sz w:val="24"/>
          <w:szCs w:val="24"/>
        </w:rPr>
        <w:t>4.5.2.4.1主要价值创造过程的实施</w:t>
      </w:r>
    </w:p>
    <w:p w14:paraId="07743254">
      <w:pPr>
        <w:spacing w:line="360" w:lineRule="auto"/>
        <w:ind w:firstLine="480" w:firstLineChars="200"/>
        <w:rPr>
          <w:rFonts w:ascii="宋体" w:hAnsi="宋体"/>
          <w:bCs/>
          <w:szCs w:val="32"/>
        </w:rPr>
      </w:pPr>
      <w:r>
        <w:rPr>
          <w:rFonts w:hint="eastAsia" w:ascii="宋体" w:hAnsi="宋体"/>
          <w:bCs/>
          <w:szCs w:val="32"/>
        </w:rPr>
        <w:t>为了价值创造过程的运行结果达到公司战略体系的设定要求，公司通过技术开发的计划与条件不断完善、制造控制的软硬件条件不断完善、经营服务策略的不断完善来趋向于无尽完善，采用“政策导向，目标驱动”的管理方式，公司实施了质量环境安全管理体系，制定了《</w:t>
      </w:r>
      <w:r>
        <w:rPr>
          <w:rFonts w:hint="eastAsia" w:ascii="宋体" w:hAnsi="宋体"/>
        </w:rPr>
        <w:t>产品实现的策划</w:t>
      </w:r>
      <w:r>
        <w:rPr>
          <w:rFonts w:hint="eastAsia" w:ascii="宋体" w:hAnsi="宋体"/>
          <w:bCs/>
          <w:szCs w:val="32"/>
        </w:rPr>
        <w:t>》、《</w:t>
      </w:r>
      <w:r>
        <w:rPr>
          <w:rFonts w:hint="eastAsia" w:ascii="宋体" w:hAnsi="宋体"/>
        </w:rPr>
        <w:t>产品开发控制程序</w:t>
      </w:r>
      <w:r>
        <w:rPr>
          <w:rFonts w:hint="eastAsia" w:ascii="宋体" w:hAnsi="宋体"/>
          <w:bCs/>
          <w:szCs w:val="32"/>
        </w:rPr>
        <w:t>》、《</w:t>
      </w:r>
      <w:r>
        <w:rPr>
          <w:rFonts w:hint="eastAsia" w:ascii="宋体" w:hAnsi="宋体"/>
        </w:rPr>
        <w:t>设计更改控制程序</w:t>
      </w:r>
      <w:r>
        <w:rPr>
          <w:rFonts w:hint="eastAsia" w:ascii="宋体" w:hAnsi="宋体"/>
          <w:bCs/>
          <w:szCs w:val="32"/>
        </w:rPr>
        <w:t>》等多个产品研发和设计过程的制度和文件记录；《</w:t>
      </w:r>
      <w:r>
        <w:rPr>
          <w:rFonts w:hint="eastAsia" w:ascii="宋体" w:hAnsi="宋体"/>
        </w:rPr>
        <w:t>产品管理程序</w:t>
      </w:r>
      <w:r>
        <w:rPr>
          <w:rFonts w:hint="eastAsia" w:ascii="宋体" w:hAnsi="宋体"/>
          <w:bCs/>
          <w:szCs w:val="32"/>
        </w:rPr>
        <w:t>》、《</w:t>
      </w:r>
      <w:r>
        <w:rPr>
          <w:rFonts w:hint="eastAsia" w:ascii="宋体" w:hAnsi="宋体"/>
        </w:rPr>
        <w:t>过程和产品的监视和测量程序</w:t>
      </w:r>
      <w:r>
        <w:rPr>
          <w:rFonts w:hint="eastAsia" w:ascii="宋体" w:hAnsi="宋体"/>
          <w:bCs/>
          <w:szCs w:val="32"/>
        </w:rPr>
        <w:t>》等多个制造过程的管理制度；《产品和服务要求的控制程序》、《信息交流控制程序》等市场销售服务过程的管理制度，来对主要价值创造过程进行实施和控制。</w:t>
      </w:r>
    </w:p>
    <w:p w14:paraId="0FBB86A7">
      <w:pPr>
        <w:spacing w:line="360" w:lineRule="auto"/>
        <w:ind w:firstLine="480" w:firstLineChars="200"/>
        <w:rPr>
          <w:rFonts w:ascii="宋体" w:hAnsi="宋体"/>
          <w:color w:val="000000"/>
          <w:szCs w:val="32"/>
        </w:rPr>
      </w:pPr>
      <w:r>
        <w:rPr>
          <w:rFonts w:hint="eastAsia" w:ascii="宋体" w:hAnsi="宋体"/>
          <w:bCs/>
          <w:szCs w:val="32"/>
        </w:rPr>
        <w:t>同时，引进各种不同类型的测量工具和统计分析方法，为过程改进提供信息支持。主</w:t>
      </w:r>
      <w:r>
        <w:rPr>
          <w:rFonts w:hint="eastAsia" w:ascii="宋体" w:hAnsi="宋体" w:cs="宋体"/>
        </w:rPr>
        <w:t>要价值创造过程</w:t>
      </w:r>
      <w:r>
        <w:rPr>
          <w:rFonts w:hint="eastAsia" w:ascii="宋体" w:hAnsi="宋体"/>
          <w:bCs/>
          <w:szCs w:val="32"/>
        </w:rPr>
        <w:t>过程和子过程，还有过程绩效指标和考核详见条款4.5.2.2。</w:t>
      </w:r>
    </w:p>
    <w:p w14:paraId="282968BF">
      <w:pPr>
        <w:pStyle w:val="5"/>
        <w:spacing w:before="0" w:after="0" w:line="360" w:lineRule="auto"/>
        <w:rPr>
          <w:sz w:val="24"/>
          <w:szCs w:val="24"/>
        </w:rPr>
      </w:pPr>
      <w:r>
        <w:rPr>
          <w:rFonts w:hint="eastAsia"/>
          <w:sz w:val="24"/>
          <w:szCs w:val="24"/>
        </w:rPr>
        <w:t>4.5.2.4.2 价值创造过程的改进</w:t>
      </w:r>
    </w:p>
    <w:p w14:paraId="57A42414">
      <w:pPr>
        <w:spacing w:line="360" w:lineRule="auto"/>
        <w:ind w:firstLine="480" w:firstLineChars="200"/>
        <w:rPr>
          <w:rFonts w:ascii="宋体" w:hAnsi="宋体"/>
          <w:bCs/>
          <w:szCs w:val="32"/>
        </w:rPr>
      </w:pPr>
      <w:r>
        <w:rPr>
          <w:rFonts w:hint="eastAsia" w:ascii="宋体" w:hAnsi="宋体"/>
          <w:bCs/>
          <w:szCs w:val="32"/>
        </w:rPr>
        <w:t>公司对过程实施的有效性和效率通过分级管理（部门分级、问题分类）、定期诊断（自我诊断、联合诊断）、责任汇报制度等方法对产品研发与设计过程、采购过程、产品制造过程、市场营销服务过程四大创造价值过程进行评价。并通过流程优化、改变管理方式、工艺优化等加以改进。实行归零机制（问题闭环，成果标准化、文件化并共享），以减少过程波动和变差，使得价值创造过程与经营需求和发展方向保持一致。</w:t>
      </w:r>
    </w:p>
    <w:p w14:paraId="4F08F20D">
      <w:pPr>
        <w:spacing w:line="360" w:lineRule="auto"/>
        <w:ind w:firstLine="480" w:firstLineChars="200"/>
        <w:rPr>
          <w:rFonts w:ascii="宋体" w:hAnsi="宋体"/>
          <w:bCs/>
          <w:szCs w:val="32"/>
        </w:rPr>
      </w:pPr>
      <w:r>
        <w:rPr>
          <w:rFonts w:hint="eastAsia" w:ascii="宋体" w:hAnsi="宋体"/>
          <w:bCs/>
          <w:szCs w:val="32"/>
        </w:rPr>
        <w:t>如研发设计管理过程，在2015～</w:t>
      </w:r>
      <w:r>
        <w:rPr>
          <w:rFonts w:ascii="宋体" w:hAnsi="宋体"/>
          <w:bCs/>
          <w:szCs w:val="32"/>
        </w:rPr>
        <w:t>20</w:t>
      </w:r>
      <w:r>
        <w:rPr>
          <w:rFonts w:hint="eastAsia" w:ascii="宋体" w:hAnsi="宋体"/>
          <w:bCs/>
          <w:szCs w:val="32"/>
        </w:rPr>
        <w:t>18年，公司针对整个过程中关键子过程</w:t>
      </w:r>
      <w:r>
        <w:rPr>
          <w:rFonts w:ascii="宋体" w:hAnsi="宋体"/>
          <w:bCs/>
          <w:szCs w:val="32"/>
        </w:rPr>
        <w:t>“</w:t>
      </w:r>
      <w:r>
        <w:rPr>
          <w:rFonts w:hint="eastAsia" w:ascii="宋体" w:hAnsi="宋体"/>
          <w:bCs/>
          <w:szCs w:val="32"/>
        </w:rPr>
        <w:t>产品设计评审流程</w:t>
      </w:r>
      <w:r>
        <w:rPr>
          <w:rFonts w:ascii="宋体" w:hAnsi="宋体"/>
          <w:bCs/>
          <w:szCs w:val="32"/>
        </w:rPr>
        <w:t>”</w:t>
      </w:r>
      <w:r>
        <w:rPr>
          <w:rFonts w:hint="eastAsia" w:ascii="宋体" w:hAnsi="宋体"/>
          <w:bCs/>
          <w:szCs w:val="32"/>
        </w:rPr>
        <w:t>进行了5次改进，由最初的只针对开发设计评审点、评审内容进行要求，提升到对产品的评审级别、评审程序以及方法都重新进行规范，使得产品从方案设计到产品确认各阶段的评审活动规范，对产品在批量生产前进行完整、全面的审查，提高过程实施的有效性和效率。</w:t>
      </w:r>
    </w:p>
    <w:p w14:paraId="253AADF2">
      <w:pPr>
        <w:spacing w:line="360" w:lineRule="auto"/>
        <w:ind w:firstLine="2774" w:firstLineChars="1316"/>
        <w:rPr>
          <w:rFonts w:ascii="黑体" w:hAnsi="黑体" w:eastAsia="黑体" w:cs="宋体"/>
          <w:b/>
          <w:color w:val="000000"/>
          <w:sz w:val="21"/>
          <w:szCs w:val="21"/>
        </w:rPr>
      </w:pPr>
      <w:r>
        <w:rPr>
          <w:rFonts w:hint="eastAsia" w:ascii="黑体" w:hAnsi="黑体" w:eastAsia="黑体" w:cs="宋体"/>
          <w:b/>
          <w:color w:val="000000"/>
          <w:sz w:val="21"/>
          <w:szCs w:val="21"/>
        </w:rPr>
        <w:t>表4.5.2-1 研发设计过程改进列表</w:t>
      </w:r>
    </w:p>
    <w:tbl>
      <w:tblPr>
        <w:tblStyle w:val="22"/>
        <w:tblW w:w="9073" w:type="dxa"/>
        <w:tblInd w:w="107" w:type="dxa"/>
        <w:tblLayout w:type="fixed"/>
        <w:tblCellMar>
          <w:top w:w="0" w:type="dxa"/>
          <w:left w:w="108" w:type="dxa"/>
          <w:bottom w:w="0" w:type="dxa"/>
          <w:right w:w="108" w:type="dxa"/>
        </w:tblCellMar>
      </w:tblPr>
      <w:tblGrid>
        <w:gridCol w:w="1702"/>
        <w:gridCol w:w="3119"/>
        <w:gridCol w:w="4252"/>
      </w:tblGrid>
      <w:tr w14:paraId="44768AD3">
        <w:tblPrEx>
          <w:tblCellMar>
            <w:top w:w="0" w:type="dxa"/>
            <w:left w:w="108" w:type="dxa"/>
            <w:bottom w:w="0" w:type="dxa"/>
            <w:right w:w="108" w:type="dxa"/>
          </w:tblCellMar>
        </w:tblPrEx>
        <w:trPr>
          <w:trHeight w:val="508" w:hRule="atLeast"/>
        </w:trPr>
        <w:tc>
          <w:tcPr>
            <w:tcW w:w="1702" w:type="dxa"/>
            <w:tcBorders>
              <w:top w:val="double" w:color="000000" w:sz="4" w:space="0"/>
              <w:left w:val="double" w:color="000000" w:sz="4" w:space="0"/>
              <w:bottom w:val="double" w:color="000000" w:sz="4" w:space="0"/>
              <w:right w:val="single" w:color="000000" w:sz="4" w:space="0"/>
            </w:tcBorders>
            <w:shd w:val="clear" w:color="auto" w:fill="948A54"/>
            <w:vAlign w:val="center"/>
          </w:tcPr>
          <w:p w14:paraId="572FF2DB">
            <w:pPr>
              <w:pStyle w:val="37"/>
              <w:jc w:val="center"/>
              <w:rPr>
                <w:rFonts w:hAnsi="宋体"/>
                <w:b/>
                <w:color w:val="FFFFFF"/>
                <w:kern w:val="2"/>
                <w:szCs w:val="21"/>
              </w:rPr>
            </w:pPr>
            <w:r>
              <w:rPr>
                <w:rFonts w:hint="eastAsia" w:hAnsi="宋体"/>
                <w:b/>
                <w:color w:val="FFFFFF"/>
                <w:kern w:val="2"/>
                <w:szCs w:val="21"/>
              </w:rPr>
              <w:t>内容</w:t>
            </w:r>
          </w:p>
        </w:tc>
        <w:tc>
          <w:tcPr>
            <w:tcW w:w="3119" w:type="dxa"/>
            <w:tcBorders>
              <w:top w:val="double" w:color="000000" w:sz="4" w:space="0"/>
              <w:left w:val="single" w:color="000000" w:sz="4" w:space="0"/>
              <w:bottom w:val="double" w:color="000000" w:sz="4" w:space="0"/>
              <w:right w:val="single" w:color="000000" w:sz="4" w:space="0"/>
            </w:tcBorders>
            <w:shd w:val="clear" w:color="auto" w:fill="948A54"/>
            <w:vAlign w:val="center"/>
          </w:tcPr>
          <w:p w14:paraId="6584A282">
            <w:pPr>
              <w:pStyle w:val="37"/>
              <w:jc w:val="center"/>
              <w:rPr>
                <w:rFonts w:hAnsi="宋体"/>
                <w:b/>
                <w:color w:val="FFFFFF"/>
                <w:kern w:val="2"/>
                <w:szCs w:val="21"/>
              </w:rPr>
            </w:pPr>
            <w:r>
              <w:rPr>
                <w:rFonts w:hint="eastAsia" w:hAnsi="宋体"/>
                <w:b/>
                <w:color w:val="FFFFFF"/>
                <w:kern w:val="2"/>
                <w:szCs w:val="21"/>
              </w:rPr>
              <w:t>改进前</w:t>
            </w:r>
          </w:p>
        </w:tc>
        <w:tc>
          <w:tcPr>
            <w:tcW w:w="4252" w:type="dxa"/>
            <w:tcBorders>
              <w:top w:val="double" w:color="000000" w:sz="4" w:space="0"/>
              <w:left w:val="single" w:color="000000" w:sz="4" w:space="0"/>
              <w:bottom w:val="double" w:color="000000" w:sz="4" w:space="0"/>
              <w:right w:val="double" w:color="000000" w:sz="4" w:space="0"/>
            </w:tcBorders>
            <w:shd w:val="clear" w:color="auto" w:fill="948A54"/>
            <w:vAlign w:val="center"/>
          </w:tcPr>
          <w:p w14:paraId="2C5B4519">
            <w:pPr>
              <w:pStyle w:val="37"/>
              <w:jc w:val="center"/>
              <w:rPr>
                <w:rFonts w:hAnsi="宋体"/>
                <w:b/>
                <w:color w:val="FFFFFF"/>
                <w:kern w:val="2"/>
                <w:szCs w:val="21"/>
              </w:rPr>
            </w:pPr>
            <w:r>
              <w:rPr>
                <w:rFonts w:hint="eastAsia" w:hAnsi="宋体"/>
                <w:b/>
                <w:color w:val="FFFFFF"/>
                <w:kern w:val="2"/>
                <w:szCs w:val="21"/>
              </w:rPr>
              <w:t>改进后</w:t>
            </w:r>
          </w:p>
        </w:tc>
      </w:tr>
      <w:tr w14:paraId="5855DA3C">
        <w:tblPrEx>
          <w:tblCellMar>
            <w:top w:w="0" w:type="dxa"/>
            <w:left w:w="108" w:type="dxa"/>
            <w:bottom w:w="0" w:type="dxa"/>
            <w:right w:w="108" w:type="dxa"/>
          </w:tblCellMar>
        </w:tblPrEx>
        <w:trPr>
          <w:trHeight w:val="254" w:hRule="atLeast"/>
        </w:trPr>
        <w:tc>
          <w:tcPr>
            <w:tcW w:w="1702" w:type="dxa"/>
            <w:tcBorders>
              <w:top w:val="single" w:color="000000" w:sz="4" w:space="0"/>
              <w:left w:val="double" w:color="000000" w:sz="4" w:space="0"/>
              <w:bottom w:val="single" w:color="000000" w:sz="4" w:space="0"/>
              <w:right w:val="single" w:color="000000" w:sz="4" w:space="0"/>
            </w:tcBorders>
            <w:vAlign w:val="center"/>
          </w:tcPr>
          <w:p w14:paraId="12B8AA14">
            <w:pPr>
              <w:pStyle w:val="37"/>
              <w:jc w:val="both"/>
              <w:rPr>
                <w:rFonts w:cs="宋体"/>
                <w:color w:val="000000"/>
                <w:kern w:val="2"/>
                <w:sz w:val="21"/>
                <w:szCs w:val="21"/>
              </w:rPr>
            </w:pPr>
            <w:r>
              <w:rPr>
                <w:rFonts w:hint="eastAsia" w:cs="宋体"/>
                <w:color w:val="000000"/>
                <w:kern w:val="2"/>
                <w:sz w:val="21"/>
                <w:szCs w:val="21"/>
              </w:rPr>
              <w:t>评审级别</w:t>
            </w:r>
          </w:p>
        </w:tc>
        <w:tc>
          <w:tcPr>
            <w:tcW w:w="3119" w:type="dxa"/>
            <w:tcBorders>
              <w:top w:val="single" w:color="000000" w:sz="4" w:space="0"/>
              <w:left w:val="single" w:color="000000" w:sz="4" w:space="0"/>
              <w:bottom w:val="single" w:color="000000" w:sz="4" w:space="0"/>
              <w:right w:val="single" w:color="000000" w:sz="4" w:space="0"/>
            </w:tcBorders>
            <w:vAlign w:val="center"/>
          </w:tcPr>
          <w:p w14:paraId="51618A8B">
            <w:pPr>
              <w:pStyle w:val="37"/>
              <w:jc w:val="both"/>
              <w:rPr>
                <w:rFonts w:cs="宋体"/>
                <w:color w:val="000000"/>
                <w:kern w:val="2"/>
                <w:sz w:val="21"/>
                <w:szCs w:val="21"/>
              </w:rPr>
            </w:pPr>
            <w:r>
              <w:rPr>
                <w:rFonts w:hint="eastAsia" w:cs="宋体"/>
                <w:color w:val="000000"/>
                <w:kern w:val="2"/>
                <w:sz w:val="21"/>
                <w:szCs w:val="21"/>
              </w:rPr>
              <w:t>原为方案评审、验证评审、确认评审。</w:t>
            </w:r>
          </w:p>
        </w:tc>
        <w:tc>
          <w:tcPr>
            <w:tcW w:w="4252" w:type="dxa"/>
            <w:tcBorders>
              <w:top w:val="single" w:color="000000" w:sz="4" w:space="0"/>
              <w:left w:val="single" w:color="000000" w:sz="4" w:space="0"/>
              <w:bottom w:val="single" w:color="000000" w:sz="4" w:space="0"/>
              <w:right w:val="double" w:color="000000" w:sz="4" w:space="0"/>
            </w:tcBorders>
            <w:vAlign w:val="center"/>
          </w:tcPr>
          <w:p w14:paraId="260CE910">
            <w:pPr>
              <w:pStyle w:val="37"/>
              <w:jc w:val="both"/>
              <w:rPr>
                <w:rFonts w:cs="宋体"/>
                <w:color w:val="000000"/>
                <w:kern w:val="2"/>
                <w:sz w:val="21"/>
                <w:szCs w:val="21"/>
              </w:rPr>
            </w:pPr>
            <w:r>
              <w:rPr>
                <w:rFonts w:hint="eastAsia" w:cs="宋体"/>
                <w:color w:val="000000"/>
                <w:kern w:val="2"/>
                <w:sz w:val="21"/>
                <w:szCs w:val="21"/>
              </w:rPr>
              <w:t>改进为方案评审、技术评审、确认评审。</w:t>
            </w:r>
          </w:p>
        </w:tc>
      </w:tr>
      <w:tr w14:paraId="4483FB7D">
        <w:tblPrEx>
          <w:tblCellMar>
            <w:top w:w="0" w:type="dxa"/>
            <w:left w:w="108" w:type="dxa"/>
            <w:bottom w:w="0" w:type="dxa"/>
            <w:right w:w="108" w:type="dxa"/>
          </w:tblCellMar>
        </w:tblPrEx>
        <w:trPr>
          <w:trHeight w:val="854" w:hRule="atLeast"/>
        </w:trPr>
        <w:tc>
          <w:tcPr>
            <w:tcW w:w="1702" w:type="dxa"/>
            <w:tcBorders>
              <w:top w:val="single" w:color="000000" w:sz="4" w:space="0"/>
              <w:left w:val="double" w:color="000000" w:sz="4" w:space="0"/>
              <w:bottom w:val="single" w:color="000000" w:sz="4" w:space="0"/>
              <w:right w:val="single" w:color="000000" w:sz="4" w:space="0"/>
            </w:tcBorders>
            <w:vAlign w:val="center"/>
          </w:tcPr>
          <w:p w14:paraId="70A21E50">
            <w:pPr>
              <w:pStyle w:val="37"/>
              <w:jc w:val="both"/>
              <w:rPr>
                <w:rFonts w:cs="宋体"/>
                <w:color w:val="000000"/>
                <w:kern w:val="2"/>
                <w:sz w:val="21"/>
                <w:szCs w:val="21"/>
              </w:rPr>
            </w:pPr>
            <w:r>
              <w:rPr>
                <w:rFonts w:hint="eastAsia" w:cs="宋体"/>
                <w:color w:val="000000"/>
                <w:kern w:val="2"/>
                <w:sz w:val="21"/>
                <w:szCs w:val="21"/>
              </w:rPr>
              <w:t>评审审查内容</w:t>
            </w:r>
          </w:p>
        </w:tc>
        <w:tc>
          <w:tcPr>
            <w:tcW w:w="3119" w:type="dxa"/>
            <w:tcBorders>
              <w:top w:val="single" w:color="000000" w:sz="4" w:space="0"/>
              <w:left w:val="single" w:color="000000" w:sz="4" w:space="0"/>
              <w:bottom w:val="single" w:color="000000" w:sz="4" w:space="0"/>
              <w:right w:val="single" w:color="000000" w:sz="4" w:space="0"/>
            </w:tcBorders>
            <w:vAlign w:val="center"/>
          </w:tcPr>
          <w:p w14:paraId="1671E032">
            <w:pPr>
              <w:pStyle w:val="37"/>
              <w:jc w:val="both"/>
              <w:rPr>
                <w:rFonts w:cs="宋体"/>
                <w:color w:val="000000"/>
                <w:kern w:val="2"/>
                <w:sz w:val="21"/>
                <w:szCs w:val="21"/>
              </w:rPr>
            </w:pPr>
            <w:r>
              <w:rPr>
                <w:rFonts w:hint="eastAsia" w:cs="宋体"/>
                <w:color w:val="000000"/>
                <w:kern w:val="2"/>
                <w:sz w:val="21"/>
                <w:szCs w:val="21"/>
              </w:rPr>
              <w:t>研发设计人员自行负责系统、结构方面审查。</w:t>
            </w:r>
          </w:p>
        </w:tc>
        <w:tc>
          <w:tcPr>
            <w:tcW w:w="4252" w:type="dxa"/>
            <w:tcBorders>
              <w:top w:val="single" w:color="000000" w:sz="4" w:space="0"/>
              <w:left w:val="single" w:color="000000" w:sz="4" w:space="0"/>
              <w:bottom w:val="single" w:color="000000" w:sz="4" w:space="0"/>
              <w:right w:val="double" w:color="000000" w:sz="4" w:space="0"/>
            </w:tcBorders>
            <w:vAlign w:val="center"/>
          </w:tcPr>
          <w:p w14:paraId="29B29ED4">
            <w:pPr>
              <w:pStyle w:val="37"/>
              <w:jc w:val="both"/>
              <w:rPr>
                <w:rFonts w:cs="宋体"/>
                <w:color w:val="000000"/>
                <w:kern w:val="2"/>
                <w:sz w:val="21"/>
                <w:szCs w:val="21"/>
              </w:rPr>
            </w:pPr>
            <w:r>
              <w:rPr>
                <w:rFonts w:hint="eastAsia" w:cs="宋体"/>
                <w:color w:val="000000"/>
                <w:kern w:val="2"/>
                <w:sz w:val="21"/>
                <w:szCs w:val="21"/>
              </w:rPr>
              <w:t>除项目组负责评审外，还增加了质量工程师专门对系统、结构、可靠性等方面专项审查，而且通过质量控制、生产、工艺、售后等单位全面从设计、工艺、生产、售后使用等一一进行审查、严格把关，竭力将所有问题提前发现、提前解决。</w:t>
            </w:r>
          </w:p>
        </w:tc>
      </w:tr>
      <w:tr w14:paraId="0267395F">
        <w:tblPrEx>
          <w:tblCellMar>
            <w:top w:w="0" w:type="dxa"/>
            <w:left w:w="108" w:type="dxa"/>
            <w:bottom w:w="0" w:type="dxa"/>
            <w:right w:w="108" w:type="dxa"/>
          </w:tblCellMar>
        </w:tblPrEx>
        <w:trPr>
          <w:trHeight w:val="254" w:hRule="atLeast"/>
        </w:trPr>
        <w:tc>
          <w:tcPr>
            <w:tcW w:w="1702" w:type="dxa"/>
            <w:tcBorders>
              <w:top w:val="single" w:color="000000" w:sz="4" w:space="0"/>
              <w:left w:val="double" w:color="000000" w:sz="4" w:space="0"/>
              <w:bottom w:val="single" w:color="000000" w:sz="4" w:space="0"/>
              <w:right w:val="single" w:color="000000" w:sz="4" w:space="0"/>
            </w:tcBorders>
            <w:vAlign w:val="center"/>
          </w:tcPr>
          <w:p w14:paraId="1653C766">
            <w:pPr>
              <w:pStyle w:val="37"/>
              <w:jc w:val="both"/>
              <w:rPr>
                <w:rFonts w:cs="宋体"/>
                <w:color w:val="000000"/>
                <w:kern w:val="2"/>
                <w:sz w:val="21"/>
                <w:szCs w:val="21"/>
              </w:rPr>
            </w:pPr>
            <w:r>
              <w:rPr>
                <w:rFonts w:hint="eastAsia" w:cs="宋体"/>
                <w:color w:val="000000"/>
                <w:kern w:val="2"/>
                <w:sz w:val="21"/>
                <w:szCs w:val="21"/>
              </w:rPr>
              <w:t>评审方式</w:t>
            </w:r>
          </w:p>
        </w:tc>
        <w:tc>
          <w:tcPr>
            <w:tcW w:w="3119" w:type="dxa"/>
            <w:tcBorders>
              <w:top w:val="single" w:color="000000" w:sz="4" w:space="0"/>
              <w:left w:val="single" w:color="000000" w:sz="4" w:space="0"/>
              <w:bottom w:val="single" w:color="000000" w:sz="4" w:space="0"/>
              <w:right w:val="single" w:color="000000" w:sz="4" w:space="0"/>
            </w:tcBorders>
            <w:vAlign w:val="center"/>
          </w:tcPr>
          <w:p w14:paraId="2715577E">
            <w:pPr>
              <w:pStyle w:val="37"/>
              <w:jc w:val="both"/>
              <w:rPr>
                <w:rFonts w:cs="宋体"/>
                <w:color w:val="000000"/>
                <w:kern w:val="2"/>
                <w:sz w:val="21"/>
                <w:szCs w:val="21"/>
              </w:rPr>
            </w:pPr>
            <w:r>
              <w:rPr>
                <w:rFonts w:hint="eastAsia" w:cs="宋体"/>
                <w:color w:val="000000"/>
                <w:kern w:val="2"/>
                <w:sz w:val="21"/>
                <w:szCs w:val="21"/>
              </w:rPr>
              <w:t>只是以会议形式进行。</w:t>
            </w:r>
          </w:p>
        </w:tc>
        <w:tc>
          <w:tcPr>
            <w:tcW w:w="4252" w:type="dxa"/>
            <w:tcBorders>
              <w:top w:val="single" w:color="000000" w:sz="4" w:space="0"/>
              <w:left w:val="single" w:color="000000" w:sz="4" w:space="0"/>
              <w:bottom w:val="single" w:color="000000" w:sz="4" w:space="0"/>
              <w:right w:val="double" w:color="000000" w:sz="4" w:space="0"/>
            </w:tcBorders>
            <w:vAlign w:val="center"/>
          </w:tcPr>
          <w:p w14:paraId="78CA4287">
            <w:pPr>
              <w:pStyle w:val="37"/>
              <w:jc w:val="both"/>
              <w:rPr>
                <w:rFonts w:cs="宋体"/>
                <w:color w:val="000000"/>
                <w:kern w:val="2"/>
                <w:sz w:val="21"/>
                <w:szCs w:val="21"/>
              </w:rPr>
            </w:pPr>
            <w:r>
              <w:rPr>
                <w:rFonts w:hint="eastAsia" w:cs="宋体"/>
                <w:color w:val="000000"/>
                <w:kern w:val="2"/>
                <w:sz w:val="21"/>
                <w:szCs w:val="21"/>
              </w:rPr>
              <w:t>除原用的会议方式外，还应用了网络方式进行评审，提高评审效率。</w:t>
            </w:r>
          </w:p>
        </w:tc>
      </w:tr>
      <w:tr w14:paraId="17AE47D4">
        <w:tblPrEx>
          <w:tblCellMar>
            <w:top w:w="0" w:type="dxa"/>
            <w:left w:w="108" w:type="dxa"/>
            <w:bottom w:w="0" w:type="dxa"/>
            <w:right w:w="108" w:type="dxa"/>
          </w:tblCellMar>
        </w:tblPrEx>
        <w:trPr>
          <w:trHeight w:val="1154" w:hRule="atLeast"/>
        </w:trPr>
        <w:tc>
          <w:tcPr>
            <w:tcW w:w="1702" w:type="dxa"/>
            <w:tcBorders>
              <w:top w:val="single" w:color="000000" w:sz="4" w:space="0"/>
              <w:left w:val="double" w:color="000000" w:sz="4" w:space="0"/>
              <w:bottom w:val="single" w:color="000000" w:sz="4" w:space="0"/>
              <w:right w:val="single" w:color="000000" w:sz="4" w:space="0"/>
            </w:tcBorders>
            <w:vAlign w:val="center"/>
          </w:tcPr>
          <w:p w14:paraId="4D109C98">
            <w:pPr>
              <w:pStyle w:val="37"/>
              <w:jc w:val="both"/>
              <w:rPr>
                <w:rFonts w:cs="宋体"/>
                <w:color w:val="000000"/>
                <w:kern w:val="2"/>
                <w:sz w:val="21"/>
                <w:szCs w:val="21"/>
              </w:rPr>
            </w:pPr>
            <w:r>
              <w:rPr>
                <w:rFonts w:hint="eastAsia" w:cs="宋体"/>
                <w:color w:val="000000"/>
                <w:kern w:val="2"/>
                <w:sz w:val="21"/>
                <w:szCs w:val="21"/>
              </w:rPr>
              <w:t>评审组织团队</w:t>
            </w:r>
          </w:p>
        </w:tc>
        <w:tc>
          <w:tcPr>
            <w:tcW w:w="3119" w:type="dxa"/>
            <w:tcBorders>
              <w:top w:val="single" w:color="000000" w:sz="4" w:space="0"/>
              <w:left w:val="single" w:color="000000" w:sz="4" w:space="0"/>
              <w:bottom w:val="single" w:color="000000" w:sz="4" w:space="0"/>
              <w:right w:val="single" w:color="000000" w:sz="4" w:space="0"/>
            </w:tcBorders>
            <w:vAlign w:val="center"/>
          </w:tcPr>
          <w:p w14:paraId="11545E12">
            <w:pPr>
              <w:pStyle w:val="37"/>
              <w:jc w:val="both"/>
              <w:rPr>
                <w:rFonts w:cs="宋体"/>
                <w:color w:val="000000"/>
                <w:kern w:val="2"/>
                <w:sz w:val="21"/>
                <w:szCs w:val="21"/>
              </w:rPr>
            </w:pPr>
            <w:r>
              <w:rPr>
                <w:rFonts w:hint="eastAsia" w:cs="宋体"/>
                <w:color w:val="000000"/>
                <w:kern w:val="2"/>
                <w:sz w:val="21"/>
                <w:szCs w:val="21"/>
              </w:rPr>
              <w:t>研发副总或技术部主管主持、设计人员、标准化、工艺、质量、生产组织、采购、销售、企业管理参与。</w:t>
            </w:r>
          </w:p>
        </w:tc>
        <w:tc>
          <w:tcPr>
            <w:tcW w:w="4252" w:type="dxa"/>
            <w:tcBorders>
              <w:top w:val="single" w:color="000000" w:sz="4" w:space="0"/>
              <w:left w:val="single" w:color="000000" w:sz="4" w:space="0"/>
              <w:bottom w:val="single" w:color="000000" w:sz="4" w:space="0"/>
              <w:right w:val="double" w:color="000000" w:sz="4" w:space="0"/>
            </w:tcBorders>
            <w:vAlign w:val="center"/>
          </w:tcPr>
          <w:p w14:paraId="6CA9A3C4">
            <w:pPr>
              <w:pStyle w:val="37"/>
              <w:jc w:val="both"/>
              <w:rPr>
                <w:rFonts w:cs="宋体"/>
                <w:color w:val="000000"/>
                <w:kern w:val="2"/>
                <w:sz w:val="21"/>
                <w:szCs w:val="21"/>
              </w:rPr>
            </w:pPr>
            <w:r>
              <w:rPr>
                <w:rFonts w:cs="宋体"/>
                <w:color w:val="000000"/>
                <w:kern w:val="2"/>
                <w:sz w:val="21"/>
                <w:szCs w:val="21"/>
              </w:rPr>
              <w:t>1</w:t>
            </w:r>
            <w:r>
              <w:rPr>
                <w:rFonts w:hint="eastAsia" w:cs="宋体"/>
                <w:color w:val="000000"/>
                <w:kern w:val="2"/>
                <w:sz w:val="21"/>
                <w:szCs w:val="21"/>
              </w:rPr>
              <w:t>、必须研发副总参加；</w:t>
            </w:r>
          </w:p>
          <w:p w14:paraId="42FC7E21">
            <w:pPr>
              <w:pStyle w:val="37"/>
              <w:ind w:hanging="420"/>
              <w:jc w:val="both"/>
              <w:rPr>
                <w:rFonts w:cs="宋体"/>
                <w:color w:val="000000"/>
                <w:kern w:val="2"/>
                <w:sz w:val="21"/>
                <w:szCs w:val="21"/>
              </w:rPr>
            </w:pPr>
            <w:r>
              <w:rPr>
                <w:rFonts w:cs="宋体"/>
                <w:color w:val="000000"/>
                <w:kern w:val="2"/>
                <w:sz w:val="21"/>
                <w:szCs w:val="21"/>
              </w:rPr>
              <w:t>2</w:t>
            </w:r>
            <w:r>
              <w:rPr>
                <w:rFonts w:hint="eastAsia" w:cs="宋体"/>
                <w:color w:val="000000"/>
                <w:kern w:val="2"/>
                <w:sz w:val="21"/>
                <w:szCs w:val="21"/>
              </w:rPr>
              <w:t>、 2、增加销售部对创意、推广审查；</w:t>
            </w:r>
          </w:p>
          <w:p w14:paraId="6B7F8F6D">
            <w:pPr>
              <w:pStyle w:val="37"/>
              <w:jc w:val="both"/>
              <w:rPr>
                <w:rFonts w:cs="宋体"/>
                <w:color w:val="000000"/>
                <w:kern w:val="2"/>
                <w:sz w:val="21"/>
                <w:szCs w:val="21"/>
              </w:rPr>
            </w:pPr>
            <w:r>
              <w:rPr>
                <w:rFonts w:cs="宋体"/>
                <w:color w:val="000000"/>
                <w:kern w:val="2"/>
                <w:sz w:val="21"/>
                <w:szCs w:val="21"/>
              </w:rPr>
              <w:t>3</w:t>
            </w:r>
            <w:r>
              <w:rPr>
                <w:rFonts w:hint="eastAsia" w:cs="宋体"/>
                <w:color w:val="000000"/>
                <w:kern w:val="2"/>
                <w:sz w:val="21"/>
                <w:szCs w:val="21"/>
              </w:rPr>
              <w:t>、增加通用化评审；</w:t>
            </w:r>
          </w:p>
        </w:tc>
      </w:tr>
      <w:tr w14:paraId="7D75E9AB">
        <w:tblPrEx>
          <w:tblCellMar>
            <w:top w:w="0" w:type="dxa"/>
            <w:left w:w="108" w:type="dxa"/>
            <w:bottom w:w="0" w:type="dxa"/>
            <w:right w:w="108" w:type="dxa"/>
          </w:tblCellMar>
        </w:tblPrEx>
        <w:trPr>
          <w:trHeight w:val="404" w:hRule="atLeast"/>
        </w:trPr>
        <w:tc>
          <w:tcPr>
            <w:tcW w:w="1702" w:type="dxa"/>
            <w:tcBorders>
              <w:top w:val="single" w:color="000000" w:sz="4" w:space="0"/>
              <w:left w:val="double" w:color="000000" w:sz="4" w:space="0"/>
              <w:bottom w:val="double" w:color="auto" w:sz="4" w:space="0"/>
              <w:right w:val="single" w:color="000000" w:sz="4" w:space="0"/>
            </w:tcBorders>
            <w:vAlign w:val="center"/>
          </w:tcPr>
          <w:p w14:paraId="140653FB">
            <w:pPr>
              <w:pStyle w:val="37"/>
              <w:jc w:val="both"/>
              <w:rPr>
                <w:rFonts w:cs="宋体"/>
                <w:color w:val="000000"/>
                <w:kern w:val="2"/>
                <w:sz w:val="21"/>
                <w:szCs w:val="21"/>
              </w:rPr>
            </w:pPr>
            <w:r>
              <w:rPr>
                <w:rFonts w:hint="eastAsia" w:cs="宋体"/>
                <w:color w:val="000000"/>
                <w:kern w:val="2"/>
                <w:sz w:val="21"/>
                <w:szCs w:val="21"/>
              </w:rPr>
              <w:t>整体评审管理</w:t>
            </w:r>
          </w:p>
        </w:tc>
        <w:tc>
          <w:tcPr>
            <w:tcW w:w="3119" w:type="dxa"/>
            <w:tcBorders>
              <w:top w:val="single" w:color="000000" w:sz="4" w:space="0"/>
              <w:left w:val="single" w:color="000000" w:sz="4" w:space="0"/>
              <w:bottom w:val="double" w:color="auto" w:sz="4" w:space="0"/>
              <w:right w:val="single" w:color="000000" w:sz="4" w:space="0"/>
            </w:tcBorders>
            <w:vAlign w:val="center"/>
          </w:tcPr>
          <w:p w14:paraId="51D06DFE">
            <w:pPr>
              <w:pStyle w:val="37"/>
              <w:jc w:val="both"/>
              <w:rPr>
                <w:rFonts w:cs="宋体"/>
                <w:color w:val="000000"/>
                <w:kern w:val="2"/>
                <w:sz w:val="21"/>
                <w:szCs w:val="21"/>
              </w:rPr>
            </w:pPr>
            <w:r>
              <w:rPr>
                <w:rFonts w:hint="eastAsia" w:cs="宋体"/>
                <w:color w:val="000000"/>
                <w:kern w:val="2"/>
                <w:sz w:val="21"/>
                <w:szCs w:val="21"/>
              </w:rPr>
              <w:t>僵硬强制性规定评审点，如产品改进必须通过方案评审、确认评审。</w:t>
            </w:r>
          </w:p>
        </w:tc>
        <w:tc>
          <w:tcPr>
            <w:tcW w:w="4252" w:type="dxa"/>
            <w:tcBorders>
              <w:top w:val="single" w:color="000000" w:sz="4" w:space="0"/>
              <w:left w:val="single" w:color="000000" w:sz="4" w:space="0"/>
              <w:bottom w:val="double" w:color="auto" w:sz="4" w:space="0"/>
              <w:right w:val="double" w:color="000000" w:sz="4" w:space="0"/>
            </w:tcBorders>
            <w:vAlign w:val="center"/>
          </w:tcPr>
          <w:p w14:paraId="441890C0">
            <w:pPr>
              <w:pStyle w:val="45"/>
              <w:rPr>
                <w:rFonts w:cs="宋体"/>
                <w:color w:val="000000"/>
                <w:kern w:val="2"/>
                <w:sz w:val="21"/>
                <w:szCs w:val="21"/>
              </w:rPr>
            </w:pPr>
            <w:r>
              <w:rPr>
                <w:rFonts w:hint="eastAsia" w:cs="宋体"/>
                <w:color w:val="000000"/>
                <w:kern w:val="2"/>
                <w:sz w:val="21"/>
                <w:szCs w:val="21"/>
              </w:rPr>
              <w:t>柔性化评审管理，规定了办理评审时，技术部门可根据产品范围、技术难度等因素选择评审级别。</w:t>
            </w:r>
          </w:p>
        </w:tc>
      </w:tr>
    </w:tbl>
    <w:p w14:paraId="2F922FBF">
      <w:pPr>
        <w:spacing w:before="312" w:beforeLines="100" w:line="360" w:lineRule="auto"/>
        <w:ind w:firstLine="480" w:firstLineChars="200"/>
        <w:rPr>
          <w:rFonts w:ascii="宋体" w:hAnsi="宋体"/>
          <w:bCs/>
          <w:szCs w:val="32"/>
        </w:rPr>
      </w:pPr>
      <w:r>
        <w:rPr>
          <w:rFonts w:hint="eastAsia" w:ascii="宋体" w:hAnsi="宋体"/>
          <w:bCs/>
          <w:szCs w:val="32"/>
        </w:rPr>
        <w:t>公司和各部门均建立了知识管理制度；建立了包括收集识别—整理开发—分解—储存</w:t>
      </w:r>
    </w:p>
    <w:p w14:paraId="163E7826">
      <w:pPr>
        <w:spacing w:line="360" w:lineRule="auto"/>
        <w:rPr>
          <w:rFonts w:ascii="宋体" w:hAnsi="宋体"/>
          <w:bCs/>
          <w:szCs w:val="32"/>
        </w:rPr>
      </w:pPr>
      <w:r>
        <w:rPr>
          <w:rFonts w:hint="eastAsia" w:ascii="宋体" w:hAnsi="宋体"/>
          <w:bCs/>
          <w:szCs w:val="32"/>
        </w:rPr>
        <w:t>—传递—共享—评价在内的整个知识流的管理系统和管理流程，把改进的过程、经验教训及成果形成文件汇入各级知识库，形成知识经验的分享。</w:t>
      </w:r>
    </w:p>
    <w:p w14:paraId="75940166">
      <w:pPr>
        <w:pStyle w:val="32"/>
        <w:spacing w:after="312" w:afterLines="100" w:line="360" w:lineRule="auto"/>
      </w:pPr>
      <w:bookmarkStart w:id="53" w:name="_Toc99720437"/>
      <w:bookmarkStart w:id="54" w:name="_Toc517871547"/>
      <w:r>
        <w:rPr>
          <w:rFonts w:hint="eastAsia"/>
        </w:rPr>
        <w:t>4.5.3支持过程</w:t>
      </w:r>
      <w:bookmarkEnd w:id="53"/>
      <w:bookmarkEnd w:id="54"/>
    </w:p>
    <w:p w14:paraId="4A069DB7">
      <w:pPr>
        <w:spacing w:line="360" w:lineRule="auto"/>
        <w:ind w:firstLine="480" w:firstLineChars="200"/>
        <w:rPr>
          <w:rFonts w:ascii="宋体" w:hAnsi="宋体"/>
          <w:bCs/>
          <w:szCs w:val="32"/>
        </w:rPr>
      </w:pPr>
      <w:r>
        <w:rPr>
          <w:rFonts w:hint="eastAsia" w:ascii="宋体" w:hAnsi="宋体"/>
          <w:bCs/>
          <w:szCs w:val="32"/>
        </w:rPr>
        <w:t>根据公司价值创造过程要求，综合顾客、相关方要求及公司的战略规划，并考虑生产运作的特点，确定了人力资源管理、财务管理、设备管理、信息管理、环保管理、职业健康安全管理、法律服务、公共关系和其他行政服务等支持过程，同时依据过程方法和管理系统方法，对各过程按PDCA模型进行策划和管理。</w:t>
      </w:r>
    </w:p>
    <w:p w14:paraId="7ADD5277">
      <w:pPr>
        <w:pStyle w:val="46"/>
        <w:adjustRightInd w:val="0"/>
        <w:snapToGrid w:val="0"/>
        <w:spacing w:before="312" w:beforeLines="100" w:after="312" w:afterLines="100" w:line="360" w:lineRule="auto"/>
        <w:rPr>
          <w:rFonts w:ascii="Cambria" w:hAnsi="Cambria" w:eastAsia="宋体"/>
          <w:b/>
          <w:bCs/>
        </w:rPr>
      </w:pPr>
      <w:r>
        <w:rPr>
          <w:rFonts w:hint="eastAsia" w:ascii="Cambria" w:hAnsi="Cambria" w:eastAsia="宋体"/>
          <w:b/>
          <w:bCs/>
        </w:rPr>
        <w:t>4.5.3.1 支持过程的识别与要求</w:t>
      </w:r>
    </w:p>
    <w:p w14:paraId="17B18908">
      <w:pPr>
        <w:spacing w:line="360" w:lineRule="auto"/>
        <w:ind w:firstLine="480" w:firstLineChars="200"/>
        <w:rPr>
          <w:rFonts w:ascii="宋体" w:hAnsi="宋体"/>
          <w:bCs/>
          <w:szCs w:val="32"/>
        </w:rPr>
      </w:pPr>
      <w:r>
        <w:rPr>
          <w:rFonts w:hint="eastAsia" w:ascii="宋体" w:hAnsi="宋体"/>
          <w:bCs/>
          <w:szCs w:val="32"/>
        </w:rPr>
        <w:t>根据为价值创造过程起支持作用的重要程度，识别出人力资源管理、财务管理、设备管理、信息管理为关键支持过程，运用关键绩效指标的原理，从如何能够为产品质量、整体成本、运行周期、交付的准时性、快速反应能力等方面提供支持，收集过程信息，通过公司管理会议评审，确定关键支持过程的要求，并量化为具体的测量指标，详见表4.5.3-1。</w:t>
      </w:r>
    </w:p>
    <w:p w14:paraId="10E2BDAB">
      <w:pPr>
        <w:spacing w:before="156" w:beforeLines="50" w:line="360" w:lineRule="auto"/>
        <w:jc w:val="center"/>
        <w:rPr>
          <w:rFonts w:ascii="黑体" w:hAnsi="黑体" w:eastAsia="黑体"/>
          <w:sz w:val="21"/>
          <w:szCs w:val="21"/>
        </w:rPr>
      </w:pPr>
      <w:r>
        <w:rPr>
          <w:rFonts w:hint="eastAsia" w:ascii="黑体" w:hAnsi="黑体" w:eastAsia="黑体"/>
          <w:b/>
          <w:bCs/>
          <w:sz w:val="21"/>
          <w:szCs w:val="21"/>
        </w:rPr>
        <w:t>表4.5.3-1 关键支持过程的主要要求(</w:t>
      </w:r>
      <w:r>
        <w:rPr>
          <w:rFonts w:hint="eastAsia" w:ascii="黑体" w:hAnsi="黑体" w:eastAsia="黑体"/>
          <w:b/>
          <w:bCs/>
          <w:color w:val="000000"/>
          <w:sz w:val="21"/>
          <w:szCs w:val="21"/>
        </w:rPr>
        <w:t>含主要绩效测量方法和指标）</w:t>
      </w:r>
    </w:p>
    <w:tbl>
      <w:tblPr>
        <w:tblStyle w:val="22"/>
        <w:tblW w:w="9180" w:type="dxa"/>
        <w:tblInd w:w="108" w:type="dxa"/>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1134"/>
        <w:gridCol w:w="1985"/>
        <w:gridCol w:w="2126"/>
        <w:gridCol w:w="992"/>
        <w:gridCol w:w="1503"/>
        <w:gridCol w:w="1440"/>
      </w:tblGrid>
      <w:tr w14:paraId="1D5C4BAF">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trHeight w:val="592" w:hRule="atLeast"/>
        </w:trPr>
        <w:tc>
          <w:tcPr>
            <w:tcW w:w="1134" w:type="dxa"/>
            <w:tcBorders>
              <w:top w:val="double" w:color="auto" w:sz="4" w:space="0"/>
              <w:bottom w:val="single" w:color="auto" w:sz="2" w:space="0"/>
            </w:tcBorders>
            <w:shd w:val="clear" w:color="auto" w:fill="757070"/>
            <w:vAlign w:val="center"/>
          </w:tcPr>
          <w:p w14:paraId="659300B7">
            <w:pPr>
              <w:jc w:val="center"/>
              <w:rPr>
                <w:rFonts w:ascii="宋体" w:hAnsi="宋体"/>
                <w:b/>
                <w:kern w:val="2"/>
                <w:szCs w:val="21"/>
              </w:rPr>
            </w:pPr>
            <w:r>
              <w:rPr>
                <w:rFonts w:hint="eastAsia" w:ascii="宋体" w:hAnsi="宋体"/>
                <w:b/>
                <w:kern w:val="2"/>
                <w:szCs w:val="21"/>
              </w:rPr>
              <w:t>关键支持过程</w:t>
            </w:r>
          </w:p>
        </w:tc>
        <w:tc>
          <w:tcPr>
            <w:tcW w:w="1985" w:type="dxa"/>
            <w:tcBorders>
              <w:top w:val="double" w:color="auto" w:sz="4" w:space="0"/>
              <w:bottom w:val="single" w:color="auto" w:sz="2" w:space="0"/>
            </w:tcBorders>
            <w:shd w:val="clear" w:color="auto" w:fill="757070"/>
            <w:vAlign w:val="center"/>
          </w:tcPr>
          <w:p w14:paraId="538F6424">
            <w:pPr>
              <w:jc w:val="center"/>
              <w:rPr>
                <w:rFonts w:ascii="宋体" w:hAnsi="宋体"/>
                <w:b/>
                <w:kern w:val="2"/>
                <w:szCs w:val="21"/>
              </w:rPr>
            </w:pPr>
            <w:r>
              <w:rPr>
                <w:rFonts w:hint="eastAsia" w:ascii="宋体" w:hAnsi="宋体"/>
                <w:b/>
                <w:kern w:val="2"/>
                <w:szCs w:val="21"/>
              </w:rPr>
              <w:t>要  求</w:t>
            </w:r>
          </w:p>
        </w:tc>
        <w:tc>
          <w:tcPr>
            <w:tcW w:w="2126" w:type="dxa"/>
            <w:tcBorders>
              <w:top w:val="double" w:color="auto" w:sz="4" w:space="0"/>
              <w:bottom w:val="single" w:color="auto" w:sz="2" w:space="0"/>
            </w:tcBorders>
            <w:shd w:val="clear" w:color="auto" w:fill="757070"/>
            <w:vAlign w:val="center"/>
          </w:tcPr>
          <w:p w14:paraId="3F0195FD">
            <w:pPr>
              <w:jc w:val="center"/>
              <w:rPr>
                <w:rFonts w:ascii="宋体" w:hAnsi="宋体"/>
                <w:b/>
                <w:kern w:val="2"/>
                <w:szCs w:val="21"/>
              </w:rPr>
            </w:pPr>
            <w:r>
              <w:rPr>
                <w:rFonts w:hint="eastAsia" w:ascii="宋体" w:hAnsi="宋体"/>
                <w:b/>
                <w:kern w:val="2"/>
                <w:szCs w:val="21"/>
              </w:rPr>
              <w:t>主要测量指标</w:t>
            </w:r>
          </w:p>
        </w:tc>
        <w:tc>
          <w:tcPr>
            <w:tcW w:w="992" w:type="dxa"/>
            <w:tcBorders>
              <w:top w:val="double" w:color="auto" w:sz="4" w:space="0"/>
              <w:bottom w:val="single" w:color="auto" w:sz="2" w:space="0"/>
            </w:tcBorders>
            <w:shd w:val="clear" w:color="auto" w:fill="757070"/>
            <w:vAlign w:val="center"/>
          </w:tcPr>
          <w:p w14:paraId="3AE3EDBE">
            <w:pPr>
              <w:jc w:val="center"/>
              <w:rPr>
                <w:rFonts w:ascii="宋体" w:hAnsi="宋体"/>
                <w:b/>
                <w:kern w:val="2"/>
                <w:szCs w:val="21"/>
              </w:rPr>
            </w:pPr>
            <w:r>
              <w:rPr>
                <w:rFonts w:hint="eastAsia" w:ascii="宋体" w:hAnsi="宋体"/>
                <w:b/>
                <w:kern w:val="2"/>
                <w:szCs w:val="21"/>
              </w:rPr>
              <w:t>指标值</w:t>
            </w:r>
          </w:p>
        </w:tc>
        <w:tc>
          <w:tcPr>
            <w:tcW w:w="1503" w:type="dxa"/>
            <w:tcBorders>
              <w:top w:val="double" w:color="auto" w:sz="4" w:space="0"/>
              <w:bottom w:val="single" w:color="auto" w:sz="2" w:space="0"/>
            </w:tcBorders>
            <w:shd w:val="clear" w:color="auto" w:fill="757070"/>
            <w:vAlign w:val="center"/>
          </w:tcPr>
          <w:p w14:paraId="55245BE7">
            <w:pPr>
              <w:jc w:val="center"/>
              <w:rPr>
                <w:rFonts w:ascii="宋体" w:hAnsi="宋体"/>
                <w:b/>
                <w:kern w:val="2"/>
                <w:szCs w:val="21"/>
              </w:rPr>
            </w:pPr>
            <w:r>
              <w:rPr>
                <w:rFonts w:hint="eastAsia" w:ascii="宋体" w:hAnsi="宋体"/>
                <w:b/>
                <w:bCs/>
                <w:kern w:val="2"/>
              </w:rPr>
              <w:t>测量方法</w:t>
            </w:r>
          </w:p>
        </w:tc>
        <w:tc>
          <w:tcPr>
            <w:tcW w:w="1440" w:type="dxa"/>
            <w:tcBorders>
              <w:top w:val="double" w:color="auto" w:sz="4" w:space="0"/>
              <w:bottom w:val="single" w:color="auto" w:sz="2" w:space="0"/>
            </w:tcBorders>
            <w:shd w:val="clear" w:color="auto" w:fill="757070"/>
            <w:vAlign w:val="center"/>
          </w:tcPr>
          <w:p w14:paraId="6EE68A80">
            <w:pPr>
              <w:jc w:val="center"/>
              <w:rPr>
                <w:rFonts w:ascii="宋体" w:hAnsi="宋体"/>
                <w:b/>
                <w:kern w:val="2"/>
                <w:szCs w:val="21"/>
              </w:rPr>
            </w:pPr>
            <w:r>
              <w:rPr>
                <w:rFonts w:hint="eastAsia" w:ascii="宋体" w:hAnsi="宋体"/>
                <w:b/>
                <w:kern w:val="2"/>
                <w:szCs w:val="21"/>
              </w:rPr>
              <w:t>参与部门</w:t>
            </w:r>
          </w:p>
        </w:tc>
      </w:tr>
      <w:tr w14:paraId="7081EC8C">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cantSplit/>
          <w:trHeight w:val="270" w:hRule="atLeast"/>
        </w:trPr>
        <w:tc>
          <w:tcPr>
            <w:tcW w:w="1134" w:type="dxa"/>
            <w:vMerge w:val="restart"/>
            <w:tcBorders>
              <w:top w:val="single" w:color="auto" w:sz="2" w:space="0"/>
              <w:right w:val="single" w:color="auto" w:sz="4" w:space="0"/>
            </w:tcBorders>
            <w:shd w:val="clear" w:color="auto" w:fill="FFFFFF"/>
            <w:vAlign w:val="center"/>
          </w:tcPr>
          <w:p w14:paraId="78D043B9">
            <w:pPr>
              <w:jc w:val="center"/>
              <w:rPr>
                <w:rFonts w:ascii="宋体" w:hAnsi="宋体"/>
                <w:b/>
                <w:color w:val="000000"/>
                <w:kern w:val="2"/>
                <w:sz w:val="21"/>
                <w:szCs w:val="21"/>
              </w:rPr>
            </w:pPr>
            <w:r>
              <w:rPr>
                <w:rFonts w:hint="eastAsia" w:ascii="宋体" w:hAnsi="宋体"/>
                <w:b/>
                <w:color w:val="000000"/>
                <w:kern w:val="2"/>
                <w:sz w:val="21"/>
                <w:szCs w:val="21"/>
              </w:rPr>
              <w:t>人力资源管理</w:t>
            </w:r>
          </w:p>
        </w:tc>
        <w:tc>
          <w:tcPr>
            <w:tcW w:w="1985" w:type="dxa"/>
            <w:vMerge w:val="restart"/>
            <w:tcBorders>
              <w:top w:val="single" w:color="auto" w:sz="2" w:space="0"/>
              <w:left w:val="single" w:color="auto" w:sz="4" w:space="0"/>
            </w:tcBorders>
            <w:shd w:val="clear" w:color="auto" w:fill="FFFFFF"/>
            <w:vAlign w:val="center"/>
          </w:tcPr>
          <w:p w14:paraId="68C31786">
            <w:pPr>
              <w:rPr>
                <w:rFonts w:ascii="宋体" w:hAnsi="宋体"/>
                <w:color w:val="008000"/>
                <w:kern w:val="2"/>
                <w:sz w:val="21"/>
                <w:szCs w:val="21"/>
              </w:rPr>
            </w:pPr>
            <w:r>
              <w:rPr>
                <w:rFonts w:hint="eastAsia" w:ascii="宋体" w:hAnsi="宋体"/>
                <w:kern w:val="2"/>
                <w:sz w:val="21"/>
                <w:szCs w:val="21"/>
              </w:rPr>
              <w:t>获取合格人才</w:t>
            </w:r>
          </w:p>
          <w:p w14:paraId="1F6A71AF">
            <w:pPr>
              <w:rPr>
                <w:rFonts w:ascii="宋体" w:hAnsi="宋体"/>
                <w:kern w:val="2"/>
                <w:sz w:val="21"/>
                <w:szCs w:val="21"/>
              </w:rPr>
            </w:pPr>
            <w:r>
              <w:rPr>
                <w:rFonts w:hint="eastAsia" w:ascii="宋体" w:hAnsi="宋体"/>
                <w:kern w:val="2"/>
                <w:sz w:val="21"/>
                <w:szCs w:val="21"/>
              </w:rPr>
              <w:t>全员素质提升</w:t>
            </w:r>
          </w:p>
          <w:p w14:paraId="5197FFAB">
            <w:pPr>
              <w:rPr>
                <w:rFonts w:ascii="宋体" w:hAnsi="宋体"/>
                <w:kern w:val="2"/>
                <w:sz w:val="21"/>
                <w:szCs w:val="21"/>
              </w:rPr>
            </w:pPr>
            <w:r>
              <w:rPr>
                <w:rFonts w:hint="eastAsia" w:ascii="宋体" w:hAnsi="宋体"/>
                <w:kern w:val="2"/>
                <w:sz w:val="21"/>
                <w:szCs w:val="21"/>
              </w:rPr>
              <w:t>客观公正考核</w:t>
            </w:r>
          </w:p>
          <w:p w14:paraId="4F382CB2">
            <w:pPr>
              <w:rPr>
                <w:rFonts w:ascii="宋体" w:hAnsi="宋体"/>
                <w:kern w:val="2"/>
                <w:sz w:val="21"/>
                <w:szCs w:val="21"/>
              </w:rPr>
            </w:pPr>
            <w:r>
              <w:rPr>
                <w:rFonts w:hint="eastAsia" w:ascii="宋体" w:hAnsi="宋体"/>
                <w:kern w:val="2"/>
                <w:sz w:val="21"/>
                <w:szCs w:val="21"/>
              </w:rPr>
              <w:t>全面有效激励</w:t>
            </w:r>
          </w:p>
          <w:p w14:paraId="39177FE2">
            <w:pPr>
              <w:rPr>
                <w:rFonts w:ascii="宋体" w:hAnsi="宋体"/>
                <w:color w:val="008000"/>
                <w:kern w:val="2"/>
                <w:sz w:val="21"/>
                <w:szCs w:val="21"/>
              </w:rPr>
            </w:pPr>
            <w:r>
              <w:rPr>
                <w:rFonts w:hint="eastAsia" w:ascii="宋体" w:hAnsi="宋体"/>
                <w:kern w:val="2"/>
                <w:sz w:val="21"/>
                <w:szCs w:val="21"/>
              </w:rPr>
              <w:t>职业发展通道畅</w:t>
            </w:r>
          </w:p>
        </w:tc>
        <w:tc>
          <w:tcPr>
            <w:tcW w:w="2126" w:type="dxa"/>
            <w:tcBorders>
              <w:top w:val="single" w:color="auto" w:sz="2" w:space="0"/>
              <w:bottom w:val="single" w:color="auto" w:sz="4" w:space="0"/>
            </w:tcBorders>
            <w:shd w:val="clear" w:color="auto" w:fill="FFFFFF"/>
            <w:vAlign w:val="center"/>
          </w:tcPr>
          <w:p w14:paraId="5591C50F">
            <w:pPr>
              <w:jc w:val="both"/>
              <w:rPr>
                <w:rFonts w:ascii="宋体" w:hAnsi="宋体"/>
                <w:bCs/>
                <w:kern w:val="2"/>
                <w:sz w:val="21"/>
                <w:szCs w:val="21"/>
              </w:rPr>
            </w:pPr>
            <w:r>
              <w:rPr>
                <w:rFonts w:hint="eastAsia" w:ascii="宋体" w:hAnsi="宋体"/>
                <w:kern w:val="2"/>
                <w:sz w:val="21"/>
                <w:szCs w:val="21"/>
              </w:rPr>
              <w:t>人才结构（大专以上人员比例）/%</w:t>
            </w:r>
          </w:p>
        </w:tc>
        <w:tc>
          <w:tcPr>
            <w:tcW w:w="992" w:type="dxa"/>
            <w:tcBorders>
              <w:top w:val="single" w:color="auto" w:sz="2" w:space="0"/>
              <w:bottom w:val="single" w:color="auto" w:sz="4" w:space="0"/>
            </w:tcBorders>
            <w:shd w:val="clear" w:color="auto" w:fill="FFFFFF"/>
            <w:vAlign w:val="center"/>
          </w:tcPr>
          <w:p w14:paraId="5441C6FC">
            <w:pPr>
              <w:jc w:val="center"/>
              <w:rPr>
                <w:rFonts w:ascii="宋体" w:hAnsi="宋体"/>
                <w:kern w:val="2"/>
                <w:sz w:val="21"/>
                <w:szCs w:val="21"/>
              </w:rPr>
            </w:pPr>
            <w:r>
              <w:rPr>
                <w:rFonts w:hint="eastAsia" w:ascii="宋体"/>
                <w:kern w:val="2"/>
                <w:sz w:val="21"/>
                <w:szCs w:val="21"/>
              </w:rPr>
              <w:t>≥30</w:t>
            </w:r>
          </w:p>
        </w:tc>
        <w:tc>
          <w:tcPr>
            <w:tcW w:w="1503" w:type="dxa"/>
            <w:vMerge w:val="restart"/>
            <w:tcBorders>
              <w:top w:val="single" w:color="auto" w:sz="2" w:space="0"/>
              <w:bottom w:val="single" w:color="auto" w:sz="2" w:space="0"/>
            </w:tcBorders>
            <w:shd w:val="clear" w:color="auto" w:fill="FFFFFF"/>
            <w:vAlign w:val="center"/>
          </w:tcPr>
          <w:p w14:paraId="7A7B9905">
            <w:pPr>
              <w:jc w:val="center"/>
              <w:rPr>
                <w:rFonts w:ascii="宋体" w:hAnsi="宋体"/>
                <w:bCs/>
                <w:color w:val="000000"/>
                <w:kern w:val="2"/>
                <w:sz w:val="21"/>
                <w:szCs w:val="21"/>
              </w:rPr>
            </w:pPr>
            <w:r>
              <w:rPr>
                <w:rFonts w:hint="eastAsia" w:ascii="宋体" w:hAnsi="宋体"/>
                <w:color w:val="000000"/>
                <w:kern w:val="2"/>
                <w:sz w:val="21"/>
                <w:szCs w:val="21"/>
              </w:rPr>
              <w:t>行政</w:t>
            </w:r>
            <w:r>
              <w:rPr>
                <w:rFonts w:hint="eastAsia" w:ascii="宋体" w:hAnsi="宋体"/>
                <w:bCs/>
                <w:color w:val="000000"/>
                <w:kern w:val="2"/>
                <w:sz w:val="21"/>
                <w:szCs w:val="21"/>
              </w:rPr>
              <w:t>部</w:t>
            </w:r>
          </w:p>
          <w:p w14:paraId="72AA4F19">
            <w:pPr>
              <w:jc w:val="center"/>
              <w:rPr>
                <w:rFonts w:ascii="宋体" w:hAnsi="宋体"/>
                <w:bCs/>
                <w:color w:val="000000"/>
                <w:kern w:val="2"/>
                <w:sz w:val="21"/>
                <w:szCs w:val="21"/>
              </w:rPr>
            </w:pPr>
            <w:r>
              <w:rPr>
                <w:rFonts w:hint="eastAsia" w:ascii="宋体" w:hAnsi="宋体"/>
                <w:bCs/>
                <w:color w:val="000000"/>
                <w:kern w:val="2"/>
                <w:sz w:val="21"/>
                <w:szCs w:val="21"/>
              </w:rPr>
              <w:t>统计分析</w:t>
            </w:r>
          </w:p>
          <w:p w14:paraId="0AA95CB5">
            <w:pPr>
              <w:jc w:val="center"/>
              <w:rPr>
                <w:rFonts w:ascii="宋体" w:hAnsi="宋体"/>
                <w:color w:val="000000"/>
                <w:kern w:val="2"/>
                <w:sz w:val="21"/>
                <w:szCs w:val="21"/>
              </w:rPr>
            </w:pPr>
            <w:r>
              <w:rPr>
                <w:rFonts w:hint="eastAsia" w:ascii="宋体" w:hAnsi="宋体"/>
                <w:bCs/>
                <w:color w:val="000000"/>
                <w:kern w:val="2"/>
                <w:sz w:val="21"/>
                <w:szCs w:val="21"/>
              </w:rPr>
              <w:t>问卷调查</w:t>
            </w:r>
          </w:p>
        </w:tc>
        <w:tc>
          <w:tcPr>
            <w:tcW w:w="1440" w:type="dxa"/>
            <w:vMerge w:val="restart"/>
            <w:tcBorders>
              <w:top w:val="single" w:color="auto" w:sz="2" w:space="0"/>
              <w:bottom w:val="single" w:color="auto" w:sz="2" w:space="0"/>
            </w:tcBorders>
            <w:shd w:val="clear" w:color="auto" w:fill="FFFFFF"/>
            <w:vAlign w:val="center"/>
          </w:tcPr>
          <w:p w14:paraId="1E565184">
            <w:pPr>
              <w:jc w:val="center"/>
              <w:rPr>
                <w:rFonts w:ascii="宋体" w:hAnsi="宋体"/>
                <w:color w:val="000000"/>
                <w:kern w:val="2"/>
                <w:sz w:val="21"/>
                <w:szCs w:val="21"/>
              </w:rPr>
            </w:pPr>
            <w:r>
              <w:rPr>
                <w:rFonts w:hint="eastAsia" w:ascii="宋体" w:hAnsi="宋体"/>
                <w:color w:val="000000"/>
                <w:kern w:val="2"/>
                <w:sz w:val="21"/>
                <w:szCs w:val="21"/>
              </w:rPr>
              <w:t>行政部</w:t>
            </w:r>
          </w:p>
        </w:tc>
      </w:tr>
      <w:tr w14:paraId="575D03FF">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cantSplit/>
        </w:trPr>
        <w:tc>
          <w:tcPr>
            <w:tcW w:w="1134" w:type="dxa"/>
            <w:vMerge w:val="continue"/>
            <w:tcBorders>
              <w:right w:val="single" w:color="auto" w:sz="4" w:space="0"/>
            </w:tcBorders>
            <w:shd w:val="clear" w:color="auto" w:fill="FFFFFF"/>
            <w:vAlign w:val="center"/>
          </w:tcPr>
          <w:p w14:paraId="435CAE85">
            <w:pPr>
              <w:jc w:val="center"/>
              <w:rPr>
                <w:rFonts w:ascii="宋体" w:hAnsi="宋体"/>
                <w:b/>
                <w:color w:val="000000"/>
                <w:kern w:val="2"/>
                <w:sz w:val="21"/>
                <w:szCs w:val="21"/>
              </w:rPr>
            </w:pPr>
          </w:p>
        </w:tc>
        <w:tc>
          <w:tcPr>
            <w:tcW w:w="1985" w:type="dxa"/>
            <w:vMerge w:val="continue"/>
            <w:tcBorders>
              <w:left w:val="single" w:color="auto" w:sz="4" w:space="0"/>
            </w:tcBorders>
            <w:shd w:val="clear" w:color="auto" w:fill="FFFFFF"/>
            <w:vAlign w:val="center"/>
          </w:tcPr>
          <w:p w14:paraId="55A0014D">
            <w:pPr>
              <w:rPr>
                <w:rFonts w:ascii="宋体" w:hAnsi="宋体"/>
                <w:kern w:val="2"/>
                <w:sz w:val="21"/>
                <w:szCs w:val="21"/>
              </w:rPr>
            </w:pPr>
          </w:p>
        </w:tc>
        <w:tc>
          <w:tcPr>
            <w:tcW w:w="2126" w:type="dxa"/>
            <w:tcBorders>
              <w:top w:val="single" w:color="auto" w:sz="4" w:space="0"/>
            </w:tcBorders>
            <w:shd w:val="clear" w:color="auto" w:fill="FFFFFF"/>
            <w:vAlign w:val="center"/>
          </w:tcPr>
          <w:p w14:paraId="765ED0C5">
            <w:pPr>
              <w:jc w:val="both"/>
              <w:rPr>
                <w:rFonts w:ascii="宋体" w:hAnsi="宋体"/>
                <w:bCs/>
                <w:kern w:val="2"/>
                <w:sz w:val="21"/>
                <w:szCs w:val="21"/>
              </w:rPr>
            </w:pPr>
            <w:r>
              <w:rPr>
                <w:rFonts w:hint="eastAsia" w:ascii="宋体" w:hAnsi="宋体"/>
                <w:bCs/>
                <w:kern w:val="2"/>
                <w:sz w:val="21"/>
                <w:szCs w:val="21"/>
              </w:rPr>
              <w:t>员工满意度/分</w:t>
            </w:r>
          </w:p>
        </w:tc>
        <w:tc>
          <w:tcPr>
            <w:tcW w:w="992" w:type="dxa"/>
            <w:tcBorders>
              <w:top w:val="single" w:color="auto" w:sz="4" w:space="0"/>
              <w:bottom w:val="single" w:color="auto" w:sz="2" w:space="0"/>
            </w:tcBorders>
            <w:shd w:val="clear" w:color="auto" w:fill="FFFFFF"/>
            <w:vAlign w:val="center"/>
          </w:tcPr>
          <w:p w14:paraId="2E7C01B0">
            <w:pPr>
              <w:jc w:val="center"/>
              <w:rPr>
                <w:rFonts w:ascii="宋体"/>
                <w:kern w:val="2"/>
                <w:sz w:val="21"/>
                <w:szCs w:val="21"/>
              </w:rPr>
            </w:pPr>
            <w:r>
              <w:rPr>
                <w:rFonts w:hint="eastAsia" w:ascii="宋体"/>
                <w:kern w:val="2"/>
                <w:sz w:val="21"/>
                <w:szCs w:val="21"/>
              </w:rPr>
              <w:t>≥</w:t>
            </w:r>
            <w:r>
              <w:rPr>
                <w:rFonts w:hint="eastAsia" w:ascii="宋体" w:hAnsi="宋体" w:cs="Arial"/>
                <w:kern w:val="2"/>
                <w:sz w:val="21"/>
                <w:szCs w:val="21"/>
              </w:rPr>
              <w:t>90</w:t>
            </w:r>
          </w:p>
        </w:tc>
        <w:tc>
          <w:tcPr>
            <w:tcW w:w="1503" w:type="dxa"/>
            <w:vMerge w:val="continue"/>
            <w:tcBorders>
              <w:top w:val="single" w:color="auto" w:sz="2" w:space="0"/>
              <w:bottom w:val="single" w:color="auto" w:sz="2" w:space="0"/>
            </w:tcBorders>
            <w:shd w:val="clear" w:color="auto" w:fill="FFFFFF"/>
          </w:tcPr>
          <w:p w14:paraId="66599AF8">
            <w:pPr>
              <w:rPr>
                <w:rFonts w:ascii="宋体" w:hAnsi="宋体"/>
                <w:color w:val="000000"/>
                <w:kern w:val="2"/>
                <w:sz w:val="21"/>
                <w:szCs w:val="21"/>
              </w:rPr>
            </w:pPr>
          </w:p>
        </w:tc>
        <w:tc>
          <w:tcPr>
            <w:tcW w:w="1440" w:type="dxa"/>
            <w:vMerge w:val="continue"/>
            <w:tcBorders>
              <w:top w:val="single" w:color="auto" w:sz="2" w:space="0"/>
              <w:bottom w:val="single" w:color="auto" w:sz="2" w:space="0"/>
            </w:tcBorders>
            <w:shd w:val="clear" w:color="auto" w:fill="FFFFFF"/>
            <w:vAlign w:val="center"/>
          </w:tcPr>
          <w:p w14:paraId="169B1ABA">
            <w:pPr>
              <w:jc w:val="center"/>
              <w:rPr>
                <w:rFonts w:ascii="宋体" w:hAnsi="宋体"/>
                <w:color w:val="000000"/>
                <w:kern w:val="2"/>
                <w:sz w:val="21"/>
                <w:szCs w:val="21"/>
              </w:rPr>
            </w:pPr>
          </w:p>
        </w:tc>
      </w:tr>
      <w:tr w14:paraId="6BE5E2AC">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cantSplit/>
          <w:trHeight w:val="411" w:hRule="atLeast"/>
        </w:trPr>
        <w:tc>
          <w:tcPr>
            <w:tcW w:w="1134" w:type="dxa"/>
            <w:vMerge w:val="restart"/>
            <w:tcBorders>
              <w:top w:val="single" w:color="auto" w:sz="2" w:space="0"/>
            </w:tcBorders>
            <w:shd w:val="clear" w:color="auto" w:fill="FFFFFF"/>
            <w:vAlign w:val="center"/>
          </w:tcPr>
          <w:p w14:paraId="266F30D8">
            <w:pPr>
              <w:jc w:val="center"/>
              <w:rPr>
                <w:rFonts w:ascii="宋体" w:hAnsi="宋体"/>
                <w:b/>
                <w:color w:val="000000"/>
                <w:kern w:val="2"/>
                <w:sz w:val="21"/>
                <w:szCs w:val="21"/>
              </w:rPr>
            </w:pPr>
            <w:r>
              <w:rPr>
                <w:rFonts w:hint="eastAsia" w:ascii="宋体" w:hAnsi="宋体"/>
                <w:b/>
                <w:color w:val="000000"/>
                <w:kern w:val="2"/>
                <w:sz w:val="21"/>
                <w:szCs w:val="21"/>
              </w:rPr>
              <w:t>财务管理</w:t>
            </w:r>
          </w:p>
        </w:tc>
        <w:tc>
          <w:tcPr>
            <w:tcW w:w="1985" w:type="dxa"/>
            <w:vMerge w:val="restart"/>
            <w:tcBorders>
              <w:top w:val="single" w:color="auto" w:sz="2" w:space="0"/>
            </w:tcBorders>
            <w:shd w:val="clear" w:color="auto" w:fill="FFFFFF"/>
            <w:vAlign w:val="center"/>
          </w:tcPr>
          <w:p w14:paraId="12B194D4">
            <w:pPr>
              <w:rPr>
                <w:color w:val="000000"/>
                <w:kern w:val="2"/>
                <w:sz w:val="21"/>
                <w:szCs w:val="21"/>
              </w:rPr>
            </w:pPr>
            <w:r>
              <w:rPr>
                <w:rFonts w:hint="eastAsia"/>
                <w:kern w:val="2"/>
                <w:sz w:val="21"/>
                <w:szCs w:val="21"/>
              </w:rPr>
              <w:t>提高资产效能</w:t>
            </w:r>
          </w:p>
          <w:p w14:paraId="41A751FF">
            <w:pPr>
              <w:rPr>
                <w:rFonts w:ascii="宋体" w:hAnsi="宋体"/>
                <w:color w:val="000000"/>
                <w:kern w:val="2"/>
                <w:sz w:val="21"/>
                <w:szCs w:val="21"/>
              </w:rPr>
            </w:pPr>
            <w:r>
              <w:rPr>
                <w:rFonts w:hint="eastAsia"/>
                <w:color w:val="000000"/>
                <w:kern w:val="2"/>
                <w:sz w:val="21"/>
                <w:szCs w:val="21"/>
              </w:rPr>
              <w:t>降低产品成本</w:t>
            </w:r>
          </w:p>
        </w:tc>
        <w:tc>
          <w:tcPr>
            <w:tcW w:w="2126" w:type="dxa"/>
            <w:tcBorders>
              <w:top w:val="single" w:color="auto" w:sz="2" w:space="0"/>
              <w:bottom w:val="single" w:color="auto" w:sz="4" w:space="0"/>
            </w:tcBorders>
            <w:shd w:val="clear" w:color="auto" w:fill="FFFFFF"/>
            <w:vAlign w:val="center"/>
          </w:tcPr>
          <w:p w14:paraId="4B017A54">
            <w:pPr>
              <w:jc w:val="both"/>
              <w:rPr>
                <w:rFonts w:ascii="宋体" w:hAnsi="宋体"/>
                <w:color w:val="000000"/>
                <w:kern w:val="2"/>
                <w:sz w:val="21"/>
                <w:szCs w:val="21"/>
              </w:rPr>
            </w:pPr>
            <w:r>
              <w:rPr>
                <w:rFonts w:hint="eastAsia" w:ascii="宋体" w:hAnsi="宋体"/>
                <w:kern w:val="2"/>
                <w:sz w:val="21"/>
                <w:szCs w:val="21"/>
              </w:rPr>
              <w:t>流动资产周转率/次</w:t>
            </w:r>
          </w:p>
        </w:tc>
        <w:tc>
          <w:tcPr>
            <w:tcW w:w="992" w:type="dxa"/>
            <w:tcBorders>
              <w:top w:val="single" w:color="auto" w:sz="2" w:space="0"/>
              <w:bottom w:val="single" w:color="auto" w:sz="4" w:space="0"/>
            </w:tcBorders>
            <w:shd w:val="clear" w:color="auto" w:fill="FFFFFF"/>
            <w:vAlign w:val="center"/>
          </w:tcPr>
          <w:p w14:paraId="12BEC86D">
            <w:pPr>
              <w:jc w:val="center"/>
              <w:rPr>
                <w:rFonts w:ascii="宋体" w:hAnsi="宋体"/>
                <w:kern w:val="2"/>
                <w:sz w:val="21"/>
                <w:szCs w:val="21"/>
              </w:rPr>
            </w:pPr>
            <w:r>
              <w:rPr>
                <w:rFonts w:hint="eastAsia" w:ascii="宋体"/>
                <w:kern w:val="2"/>
                <w:sz w:val="21"/>
                <w:szCs w:val="21"/>
              </w:rPr>
              <w:t>≥1</w:t>
            </w:r>
          </w:p>
        </w:tc>
        <w:tc>
          <w:tcPr>
            <w:tcW w:w="1503" w:type="dxa"/>
            <w:vMerge w:val="restart"/>
            <w:tcBorders>
              <w:top w:val="single" w:color="auto" w:sz="2" w:space="0"/>
              <w:bottom w:val="single" w:color="auto" w:sz="2" w:space="0"/>
            </w:tcBorders>
            <w:shd w:val="clear" w:color="auto" w:fill="FFFFFF"/>
            <w:vAlign w:val="center"/>
          </w:tcPr>
          <w:p w14:paraId="3C1BC441">
            <w:pPr>
              <w:jc w:val="center"/>
              <w:rPr>
                <w:rFonts w:ascii="宋体" w:hAnsi="宋体"/>
                <w:bCs/>
                <w:color w:val="000000"/>
                <w:kern w:val="2"/>
                <w:sz w:val="21"/>
                <w:szCs w:val="21"/>
              </w:rPr>
            </w:pPr>
            <w:r>
              <w:rPr>
                <w:rFonts w:hint="eastAsia" w:ascii="宋体" w:hAnsi="宋体"/>
                <w:bCs/>
                <w:color w:val="000000"/>
                <w:kern w:val="2"/>
                <w:sz w:val="21"/>
                <w:szCs w:val="21"/>
                <w:lang w:eastAsia="zh-CN"/>
              </w:rPr>
              <w:t>财物管理</w:t>
            </w:r>
            <w:r>
              <w:rPr>
                <w:rFonts w:hint="eastAsia" w:ascii="宋体" w:hAnsi="宋体"/>
                <w:bCs/>
                <w:color w:val="000000"/>
                <w:kern w:val="2"/>
                <w:sz w:val="21"/>
                <w:szCs w:val="21"/>
              </w:rPr>
              <w:t>系统</w:t>
            </w:r>
          </w:p>
          <w:p w14:paraId="1044D678">
            <w:pPr>
              <w:jc w:val="center"/>
              <w:rPr>
                <w:rFonts w:ascii="宋体" w:hAnsi="宋体"/>
                <w:bCs/>
                <w:color w:val="000000"/>
                <w:kern w:val="2"/>
                <w:sz w:val="21"/>
                <w:szCs w:val="21"/>
              </w:rPr>
            </w:pPr>
            <w:r>
              <w:rPr>
                <w:rFonts w:hint="eastAsia" w:ascii="宋体" w:hAnsi="宋体"/>
                <w:bCs/>
                <w:color w:val="000000"/>
                <w:kern w:val="2"/>
                <w:sz w:val="21"/>
                <w:szCs w:val="21"/>
              </w:rPr>
              <w:t>统计分析</w:t>
            </w:r>
          </w:p>
        </w:tc>
        <w:tc>
          <w:tcPr>
            <w:tcW w:w="1440" w:type="dxa"/>
            <w:vMerge w:val="restart"/>
            <w:tcBorders>
              <w:top w:val="single" w:color="auto" w:sz="2" w:space="0"/>
              <w:bottom w:val="single" w:color="auto" w:sz="2" w:space="0"/>
            </w:tcBorders>
            <w:shd w:val="clear" w:color="auto" w:fill="FFFFFF"/>
            <w:vAlign w:val="center"/>
          </w:tcPr>
          <w:p w14:paraId="3BE47FCD">
            <w:pPr>
              <w:jc w:val="center"/>
              <w:rPr>
                <w:rFonts w:ascii="宋体" w:hAnsi="宋体"/>
                <w:bCs/>
                <w:color w:val="000000"/>
                <w:kern w:val="2"/>
                <w:sz w:val="21"/>
                <w:szCs w:val="21"/>
              </w:rPr>
            </w:pPr>
            <w:r>
              <w:rPr>
                <w:rFonts w:hint="eastAsia" w:ascii="宋体" w:hAnsi="宋体"/>
                <w:bCs/>
                <w:color w:val="000000"/>
                <w:kern w:val="2"/>
                <w:sz w:val="21"/>
                <w:szCs w:val="21"/>
              </w:rPr>
              <w:t>财务部</w:t>
            </w:r>
          </w:p>
          <w:p w14:paraId="4807BCE1">
            <w:pPr>
              <w:jc w:val="center"/>
              <w:rPr>
                <w:rFonts w:ascii="宋体" w:hAnsi="宋体"/>
                <w:bCs/>
                <w:color w:val="000000"/>
                <w:kern w:val="2"/>
                <w:sz w:val="21"/>
                <w:szCs w:val="21"/>
              </w:rPr>
            </w:pPr>
          </w:p>
        </w:tc>
      </w:tr>
      <w:tr w14:paraId="0550266F">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cantSplit/>
          <w:trHeight w:val="413" w:hRule="atLeast"/>
        </w:trPr>
        <w:tc>
          <w:tcPr>
            <w:tcW w:w="1134" w:type="dxa"/>
            <w:vMerge w:val="continue"/>
            <w:tcBorders>
              <w:bottom w:val="single" w:color="auto" w:sz="2" w:space="0"/>
            </w:tcBorders>
            <w:shd w:val="clear" w:color="auto" w:fill="FFFFFF"/>
            <w:vAlign w:val="center"/>
          </w:tcPr>
          <w:p w14:paraId="6D35BFA4">
            <w:pPr>
              <w:jc w:val="center"/>
              <w:rPr>
                <w:rFonts w:ascii="宋体" w:hAnsi="宋体"/>
                <w:b/>
                <w:color w:val="000000"/>
                <w:kern w:val="2"/>
                <w:sz w:val="21"/>
                <w:szCs w:val="21"/>
              </w:rPr>
            </w:pPr>
          </w:p>
        </w:tc>
        <w:tc>
          <w:tcPr>
            <w:tcW w:w="1985" w:type="dxa"/>
            <w:vMerge w:val="continue"/>
            <w:tcBorders>
              <w:bottom w:val="single" w:color="auto" w:sz="2" w:space="0"/>
            </w:tcBorders>
            <w:shd w:val="clear" w:color="auto" w:fill="FFFFFF"/>
            <w:vAlign w:val="center"/>
          </w:tcPr>
          <w:p w14:paraId="4205EACB">
            <w:pPr>
              <w:rPr>
                <w:kern w:val="2"/>
                <w:sz w:val="21"/>
                <w:szCs w:val="21"/>
              </w:rPr>
            </w:pPr>
          </w:p>
        </w:tc>
        <w:tc>
          <w:tcPr>
            <w:tcW w:w="2126" w:type="dxa"/>
            <w:tcBorders>
              <w:top w:val="single" w:color="auto" w:sz="4" w:space="0"/>
              <w:bottom w:val="single" w:color="auto" w:sz="2" w:space="0"/>
            </w:tcBorders>
            <w:shd w:val="clear" w:color="auto" w:fill="FFFFFF"/>
            <w:vAlign w:val="center"/>
          </w:tcPr>
          <w:p w14:paraId="780D3D18">
            <w:pPr>
              <w:jc w:val="both"/>
              <w:rPr>
                <w:rFonts w:ascii="宋体" w:hAnsi="宋体"/>
                <w:kern w:val="2"/>
                <w:sz w:val="21"/>
                <w:szCs w:val="21"/>
              </w:rPr>
            </w:pPr>
            <w:r>
              <w:rPr>
                <w:color w:val="000000"/>
                <w:kern w:val="2"/>
                <w:sz w:val="21"/>
                <w:szCs w:val="21"/>
              </w:rPr>
              <w:t>成本费用降低率</w:t>
            </w:r>
            <w:r>
              <w:rPr>
                <w:rFonts w:hint="eastAsia" w:ascii="宋体" w:hAnsi="宋体"/>
                <w:bCs/>
                <w:color w:val="000000"/>
                <w:kern w:val="2"/>
                <w:sz w:val="21"/>
                <w:szCs w:val="21"/>
              </w:rPr>
              <w:t>/%</w:t>
            </w:r>
          </w:p>
        </w:tc>
        <w:tc>
          <w:tcPr>
            <w:tcW w:w="992" w:type="dxa"/>
            <w:tcBorders>
              <w:top w:val="single" w:color="auto" w:sz="4" w:space="0"/>
              <w:bottom w:val="single" w:color="auto" w:sz="2" w:space="0"/>
            </w:tcBorders>
            <w:shd w:val="clear" w:color="auto" w:fill="FFFFFF"/>
            <w:vAlign w:val="center"/>
          </w:tcPr>
          <w:p w14:paraId="2EEDA945">
            <w:pPr>
              <w:jc w:val="center"/>
              <w:rPr>
                <w:rFonts w:ascii="宋体"/>
                <w:kern w:val="2"/>
                <w:sz w:val="21"/>
                <w:szCs w:val="21"/>
              </w:rPr>
            </w:pPr>
            <w:r>
              <w:rPr>
                <w:rFonts w:hint="eastAsia" w:ascii="宋体"/>
                <w:kern w:val="2"/>
                <w:sz w:val="21"/>
                <w:szCs w:val="21"/>
              </w:rPr>
              <w:t>≥2</w:t>
            </w:r>
          </w:p>
        </w:tc>
        <w:tc>
          <w:tcPr>
            <w:tcW w:w="1503" w:type="dxa"/>
            <w:vMerge w:val="continue"/>
            <w:tcBorders>
              <w:top w:val="single" w:color="auto" w:sz="2" w:space="0"/>
              <w:bottom w:val="single" w:color="auto" w:sz="2" w:space="0"/>
            </w:tcBorders>
            <w:shd w:val="clear" w:color="auto" w:fill="FFFFFF"/>
          </w:tcPr>
          <w:p w14:paraId="6E83971A">
            <w:pPr>
              <w:rPr>
                <w:rFonts w:ascii="宋体" w:hAnsi="宋体"/>
                <w:bCs/>
                <w:color w:val="000000"/>
                <w:kern w:val="2"/>
                <w:sz w:val="21"/>
                <w:szCs w:val="21"/>
              </w:rPr>
            </w:pPr>
          </w:p>
        </w:tc>
        <w:tc>
          <w:tcPr>
            <w:tcW w:w="1440" w:type="dxa"/>
            <w:vMerge w:val="continue"/>
            <w:tcBorders>
              <w:top w:val="single" w:color="auto" w:sz="2" w:space="0"/>
              <w:bottom w:val="single" w:color="auto" w:sz="2" w:space="0"/>
            </w:tcBorders>
            <w:shd w:val="clear" w:color="auto" w:fill="FFFFFF"/>
            <w:vAlign w:val="center"/>
          </w:tcPr>
          <w:p w14:paraId="4948B4E2">
            <w:pPr>
              <w:jc w:val="center"/>
              <w:rPr>
                <w:rFonts w:ascii="宋体" w:hAnsi="宋体"/>
                <w:bCs/>
                <w:color w:val="000000"/>
                <w:kern w:val="2"/>
                <w:sz w:val="21"/>
                <w:szCs w:val="21"/>
              </w:rPr>
            </w:pPr>
          </w:p>
        </w:tc>
      </w:tr>
      <w:tr w14:paraId="5280CBD7">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cantSplit/>
          <w:trHeight w:val="424" w:hRule="atLeast"/>
        </w:trPr>
        <w:tc>
          <w:tcPr>
            <w:tcW w:w="1134" w:type="dxa"/>
            <w:vMerge w:val="restart"/>
            <w:tcBorders>
              <w:top w:val="single" w:color="auto" w:sz="2" w:space="0"/>
            </w:tcBorders>
            <w:shd w:val="clear" w:color="auto" w:fill="FFFFFF"/>
            <w:vAlign w:val="center"/>
          </w:tcPr>
          <w:p w14:paraId="6EDF2C1D">
            <w:pPr>
              <w:jc w:val="center"/>
              <w:rPr>
                <w:rFonts w:ascii="宋体" w:hAnsi="宋体"/>
                <w:b/>
                <w:color w:val="000000"/>
                <w:kern w:val="2"/>
                <w:sz w:val="21"/>
                <w:szCs w:val="21"/>
              </w:rPr>
            </w:pPr>
            <w:r>
              <w:rPr>
                <w:rFonts w:hint="eastAsia" w:ascii="宋体" w:hAnsi="宋体"/>
                <w:b/>
                <w:color w:val="000000"/>
                <w:kern w:val="2"/>
                <w:sz w:val="21"/>
                <w:szCs w:val="21"/>
              </w:rPr>
              <w:t>设备管理</w:t>
            </w:r>
          </w:p>
        </w:tc>
        <w:tc>
          <w:tcPr>
            <w:tcW w:w="1985" w:type="dxa"/>
            <w:vMerge w:val="restart"/>
            <w:tcBorders>
              <w:top w:val="single" w:color="auto" w:sz="2" w:space="0"/>
            </w:tcBorders>
            <w:shd w:val="clear" w:color="auto" w:fill="FFFFFF"/>
            <w:vAlign w:val="center"/>
          </w:tcPr>
          <w:p w14:paraId="02AC52CB">
            <w:pPr>
              <w:rPr>
                <w:rFonts w:ascii="宋体" w:hAnsi="宋体"/>
                <w:snapToGrid w:val="0"/>
                <w:color w:val="000000"/>
                <w:kern w:val="2"/>
                <w:sz w:val="21"/>
                <w:szCs w:val="21"/>
              </w:rPr>
            </w:pPr>
            <w:r>
              <w:rPr>
                <w:rFonts w:hint="eastAsia" w:ascii="宋体" w:hAnsi="宋体"/>
                <w:snapToGrid w:val="0"/>
                <w:color w:val="000000"/>
                <w:kern w:val="2"/>
                <w:sz w:val="21"/>
                <w:szCs w:val="21"/>
              </w:rPr>
              <w:t>设备完好、可靠、适用、高效</w:t>
            </w:r>
          </w:p>
        </w:tc>
        <w:tc>
          <w:tcPr>
            <w:tcW w:w="2126" w:type="dxa"/>
            <w:tcBorders>
              <w:top w:val="single" w:color="auto" w:sz="2" w:space="0"/>
              <w:bottom w:val="single" w:color="auto" w:sz="4" w:space="0"/>
            </w:tcBorders>
            <w:shd w:val="clear" w:color="auto" w:fill="FFFFFF"/>
            <w:vAlign w:val="center"/>
          </w:tcPr>
          <w:p w14:paraId="27F0EBC5">
            <w:pPr>
              <w:autoSpaceDE w:val="0"/>
              <w:autoSpaceDN w:val="0"/>
              <w:adjustRightInd w:val="0"/>
              <w:jc w:val="both"/>
              <w:rPr>
                <w:rFonts w:ascii="宋体" w:hAnsi="宋体"/>
                <w:snapToGrid w:val="0"/>
                <w:color w:val="000000"/>
                <w:kern w:val="2"/>
                <w:sz w:val="21"/>
                <w:szCs w:val="21"/>
              </w:rPr>
            </w:pPr>
            <w:r>
              <w:rPr>
                <w:rFonts w:hint="eastAsia" w:ascii="宋体" w:hAnsi="宋体"/>
                <w:snapToGrid w:val="0"/>
                <w:color w:val="000000"/>
                <w:kern w:val="2"/>
                <w:sz w:val="21"/>
                <w:szCs w:val="21"/>
              </w:rPr>
              <w:t>设备故障停机率</w:t>
            </w:r>
            <w:r>
              <w:rPr>
                <w:rFonts w:hint="eastAsia" w:ascii="宋体" w:hAnsi="宋体"/>
                <w:bCs/>
                <w:color w:val="000000"/>
                <w:kern w:val="2"/>
                <w:sz w:val="21"/>
                <w:szCs w:val="21"/>
              </w:rPr>
              <w:t>/%</w:t>
            </w:r>
          </w:p>
        </w:tc>
        <w:tc>
          <w:tcPr>
            <w:tcW w:w="992" w:type="dxa"/>
            <w:tcBorders>
              <w:top w:val="single" w:color="auto" w:sz="2" w:space="0"/>
              <w:bottom w:val="single" w:color="auto" w:sz="4" w:space="0"/>
            </w:tcBorders>
            <w:shd w:val="clear" w:color="auto" w:fill="FFFFFF"/>
            <w:vAlign w:val="center"/>
          </w:tcPr>
          <w:p w14:paraId="6091BCFC">
            <w:pPr>
              <w:jc w:val="center"/>
              <w:rPr>
                <w:rFonts w:ascii="宋体" w:hAnsi="宋体"/>
                <w:kern w:val="2"/>
                <w:sz w:val="21"/>
                <w:szCs w:val="21"/>
              </w:rPr>
            </w:pPr>
            <w:r>
              <w:rPr>
                <w:rFonts w:hint="eastAsia" w:ascii="宋体" w:hAnsi="宋体"/>
                <w:kern w:val="2"/>
                <w:sz w:val="21"/>
                <w:szCs w:val="21"/>
              </w:rPr>
              <w:t>0.5</w:t>
            </w:r>
          </w:p>
        </w:tc>
        <w:tc>
          <w:tcPr>
            <w:tcW w:w="1503" w:type="dxa"/>
            <w:vMerge w:val="restart"/>
            <w:tcBorders>
              <w:top w:val="single" w:color="auto" w:sz="2" w:space="0"/>
              <w:bottom w:val="single" w:color="auto" w:sz="2" w:space="0"/>
            </w:tcBorders>
            <w:shd w:val="clear" w:color="auto" w:fill="FFFFFF"/>
            <w:vAlign w:val="center"/>
          </w:tcPr>
          <w:p w14:paraId="520BE6EA">
            <w:pPr>
              <w:autoSpaceDE w:val="0"/>
              <w:autoSpaceDN w:val="0"/>
              <w:adjustRightInd w:val="0"/>
              <w:jc w:val="center"/>
              <w:rPr>
                <w:rFonts w:ascii="宋体" w:hAnsi="宋体"/>
                <w:color w:val="000000"/>
                <w:kern w:val="2"/>
                <w:sz w:val="21"/>
                <w:szCs w:val="21"/>
              </w:rPr>
            </w:pPr>
            <w:r>
              <w:rPr>
                <w:rFonts w:hint="eastAsia" w:ascii="宋体" w:hAnsi="宋体"/>
                <w:bCs/>
                <w:color w:val="000000"/>
                <w:kern w:val="2"/>
                <w:sz w:val="21"/>
                <w:szCs w:val="21"/>
                <w:lang w:eastAsia="zh-CN"/>
              </w:rPr>
              <w:t>财物管理</w:t>
            </w:r>
            <w:r>
              <w:rPr>
                <w:rFonts w:hint="eastAsia" w:ascii="宋体" w:hAnsi="宋体"/>
                <w:bCs/>
                <w:color w:val="000000"/>
                <w:kern w:val="2"/>
                <w:sz w:val="21"/>
                <w:szCs w:val="21"/>
              </w:rPr>
              <w:t>系统</w:t>
            </w:r>
          </w:p>
          <w:p w14:paraId="2DA670E8">
            <w:pPr>
              <w:autoSpaceDE w:val="0"/>
              <w:autoSpaceDN w:val="0"/>
              <w:adjustRightInd w:val="0"/>
              <w:jc w:val="center"/>
              <w:rPr>
                <w:rFonts w:ascii="宋体" w:hAnsi="宋体"/>
                <w:color w:val="000000"/>
                <w:kern w:val="2"/>
                <w:sz w:val="21"/>
                <w:szCs w:val="21"/>
              </w:rPr>
            </w:pPr>
            <w:r>
              <w:rPr>
                <w:rFonts w:hint="eastAsia" w:ascii="宋体" w:hAnsi="宋体"/>
                <w:bCs/>
                <w:color w:val="000000"/>
                <w:kern w:val="2"/>
                <w:sz w:val="21"/>
                <w:szCs w:val="21"/>
              </w:rPr>
              <w:t>统计分析</w:t>
            </w:r>
          </w:p>
        </w:tc>
        <w:tc>
          <w:tcPr>
            <w:tcW w:w="1440" w:type="dxa"/>
            <w:vMerge w:val="restart"/>
            <w:tcBorders>
              <w:top w:val="single" w:color="auto" w:sz="2" w:space="0"/>
              <w:bottom w:val="single" w:color="auto" w:sz="2" w:space="0"/>
            </w:tcBorders>
            <w:shd w:val="clear" w:color="auto" w:fill="FFFFFF"/>
            <w:vAlign w:val="center"/>
          </w:tcPr>
          <w:p w14:paraId="65463C36">
            <w:pPr>
              <w:jc w:val="center"/>
              <w:rPr>
                <w:rFonts w:ascii="宋体" w:hAnsi="宋体"/>
                <w:color w:val="000000"/>
                <w:kern w:val="2"/>
                <w:sz w:val="21"/>
                <w:szCs w:val="21"/>
              </w:rPr>
            </w:pPr>
            <w:r>
              <w:rPr>
                <w:rFonts w:hint="eastAsia" w:ascii="宋体" w:hAnsi="宋体"/>
                <w:color w:val="000000"/>
                <w:kern w:val="2"/>
                <w:sz w:val="21"/>
                <w:szCs w:val="21"/>
              </w:rPr>
              <w:t>设备部</w:t>
            </w:r>
          </w:p>
        </w:tc>
      </w:tr>
      <w:tr w14:paraId="3B710275">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cantSplit/>
          <w:trHeight w:val="434" w:hRule="atLeast"/>
        </w:trPr>
        <w:tc>
          <w:tcPr>
            <w:tcW w:w="1134" w:type="dxa"/>
            <w:vMerge w:val="continue"/>
            <w:tcBorders>
              <w:bottom w:val="single" w:color="auto" w:sz="2" w:space="0"/>
            </w:tcBorders>
            <w:shd w:val="clear" w:color="auto" w:fill="FFFFFF"/>
            <w:vAlign w:val="center"/>
          </w:tcPr>
          <w:p w14:paraId="3218EA59">
            <w:pPr>
              <w:jc w:val="center"/>
              <w:rPr>
                <w:rFonts w:ascii="宋体" w:hAnsi="宋体"/>
                <w:b/>
                <w:color w:val="000000"/>
                <w:kern w:val="2"/>
                <w:sz w:val="21"/>
                <w:szCs w:val="21"/>
              </w:rPr>
            </w:pPr>
          </w:p>
        </w:tc>
        <w:tc>
          <w:tcPr>
            <w:tcW w:w="1985" w:type="dxa"/>
            <w:vMerge w:val="continue"/>
            <w:tcBorders>
              <w:bottom w:val="single" w:color="auto" w:sz="2" w:space="0"/>
            </w:tcBorders>
            <w:shd w:val="clear" w:color="auto" w:fill="FFFFFF"/>
            <w:vAlign w:val="center"/>
          </w:tcPr>
          <w:p w14:paraId="00E319C0">
            <w:pPr>
              <w:rPr>
                <w:rFonts w:ascii="宋体" w:hAnsi="宋体"/>
                <w:snapToGrid w:val="0"/>
                <w:color w:val="000000"/>
                <w:kern w:val="2"/>
                <w:sz w:val="21"/>
                <w:szCs w:val="21"/>
              </w:rPr>
            </w:pPr>
          </w:p>
        </w:tc>
        <w:tc>
          <w:tcPr>
            <w:tcW w:w="2126" w:type="dxa"/>
            <w:tcBorders>
              <w:top w:val="single" w:color="auto" w:sz="4" w:space="0"/>
              <w:bottom w:val="single" w:color="auto" w:sz="2" w:space="0"/>
            </w:tcBorders>
            <w:shd w:val="clear" w:color="auto" w:fill="FFFFFF"/>
            <w:vAlign w:val="center"/>
          </w:tcPr>
          <w:p w14:paraId="235F7DD2">
            <w:pPr>
              <w:autoSpaceDE w:val="0"/>
              <w:autoSpaceDN w:val="0"/>
              <w:adjustRightInd w:val="0"/>
              <w:jc w:val="both"/>
              <w:rPr>
                <w:rFonts w:ascii="宋体" w:hAnsi="宋体"/>
                <w:snapToGrid w:val="0"/>
                <w:color w:val="000000"/>
                <w:kern w:val="2"/>
                <w:sz w:val="21"/>
                <w:szCs w:val="21"/>
              </w:rPr>
            </w:pPr>
            <w:r>
              <w:rPr>
                <w:rFonts w:hint="eastAsia" w:ascii="宋体" w:hAnsi="宋体"/>
                <w:snapToGrid w:val="0"/>
                <w:color w:val="000000"/>
                <w:kern w:val="2"/>
                <w:sz w:val="21"/>
                <w:szCs w:val="21"/>
              </w:rPr>
              <w:t>设备完好率</w:t>
            </w:r>
            <w:r>
              <w:rPr>
                <w:rFonts w:hint="eastAsia" w:ascii="宋体" w:hAnsi="宋体"/>
                <w:bCs/>
                <w:color w:val="000000"/>
                <w:kern w:val="2"/>
                <w:sz w:val="21"/>
                <w:szCs w:val="21"/>
              </w:rPr>
              <w:t>/%</w:t>
            </w:r>
          </w:p>
        </w:tc>
        <w:tc>
          <w:tcPr>
            <w:tcW w:w="992" w:type="dxa"/>
            <w:tcBorders>
              <w:top w:val="single" w:color="auto" w:sz="4" w:space="0"/>
              <w:bottom w:val="single" w:color="auto" w:sz="2" w:space="0"/>
            </w:tcBorders>
            <w:shd w:val="clear" w:color="auto" w:fill="FFFFFF"/>
            <w:vAlign w:val="center"/>
          </w:tcPr>
          <w:p w14:paraId="216A9511">
            <w:pPr>
              <w:jc w:val="center"/>
              <w:rPr>
                <w:rFonts w:ascii="宋体" w:hAnsi="宋体"/>
                <w:kern w:val="2"/>
                <w:sz w:val="21"/>
                <w:szCs w:val="21"/>
              </w:rPr>
            </w:pPr>
            <w:r>
              <w:rPr>
                <w:rFonts w:hint="eastAsia" w:ascii="宋体" w:hAnsi="宋体"/>
                <w:kern w:val="2"/>
                <w:sz w:val="21"/>
                <w:szCs w:val="21"/>
              </w:rPr>
              <w:t>98</w:t>
            </w:r>
          </w:p>
        </w:tc>
        <w:tc>
          <w:tcPr>
            <w:tcW w:w="1503" w:type="dxa"/>
            <w:vMerge w:val="continue"/>
            <w:tcBorders>
              <w:top w:val="single" w:color="auto" w:sz="2" w:space="0"/>
              <w:bottom w:val="single" w:color="auto" w:sz="2" w:space="0"/>
            </w:tcBorders>
            <w:shd w:val="clear" w:color="auto" w:fill="FFFFFF"/>
          </w:tcPr>
          <w:p w14:paraId="10E57FDD">
            <w:pPr>
              <w:autoSpaceDE w:val="0"/>
              <w:autoSpaceDN w:val="0"/>
              <w:adjustRightInd w:val="0"/>
              <w:rPr>
                <w:rFonts w:ascii="宋体" w:hAnsi="宋体"/>
                <w:bCs/>
                <w:color w:val="000000"/>
                <w:kern w:val="2"/>
                <w:sz w:val="21"/>
                <w:szCs w:val="21"/>
              </w:rPr>
            </w:pPr>
          </w:p>
        </w:tc>
        <w:tc>
          <w:tcPr>
            <w:tcW w:w="1440" w:type="dxa"/>
            <w:vMerge w:val="continue"/>
            <w:tcBorders>
              <w:top w:val="single" w:color="auto" w:sz="2" w:space="0"/>
              <w:bottom w:val="single" w:color="auto" w:sz="2" w:space="0"/>
            </w:tcBorders>
            <w:shd w:val="clear" w:color="auto" w:fill="FFFFFF"/>
            <w:vAlign w:val="center"/>
          </w:tcPr>
          <w:p w14:paraId="4F66F27A">
            <w:pPr>
              <w:jc w:val="center"/>
              <w:rPr>
                <w:rFonts w:ascii="宋体" w:hAnsi="宋体"/>
                <w:color w:val="000000"/>
                <w:kern w:val="2"/>
                <w:sz w:val="21"/>
                <w:szCs w:val="21"/>
              </w:rPr>
            </w:pPr>
          </w:p>
        </w:tc>
      </w:tr>
      <w:tr w14:paraId="61CD99E0">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cantSplit/>
          <w:trHeight w:val="615" w:hRule="atLeast"/>
        </w:trPr>
        <w:tc>
          <w:tcPr>
            <w:tcW w:w="1134" w:type="dxa"/>
            <w:vMerge w:val="restart"/>
            <w:tcBorders>
              <w:top w:val="single" w:color="auto" w:sz="2" w:space="0"/>
            </w:tcBorders>
            <w:shd w:val="clear" w:color="auto" w:fill="FFFFFF"/>
            <w:vAlign w:val="center"/>
          </w:tcPr>
          <w:p w14:paraId="79781346">
            <w:pPr>
              <w:jc w:val="center"/>
              <w:rPr>
                <w:rFonts w:ascii="宋体" w:hAnsi="宋体"/>
                <w:b/>
                <w:color w:val="000000"/>
                <w:kern w:val="2"/>
                <w:sz w:val="21"/>
                <w:szCs w:val="21"/>
              </w:rPr>
            </w:pPr>
            <w:r>
              <w:rPr>
                <w:rFonts w:hint="eastAsia" w:ascii="宋体" w:hAnsi="宋体"/>
                <w:b/>
                <w:color w:val="000000"/>
                <w:kern w:val="2"/>
                <w:sz w:val="21"/>
                <w:szCs w:val="21"/>
              </w:rPr>
              <w:t>信息管理</w:t>
            </w:r>
          </w:p>
        </w:tc>
        <w:tc>
          <w:tcPr>
            <w:tcW w:w="1985" w:type="dxa"/>
            <w:vMerge w:val="restart"/>
            <w:tcBorders>
              <w:top w:val="single" w:color="auto" w:sz="2" w:space="0"/>
            </w:tcBorders>
            <w:shd w:val="clear" w:color="auto" w:fill="FFFFFF"/>
            <w:vAlign w:val="center"/>
          </w:tcPr>
          <w:p w14:paraId="0E885D4B">
            <w:pPr>
              <w:rPr>
                <w:rFonts w:ascii="宋体" w:hAnsi="宋体"/>
                <w:color w:val="000000"/>
                <w:kern w:val="2"/>
                <w:sz w:val="21"/>
                <w:szCs w:val="21"/>
              </w:rPr>
            </w:pPr>
            <w:r>
              <w:rPr>
                <w:rFonts w:hint="eastAsia"/>
                <w:color w:val="000000"/>
                <w:kern w:val="2"/>
                <w:sz w:val="21"/>
                <w:szCs w:val="21"/>
              </w:rPr>
              <w:t>及时、准确、完整、集成、安全</w:t>
            </w:r>
          </w:p>
        </w:tc>
        <w:tc>
          <w:tcPr>
            <w:tcW w:w="2126" w:type="dxa"/>
            <w:tcBorders>
              <w:top w:val="single" w:color="auto" w:sz="2" w:space="0"/>
              <w:bottom w:val="single" w:color="auto" w:sz="4" w:space="0"/>
            </w:tcBorders>
            <w:shd w:val="clear" w:color="auto" w:fill="FFFFFF"/>
            <w:vAlign w:val="center"/>
          </w:tcPr>
          <w:p w14:paraId="206FB946">
            <w:pPr>
              <w:rPr>
                <w:rFonts w:ascii="宋体" w:hAnsi="宋体"/>
                <w:color w:val="000000"/>
                <w:kern w:val="2"/>
                <w:sz w:val="21"/>
                <w:szCs w:val="21"/>
              </w:rPr>
            </w:pPr>
            <w:r>
              <w:rPr>
                <w:rFonts w:ascii="宋体" w:hAnsi="宋体"/>
                <w:bCs/>
                <w:color w:val="000000"/>
                <w:kern w:val="2"/>
                <w:sz w:val="21"/>
                <w:szCs w:val="21"/>
              </w:rPr>
              <w:t>决策信息化利用水平</w:t>
            </w:r>
            <w:r>
              <w:rPr>
                <w:rFonts w:hint="eastAsia" w:ascii="宋体" w:hAnsi="宋体"/>
                <w:bCs/>
                <w:color w:val="000000"/>
                <w:kern w:val="2"/>
                <w:sz w:val="21"/>
                <w:szCs w:val="21"/>
              </w:rPr>
              <w:t>/%</w:t>
            </w:r>
          </w:p>
        </w:tc>
        <w:tc>
          <w:tcPr>
            <w:tcW w:w="992" w:type="dxa"/>
            <w:tcBorders>
              <w:top w:val="single" w:color="auto" w:sz="2" w:space="0"/>
              <w:bottom w:val="single" w:color="auto" w:sz="4" w:space="0"/>
            </w:tcBorders>
            <w:shd w:val="clear" w:color="auto" w:fill="FFFFFF"/>
            <w:vAlign w:val="center"/>
          </w:tcPr>
          <w:p w14:paraId="792380A7">
            <w:pPr>
              <w:jc w:val="center"/>
              <w:rPr>
                <w:rFonts w:ascii="宋体" w:hAnsi="宋体"/>
                <w:bCs/>
                <w:kern w:val="2"/>
                <w:sz w:val="21"/>
                <w:szCs w:val="21"/>
              </w:rPr>
            </w:pPr>
            <w:r>
              <w:rPr>
                <w:rFonts w:hint="eastAsia" w:ascii="宋体"/>
                <w:kern w:val="2"/>
                <w:sz w:val="21"/>
                <w:szCs w:val="21"/>
              </w:rPr>
              <w:t>98</w:t>
            </w:r>
          </w:p>
        </w:tc>
        <w:tc>
          <w:tcPr>
            <w:tcW w:w="1503" w:type="dxa"/>
            <w:vMerge w:val="restart"/>
            <w:tcBorders>
              <w:top w:val="single" w:color="auto" w:sz="2" w:space="0"/>
              <w:bottom w:val="single" w:color="auto" w:sz="2" w:space="0"/>
            </w:tcBorders>
            <w:shd w:val="clear" w:color="auto" w:fill="FFFFFF"/>
            <w:vAlign w:val="center"/>
          </w:tcPr>
          <w:p w14:paraId="620B78C8">
            <w:pPr>
              <w:autoSpaceDE w:val="0"/>
              <w:autoSpaceDN w:val="0"/>
              <w:adjustRightInd w:val="0"/>
              <w:jc w:val="center"/>
              <w:rPr>
                <w:rFonts w:ascii="宋体" w:hAnsi="宋体"/>
                <w:color w:val="000000"/>
                <w:kern w:val="2"/>
                <w:sz w:val="21"/>
                <w:szCs w:val="21"/>
              </w:rPr>
            </w:pPr>
            <w:r>
              <w:rPr>
                <w:rFonts w:hint="eastAsia" w:ascii="宋体" w:hAnsi="宋体"/>
                <w:bCs/>
                <w:color w:val="000000"/>
                <w:kern w:val="2"/>
                <w:sz w:val="21"/>
                <w:szCs w:val="21"/>
                <w:lang w:eastAsia="zh-CN"/>
              </w:rPr>
              <w:t>财物管理</w:t>
            </w:r>
            <w:r>
              <w:rPr>
                <w:rFonts w:hint="eastAsia" w:ascii="宋体" w:hAnsi="宋体"/>
                <w:bCs/>
                <w:color w:val="000000"/>
                <w:kern w:val="2"/>
                <w:sz w:val="21"/>
                <w:szCs w:val="21"/>
              </w:rPr>
              <w:t>系统</w:t>
            </w:r>
          </w:p>
          <w:p w14:paraId="6D258312">
            <w:pPr>
              <w:jc w:val="center"/>
              <w:rPr>
                <w:rFonts w:ascii="宋体" w:hAnsi="宋体"/>
                <w:color w:val="000000"/>
                <w:kern w:val="2"/>
                <w:sz w:val="21"/>
                <w:szCs w:val="21"/>
              </w:rPr>
            </w:pPr>
            <w:r>
              <w:rPr>
                <w:rFonts w:hint="eastAsia" w:ascii="宋体" w:hAnsi="宋体"/>
                <w:bCs/>
                <w:color w:val="000000"/>
                <w:kern w:val="2"/>
                <w:sz w:val="21"/>
                <w:szCs w:val="21"/>
              </w:rPr>
              <w:t>统计分析</w:t>
            </w:r>
          </w:p>
        </w:tc>
        <w:tc>
          <w:tcPr>
            <w:tcW w:w="1440" w:type="dxa"/>
            <w:vMerge w:val="restart"/>
            <w:tcBorders>
              <w:top w:val="single" w:color="auto" w:sz="2" w:space="0"/>
              <w:bottom w:val="single" w:color="auto" w:sz="2" w:space="0"/>
            </w:tcBorders>
            <w:shd w:val="clear" w:color="auto" w:fill="FFFFFF"/>
            <w:vAlign w:val="center"/>
          </w:tcPr>
          <w:p w14:paraId="53223164">
            <w:pPr>
              <w:jc w:val="center"/>
              <w:rPr>
                <w:rFonts w:ascii="宋体" w:hAnsi="宋体"/>
                <w:color w:val="000000"/>
                <w:kern w:val="2"/>
                <w:sz w:val="21"/>
                <w:szCs w:val="21"/>
              </w:rPr>
            </w:pPr>
            <w:r>
              <w:rPr>
                <w:rFonts w:hint="eastAsia" w:ascii="宋体" w:hAnsi="宋体"/>
                <w:color w:val="000000"/>
                <w:kern w:val="2"/>
                <w:sz w:val="21"/>
                <w:szCs w:val="21"/>
              </w:rPr>
              <w:t>行政部</w:t>
            </w:r>
          </w:p>
        </w:tc>
      </w:tr>
      <w:tr w14:paraId="72112978">
        <w:tblPrEx>
          <w:tblBorders>
            <w:top w:val="double" w:color="auto" w:sz="4" w:space="0"/>
            <w:left w:val="double" w:color="auto" w:sz="4" w:space="0"/>
            <w:bottom w:val="double" w:color="auto" w:sz="4" w:space="0"/>
            <w:right w:val="double" w:color="auto" w:sz="4" w:space="0"/>
            <w:insideH w:val="single" w:color="auto" w:sz="2" w:space="0"/>
            <w:insideV w:val="single" w:color="auto" w:sz="2" w:space="0"/>
          </w:tblBorders>
          <w:tblCellMar>
            <w:top w:w="0" w:type="dxa"/>
            <w:left w:w="108" w:type="dxa"/>
            <w:bottom w:w="0" w:type="dxa"/>
            <w:right w:w="108" w:type="dxa"/>
          </w:tblCellMar>
        </w:tblPrEx>
        <w:trPr>
          <w:cantSplit/>
          <w:trHeight w:val="752" w:hRule="atLeast"/>
        </w:trPr>
        <w:tc>
          <w:tcPr>
            <w:tcW w:w="1134" w:type="dxa"/>
            <w:vMerge w:val="continue"/>
            <w:tcBorders>
              <w:bottom w:val="double" w:color="auto" w:sz="4" w:space="0"/>
            </w:tcBorders>
            <w:shd w:val="clear" w:color="auto" w:fill="99CCFF"/>
            <w:vAlign w:val="center"/>
          </w:tcPr>
          <w:p w14:paraId="27950A55">
            <w:pPr>
              <w:jc w:val="center"/>
              <w:rPr>
                <w:rFonts w:ascii="宋体" w:hAnsi="宋体"/>
                <w:b/>
                <w:color w:val="000000"/>
                <w:kern w:val="2"/>
                <w:szCs w:val="21"/>
              </w:rPr>
            </w:pPr>
          </w:p>
        </w:tc>
        <w:tc>
          <w:tcPr>
            <w:tcW w:w="1985" w:type="dxa"/>
            <w:vMerge w:val="continue"/>
            <w:tcBorders>
              <w:bottom w:val="double" w:color="auto" w:sz="4" w:space="0"/>
            </w:tcBorders>
            <w:shd w:val="clear" w:color="auto" w:fill="99CCFF"/>
            <w:vAlign w:val="center"/>
          </w:tcPr>
          <w:p w14:paraId="1BBA1E32">
            <w:pPr>
              <w:rPr>
                <w:color w:val="000000"/>
                <w:kern w:val="2"/>
                <w:szCs w:val="21"/>
              </w:rPr>
            </w:pPr>
          </w:p>
        </w:tc>
        <w:tc>
          <w:tcPr>
            <w:tcW w:w="2126" w:type="dxa"/>
            <w:tcBorders>
              <w:top w:val="single" w:color="auto" w:sz="4" w:space="0"/>
              <w:bottom w:val="double" w:color="auto" w:sz="4" w:space="0"/>
            </w:tcBorders>
            <w:shd w:val="clear" w:color="auto" w:fill="FFFFFF"/>
            <w:vAlign w:val="center"/>
          </w:tcPr>
          <w:p w14:paraId="4E252A4C">
            <w:pPr>
              <w:rPr>
                <w:rFonts w:ascii="宋体" w:hAnsi="宋体"/>
                <w:bCs/>
                <w:color w:val="000000"/>
                <w:kern w:val="2"/>
                <w:sz w:val="21"/>
                <w:szCs w:val="21"/>
              </w:rPr>
            </w:pPr>
            <w:r>
              <w:rPr>
                <w:rFonts w:ascii="宋体" w:hAnsi="宋体"/>
                <w:bCs/>
                <w:color w:val="000000"/>
                <w:kern w:val="2"/>
                <w:sz w:val="21"/>
                <w:szCs w:val="21"/>
              </w:rPr>
              <w:t>核心业务流程信息化水平</w:t>
            </w:r>
            <w:r>
              <w:rPr>
                <w:rFonts w:hint="eastAsia" w:ascii="宋体" w:hAnsi="宋体"/>
                <w:bCs/>
                <w:color w:val="000000"/>
                <w:kern w:val="2"/>
                <w:sz w:val="21"/>
                <w:szCs w:val="21"/>
              </w:rPr>
              <w:t>/%</w:t>
            </w:r>
          </w:p>
        </w:tc>
        <w:tc>
          <w:tcPr>
            <w:tcW w:w="992" w:type="dxa"/>
            <w:tcBorders>
              <w:top w:val="single" w:color="auto" w:sz="4" w:space="0"/>
              <w:bottom w:val="double" w:color="auto" w:sz="4" w:space="0"/>
            </w:tcBorders>
            <w:shd w:val="clear" w:color="auto" w:fill="FFFFFF"/>
            <w:vAlign w:val="center"/>
          </w:tcPr>
          <w:p w14:paraId="02D4800D">
            <w:pPr>
              <w:jc w:val="center"/>
              <w:rPr>
                <w:rFonts w:ascii="宋体"/>
                <w:kern w:val="2"/>
                <w:sz w:val="21"/>
                <w:szCs w:val="21"/>
              </w:rPr>
            </w:pPr>
            <w:r>
              <w:rPr>
                <w:rFonts w:hint="eastAsia" w:ascii="宋体"/>
                <w:kern w:val="2"/>
                <w:sz w:val="21"/>
                <w:szCs w:val="21"/>
              </w:rPr>
              <w:t>95</w:t>
            </w:r>
          </w:p>
        </w:tc>
        <w:tc>
          <w:tcPr>
            <w:tcW w:w="1503" w:type="dxa"/>
            <w:vMerge w:val="continue"/>
            <w:tcBorders>
              <w:top w:val="single" w:color="auto" w:sz="2" w:space="0"/>
              <w:bottom w:val="double" w:color="auto" w:sz="4" w:space="0"/>
            </w:tcBorders>
            <w:shd w:val="clear" w:color="auto" w:fill="99CCFF"/>
          </w:tcPr>
          <w:p w14:paraId="2D412F6B">
            <w:pPr>
              <w:rPr>
                <w:rFonts w:ascii="宋体" w:hAnsi="宋体"/>
                <w:bCs/>
                <w:color w:val="000000"/>
                <w:kern w:val="2"/>
              </w:rPr>
            </w:pPr>
          </w:p>
        </w:tc>
        <w:tc>
          <w:tcPr>
            <w:tcW w:w="1440" w:type="dxa"/>
            <w:vMerge w:val="continue"/>
            <w:tcBorders>
              <w:top w:val="single" w:color="auto" w:sz="2" w:space="0"/>
              <w:bottom w:val="double" w:color="auto" w:sz="4" w:space="0"/>
            </w:tcBorders>
            <w:shd w:val="clear" w:color="auto" w:fill="99CCFF"/>
            <w:vAlign w:val="center"/>
          </w:tcPr>
          <w:p w14:paraId="38C4D44C">
            <w:pPr>
              <w:jc w:val="center"/>
              <w:rPr>
                <w:rFonts w:ascii="宋体" w:hAnsi="宋体"/>
                <w:color w:val="000000"/>
                <w:kern w:val="2"/>
                <w:szCs w:val="21"/>
              </w:rPr>
            </w:pPr>
          </w:p>
        </w:tc>
      </w:tr>
    </w:tbl>
    <w:p w14:paraId="1770D3D6">
      <w:pPr>
        <w:pStyle w:val="46"/>
        <w:spacing w:before="312" w:beforeLines="100" w:after="312" w:afterLines="100" w:line="360" w:lineRule="auto"/>
        <w:rPr>
          <w:rFonts w:ascii="Cambria" w:hAnsi="Cambria" w:eastAsia="宋体"/>
          <w:b/>
          <w:bCs/>
        </w:rPr>
      </w:pPr>
      <w:r>
        <w:rPr>
          <w:rFonts w:hint="eastAsia" w:ascii="Cambria" w:hAnsi="Cambria" w:eastAsia="宋体"/>
          <w:b/>
          <w:bCs/>
        </w:rPr>
        <w:t>4.5.3.2支持过程的设计</w:t>
      </w:r>
    </w:p>
    <w:p w14:paraId="5E7B7A4E">
      <w:pPr>
        <w:spacing w:line="360" w:lineRule="auto"/>
        <w:ind w:firstLine="480" w:firstLineChars="200"/>
        <w:rPr>
          <w:rFonts w:ascii="宋体" w:hAnsi="宋体"/>
          <w:bCs/>
          <w:szCs w:val="32"/>
        </w:rPr>
      </w:pPr>
      <w:r>
        <w:rPr>
          <w:rFonts w:hint="eastAsia" w:ascii="宋体" w:hAnsi="宋体"/>
          <w:bCs/>
          <w:szCs w:val="32"/>
        </w:rPr>
        <w:t>根据已识别出的要求，在采用领先适用的新技术和利用有效信息的同时，对各支持管理过程从组织机构、管理流程及操作方法等方面进行策划，形成支持过程管理模型；并收集过程信息，通过管理评审、经营管理会议评估和改进过程设计。</w:t>
      </w:r>
    </w:p>
    <w:p w14:paraId="420FD9B4">
      <w:pPr>
        <w:spacing w:line="360" w:lineRule="auto"/>
        <w:ind w:firstLine="480" w:firstLineChars="200"/>
        <w:rPr>
          <w:rFonts w:ascii="宋体" w:hAnsi="宋体"/>
          <w:bCs/>
          <w:szCs w:val="32"/>
        </w:rPr>
      </w:pPr>
      <w:r>
        <w:rPr>
          <w:rFonts w:hint="eastAsia" w:ascii="宋体" w:hAnsi="宋体"/>
          <w:bCs/>
          <w:szCs w:val="32"/>
        </w:rPr>
        <w:t>各主要支持过程的设计如下：</w:t>
      </w:r>
    </w:p>
    <w:p w14:paraId="751FA049">
      <w:pPr>
        <w:spacing w:line="360" w:lineRule="auto"/>
        <w:rPr>
          <w:rFonts w:ascii="宋体" w:hAnsi="宋体"/>
          <w:b/>
          <w:bCs/>
          <w:color w:val="000000"/>
          <w:szCs w:val="28"/>
        </w:rPr>
      </w:pPr>
      <w:r>
        <w:rPr>
          <w:rFonts w:hint="eastAsia"/>
          <w:b/>
          <w:bCs/>
        </w:rPr>
        <w:t>（1）力</w:t>
      </w:r>
      <w:r>
        <w:rPr>
          <w:rFonts w:hint="eastAsia" w:ascii="宋体" w:hAnsi="宋体"/>
          <w:b/>
          <w:bCs/>
          <w:color w:val="000000"/>
          <w:szCs w:val="28"/>
        </w:rPr>
        <w:t>资源管理过程的设计</w:t>
      </w:r>
    </w:p>
    <w:p w14:paraId="5954FED0">
      <w:pPr>
        <w:spacing w:line="360" w:lineRule="auto"/>
        <w:ind w:firstLine="480" w:firstLineChars="200"/>
        <w:rPr>
          <w:rFonts w:ascii="宋体" w:hAnsi="宋体"/>
          <w:bCs/>
          <w:szCs w:val="32"/>
        </w:rPr>
      </w:pPr>
      <w:r>
        <w:rPr>
          <w:rFonts w:hint="eastAsia" w:ascii="宋体" w:hAnsi="宋体"/>
          <w:bCs/>
          <w:szCs w:val="32"/>
        </w:rPr>
        <w:t>人力资源部对人力资源规划、人才招聘、培训学习、考核激励、职业发展等方面进行优化设计，设计形成人力资源管理模型，详见图4.5.3-1。</w:t>
      </w:r>
    </w:p>
    <w:p w14:paraId="2CC059CA">
      <w:pPr>
        <w:pStyle w:val="10"/>
        <w:spacing w:before="156" w:beforeLines="50"/>
        <w:jc w:val="center"/>
        <w:rPr>
          <w:rFonts w:ascii="黑体" w:hAnsi="黑体" w:eastAsia="黑体"/>
          <w:sz w:val="21"/>
        </w:rPr>
      </w:pPr>
      <w:r>
        <w:rPr>
          <w:rFonts w:hint="eastAsia" w:ascii="黑体" w:hAnsi="黑体" w:eastAsia="黑体"/>
          <w:b/>
          <w:bCs/>
          <w:sz w:val="21"/>
        </w:rPr>
        <w:t>图4.5.3-1人力资源管理设计流程</w:t>
      </w:r>
    </w:p>
    <w:p w14:paraId="6A416742">
      <w:pPr>
        <w:spacing w:line="360" w:lineRule="auto"/>
        <w:ind w:firstLine="480" w:firstLineChars="200"/>
        <w:jc w:val="center"/>
        <w:rPr>
          <w:rFonts w:ascii="宋体" w:hAnsi="宋体"/>
          <w:bCs/>
          <w:szCs w:val="32"/>
        </w:rPr>
      </w:pPr>
      <w:r>
        <w:drawing>
          <wp:inline distT="0" distB="0" distL="114300" distR="114300">
            <wp:extent cx="3867150" cy="2200275"/>
            <wp:effectExtent l="0" t="0" r="0" b="9525"/>
            <wp:docPr id="19"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0"/>
                    <pic:cNvPicPr>
                      <a:picLocks noChangeAspect="1"/>
                    </pic:cNvPicPr>
                  </pic:nvPicPr>
                  <pic:blipFill>
                    <a:blip r:embed="rId29"/>
                    <a:stretch>
                      <a:fillRect/>
                    </a:stretch>
                  </pic:blipFill>
                  <pic:spPr>
                    <a:xfrm>
                      <a:off x="0" y="0"/>
                      <a:ext cx="3867150" cy="2200275"/>
                    </a:xfrm>
                    <a:prstGeom prst="rect">
                      <a:avLst/>
                    </a:prstGeom>
                    <a:noFill/>
                    <a:ln>
                      <a:noFill/>
                    </a:ln>
                  </pic:spPr>
                </pic:pic>
              </a:graphicData>
            </a:graphic>
          </wp:inline>
        </w:drawing>
      </w:r>
    </w:p>
    <w:p w14:paraId="6A2336C0">
      <w:pPr>
        <w:spacing w:line="360" w:lineRule="auto"/>
        <w:rPr>
          <w:rFonts w:ascii="宋体" w:hAnsi="宋体"/>
          <w:b/>
          <w:bCs/>
          <w:color w:val="000000"/>
        </w:rPr>
      </w:pPr>
    </w:p>
    <w:p w14:paraId="63F8538B">
      <w:pPr>
        <w:spacing w:line="360" w:lineRule="auto"/>
        <w:rPr>
          <w:rFonts w:ascii="宋体" w:hAnsi="宋体"/>
          <w:b/>
          <w:bCs/>
          <w:color w:val="000000"/>
        </w:rPr>
      </w:pPr>
    </w:p>
    <w:p w14:paraId="48A9D5A2">
      <w:pPr>
        <w:spacing w:line="360" w:lineRule="auto"/>
        <w:rPr>
          <w:color w:val="000000"/>
          <w:szCs w:val="28"/>
        </w:rPr>
      </w:pPr>
      <w:r>
        <w:rPr>
          <w:rFonts w:hint="eastAsia" w:ascii="宋体" w:hAnsi="宋体"/>
          <w:b/>
          <w:bCs/>
          <w:color w:val="000000"/>
        </w:rPr>
        <w:t>(2)财务</w:t>
      </w:r>
      <w:r>
        <w:rPr>
          <w:rFonts w:hint="eastAsia" w:ascii="宋体" w:hAnsi="宋体"/>
          <w:b/>
          <w:color w:val="000000"/>
          <w:szCs w:val="28"/>
        </w:rPr>
        <w:t>管理过程的设计</w:t>
      </w:r>
    </w:p>
    <w:p w14:paraId="36759566">
      <w:pPr>
        <w:spacing w:line="360" w:lineRule="auto"/>
        <w:ind w:firstLine="480" w:firstLineChars="200"/>
        <w:rPr>
          <w:rFonts w:ascii="黑体" w:hAnsi="黑体" w:eastAsia="黑体"/>
          <w:b/>
          <w:bCs/>
          <w:color w:val="000000"/>
          <w:sz w:val="21"/>
          <w:szCs w:val="21"/>
        </w:rPr>
      </w:pPr>
      <w:r>
        <w:rPr>
          <w:rFonts w:hint="eastAsia" w:ascii="宋体" w:hAnsi="宋体"/>
          <w:bCs/>
          <w:szCs w:val="32"/>
        </w:rPr>
        <w:t>财务部肩负公司资金管理、成本控制，会计管理等财务管理职责，按照国家、地方的法律法规，从资金管理、会计管理、成本管理等方面对财务管理过程进行了策划，形成了完善的财务管理管理框架，详见图4.5.3-2。</w:t>
      </w:r>
    </w:p>
    <w:p w14:paraId="57F132F5">
      <w:pPr>
        <w:spacing w:before="156" w:beforeLines="50"/>
        <w:jc w:val="center"/>
        <w:rPr>
          <w:rFonts w:ascii="黑体" w:hAnsi="黑体" w:eastAsia="黑体"/>
          <w:sz w:val="21"/>
          <w:szCs w:val="21"/>
        </w:rPr>
      </w:pPr>
      <w:r>
        <w:rPr>
          <w:rFonts w:hint="eastAsia" w:ascii="黑体" w:hAnsi="黑体" w:eastAsia="黑体"/>
          <w:b/>
          <w:bCs/>
          <w:color w:val="000000"/>
          <w:sz w:val="21"/>
          <w:szCs w:val="21"/>
        </w:rPr>
        <w:t>图4.5.3-2 财务管理设计流程</w:t>
      </w:r>
    </w:p>
    <w:p w14:paraId="5B3CD717">
      <w:pPr>
        <w:pStyle w:val="10"/>
        <w:jc w:val="center"/>
      </w:pPr>
      <w:r>
        <mc:AlternateContent>
          <mc:Choice Requires="wps">
            <w:drawing>
              <wp:anchor distT="0" distB="0" distL="114300" distR="114300" simplePos="0" relativeHeight="251717632" behindDoc="0" locked="0" layoutInCell="1" allowOverlap="1">
                <wp:simplePos x="0" y="0"/>
                <wp:positionH relativeFrom="column">
                  <wp:posOffset>342900</wp:posOffset>
                </wp:positionH>
                <wp:positionV relativeFrom="paragraph">
                  <wp:posOffset>100965</wp:posOffset>
                </wp:positionV>
                <wp:extent cx="4686300" cy="3070860"/>
                <wp:effectExtent l="12700" t="12700" r="25400" b="21590"/>
                <wp:wrapNone/>
                <wp:docPr id="210" name="矩形 210"/>
                <wp:cNvGraphicFramePr/>
                <a:graphic xmlns:a="http://schemas.openxmlformats.org/drawingml/2006/main">
                  <a:graphicData uri="http://schemas.microsoft.com/office/word/2010/wordprocessingShape">
                    <wps:wsp>
                      <wps:cNvSpPr/>
                      <wps:spPr>
                        <a:xfrm>
                          <a:off x="0" y="0"/>
                          <a:ext cx="4686300" cy="3070860"/>
                        </a:xfrm>
                        <a:prstGeom prst="rect">
                          <a:avLst/>
                        </a:prstGeom>
                        <a:noFill/>
                        <a:ln w="25400" cap="flat" cmpd="sng">
                          <a:solidFill>
                            <a:srgbClr val="000000"/>
                          </a:solidFill>
                          <a:prstDash val="solid"/>
                          <a:miter/>
                          <a:headEnd type="none" w="med" len="med"/>
                          <a:tailEnd type="none" w="med" len="med"/>
                        </a:ln>
                        <a:effectLst/>
                      </wps:spPr>
                      <wps:bodyPr wrap="square" upright="1"/>
                    </wps:wsp>
                  </a:graphicData>
                </a:graphic>
              </wp:anchor>
            </w:drawing>
          </mc:Choice>
          <mc:Fallback>
            <w:pict>
              <v:rect id="_x0000_s1026" o:spid="_x0000_s1026" o:spt="1" style="position:absolute;left:0pt;margin-left:27pt;margin-top:7.95pt;height:241.8pt;width:369pt;z-index:251717632;mso-width-relative:page;mso-height-relative:page;" filled="f" stroked="t" coordsize="21600,21600" o:gfxdata="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&#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KZe0cLXAAAACQEAAA8AAAAAAAAAAQAgAAAAIgAAAGRy&#10;cy9kb3ducmV2LnhtbFBLAQIUABQAAAAIAIdO4kDPeG9WBgIAABcEAAAOAAAAAAAAAAEAIAAAACYB&#10;AABkcnMvZTJvRG9jLnhtbFBLBQYAAAAABgAGAFkBAACeBQAAAAA=&#10;">
                <v:fill on="f" focussize="0,0"/>
                <v:stroke weight="2pt" color="#000000" joinstyle="miter"/>
                <v:imagedata o:title=""/>
                <o:lock v:ext="edit" aspectratio="f"/>
              </v:rect>
            </w:pict>
          </mc:Fallback>
        </mc:AlternateContent>
      </w:r>
      <w:r>
        <w:rPr>
          <w:rFonts w:ascii="宋体" w:hAnsi="宋体"/>
          <w:bCs/>
          <w:color w:val="000000"/>
          <w:sz w:val="20"/>
          <w:szCs w:val="28"/>
        </w:rPr>
        <mc:AlternateContent>
          <mc:Choice Requires="wps">
            <w:drawing>
              <wp:anchor distT="0" distB="0" distL="114300" distR="114300" simplePos="0" relativeHeight="251718656" behindDoc="0" locked="0" layoutInCell="1" allowOverlap="1">
                <wp:simplePos x="0" y="0"/>
                <wp:positionH relativeFrom="column">
                  <wp:posOffset>2743200</wp:posOffset>
                </wp:positionH>
                <wp:positionV relativeFrom="paragraph">
                  <wp:posOffset>198120</wp:posOffset>
                </wp:positionV>
                <wp:extent cx="342900" cy="891540"/>
                <wp:effectExtent l="4445" t="4445" r="14605" b="18415"/>
                <wp:wrapNone/>
                <wp:docPr id="211" name="矩形 211"/>
                <wp:cNvGraphicFramePr/>
                <a:graphic xmlns:a="http://schemas.openxmlformats.org/drawingml/2006/main">
                  <a:graphicData uri="http://schemas.microsoft.com/office/word/2010/wordprocessingShape">
                    <wps:wsp>
                      <wps:cNvSpPr/>
                      <wps:spPr>
                        <a:xfrm>
                          <a:off x="0" y="0"/>
                          <a:ext cx="342900" cy="891540"/>
                        </a:xfrm>
                        <a:prstGeom prst="rect">
                          <a:avLst/>
                        </a:prstGeom>
                        <a:solidFill>
                          <a:srgbClr val="CCFFCC"/>
                        </a:solidFill>
                        <a:ln w="9525" cap="flat" cmpd="sng">
                          <a:solidFill>
                            <a:srgbClr val="000000"/>
                          </a:solidFill>
                          <a:prstDash val="solid"/>
                          <a:miter/>
                          <a:headEnd type="none" w="med" len="med"/>
                          <a:tailEnd type="none" w="med" len="med"/>
                        </a:ln>
                        <a:effectLst/>
                      </wps:spPr>
                      <wps:txbx>
                        <w:txbxContent>
                          <w:p w14:paraId="1E9EA0EB">
                            <w:r>
                              <w:rPr>
                                <w:rFonts w:hint="eastAsia"/>
                              </w:rPr>
                              <w:t>效能评估</w:t>
                            </w:r>
                          </w:p>
                        </w:txbxContent>
                      </wps:txbx>
                      <wps:bodyPr wrap="square" upright="1"/>
                    </wps:wsp>
                  </a:graphicData>
                </a:graphic>
              </wp:anchor>
            </w:drawing>
          </mc:Choice>
          <mc:Fallback>
            <w:pict>
              <v:rect id="_x0000_s1026" o:spid="_x0000_s1026" o:spt="1" style="position:absolute;left:0pt;margin-left:216pt;margin-top:15.6pt;height:70.2pt;width:27pt;z-index:251718656;mso-width-relative:page;mso-height-relative:page;" fillcolor="#CCFFCC" filled="t" stroked="t" coordsize="21600,21600" o:gfxdata="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6/WAl2wAAAAoB&#10;AAAPAAAAAAAAAAEAIAAAACIAAABkcnMvZG93bnJldi54bWxQSwECFAAUAAAACACHTuJA0mhjxRgC&#10;AABIBAAADgAAAAAAAAABACAAAAAqAQAAZHJzL2Uyb0RvYy54bWxQSwUGAAAAAAYABgBZAQAAtAUA&#10;AAAA&#10;">
                <v:fill on="t" focussize="0,0"/>
                <v:stroke color="#000000" joinstyle="miter"/>
                <v:imagedata o:title=""/>
                <o:lock v:ext="edit" aspectratio="f"/>
                <v:textbox>
                  <w:txbxContent>
                    <w:p w14:paraId="1E9EA0EB">
                      <w:r>
                        <w:rPr>
                          <w:rFonts w:hint="eastAsia"/>
                        </w:rPr>
                        <w:t>效能评估</w:t>
                      </w:r>
                    </w:p>
                  </w:txbxContent>
                </v:textbox>
              </v:rect>
            </w:pict>
          </mc:Fallback>
        </mc:AlternateContent>
      </w:r>
      <w:r>
        <w:rPr>
          <w:rFonts w:ascii="宋体" w:hAnsi="宋体"/>
          <w:bCs/>
          <w:color w:val="000000"/>
          <w:sz w:val="20"/>
          <w:szCs w:val="28"/>
        </w:rPr>
        <mc:AlternateContent>
          <mc:Choice Requires="wps">
            <w:drawing>
              <wp:anchor distT="0" distB="0" distL="114300" distR="114300" simplePos="0" relativeHeight="251719680" behindDoc="0" locked="0" layoutInCell="1" allowOverlap="1">
                <wp:simplePos x="0" y="0"/>
                <wp:positionH relativeFrom="column">
                  <wp:posOffset>2171700</wp:posOffset>
                </wp:positionH>
                <wp:positionV relativeFrom="paragraph">
                  <wp:posOffset>198120</wp:posOffset>
                </wp:positionV>
                <wp:extent cx="342900" cy="891540"/>
                <wp:effectExtent l="4445" t="4445" r="14605" b="18415"/>
                <wp:wrapNone/>
                <wp:docPr id="212" name="矩形 212"/>
                <wp:cNvGraphicFramePr/>
                <a:graphic xmlns:a="http://schemas.openxmlformats.org/drawingml/2006/main">
                  <a:graphicData uri="http://schemas.microsoft.com/office/word/2010/wordprocessingShape">
                    <wps:wsp>
                      <wps:cNvSpPr/>
                      <wps:spPr>
                        <a:xfrm>
                          <a:off x="0" y="0"/>
                          <a:ext cx="342900" cy="891540"/>
                        </a:xfrm>
                        <a:prstGeom prst="rect">
                          <a:avLst/>
                        </a:prstGeom>
                        <a:solidFill>
                          <a:srgbClr val="CCFFCC"/>
                        </a:solidFill>
                        <a:ln w="9525" cap="flat" cmpd="sng">
                          <a:solidFill>
                            <a:srgbClr val="000000"/>
                          </a:solidFill>
                          <a:prstDash val="solid"/>
                          <a:miter/>
                          <a:headEnd type="none" w="med" len="med"/>
                          <a:tailEnd type="none" w="med" len="med"/>
                        </a:ln>
                        <a:effectLst/>
                      </wps:spPr>
                      <wps:txbx>
                        <w:txbxContent>
                          <w:p w14:paraId="1F16D758">
                            <w:r>
                              <w:rPr>
                                <w:rFonts w:hint="eastAsia"/>
                              </w:rPr>
                              <w:t>资金到位</w:t>
                            </w:r>
                          </w:p>
                        </w:txbxContent>
                      </wps:txbx>
                      <wps:bodyPr wrap="square" upright="1"/>
                    </wps:wsp>
                  </a:graphicData>
                </a:graphic>
              </wp:anchor>
            </w:drawing>
          </mc:Choice>
          <mc:Fallback>
            <w:pict>
              <v:rect id="_x0000_s1026" o:spid="_x0000_s1026" o:spt="1" style="position:absolute;left:0pt;margin-left:171pt;margin-top:15.6pt;height:70.2pt;width:27pt;z-index:251719680;mso-width-relative:page;mso-height-relative:page;" fillcolor="#CCFFCC" filled="t" stroked="t" coordsize="21600,21600" o:gfxdata="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Ks0vETbAAAACgEA&#10;AA8AAAAAAAAAAQAgAAAAIgAAAGRycy9kb3ducmV2LnhtbFBLAQIUABQAAAAIAIdO4kDLibyZFwIA&#10;AEgEAAAOAAAAAAAAAAEAIAAAACoBAABkcnMvZTJvRG9jLnhtbFBLBQYAAAAABgAGAFkBAACzBQAA&#10;AAA=&#10;">
                <v:fill on="t" focussize="0,0"/>
                <v:stroke color="#000000" joinstyle="miter"/>
                <v:imagedata o:title=""/>
                <o:lock v:ext="edit" aspectratio="f"/>
                <v:textbox>
                  <w:txbxContent>
                    <w:p w14:paraId="1F16D758">
                      <w:r>
                        <w:rPr>
                          <w:rFonts w:hint="eastAsia"/>
                        </w:rPr>
                        <w:t>资金到位</w:t>
                      </w:r>
                    </w:p>
                  </w:txbxContent>
                </v:textbox>
              </v:rect>
            </w:pict>
          </mc:Fallback>
        </mc:AlternateContent>
      </w:r>
      <w:r>
        <w:rPr>
          <w:rFonts w:ascii="宋体" w:hAnsi="宋体"/>
          <w:bCs/>
          <w:color w:val="000000"/>
          <w:sz w:val="20"/>
          <w:szCs w:val="28"/>
        </w:rPr>
        <mc:AlternateContent>
          <mc:Choice Requires="wps">
            <w:drawing>
              <wp:anchor distT="0" distB="0" distL="114300" distR="114300" simplePos="0" relativeHeight="251720704" behindDoc="0" locked="0" layoutInCell="1" allowOverlap="1">
                <wp:simplePos x="0" y="0"/>
                <wp:positionH relativeFrom="column">
                  <wp:posOffset>1598295</wp:posOffset>
                </wp:positionH>
                <wp:positionV relativeFrom="paragraph">
                  <wp:posOffset>198120</wp:posOffset>
                </wp:positionV>
                <wp:extent cx="342900" cy="891540"/>
                <wp:effectExtent l="4445" t="4445" r="14605" b="18415"/>
                <wp:wrapNone/>
                <wp:docPr id="213" name="矩形 213"/>
                <wp:cNvGraphicFramePr/>
                <a:graphic xmlns:a="http://schemas.openxmlformats.org/drawingml/2006/main">
                  <a:graphicData uri="http://schemas.microsoft.com/office/word/2010/wordprocessingShape">
                    <wps:wsp>
                      <wps:cNvSpPr/>
                      <wps:spPr>
                        <a:xfrm>
                          <a:off x="0" y="0"/>
                          <a:ext cx="342900" cy="891540"/>
                        </a:xfrm>
                        <a:prstGeom prst="rect">
                          <a:avLst/>
                        </a:prstGeom>
                        <a:solidFill>
                          <a:srgbClr val="CCFFCC"/>
                        </a:solidFill>
                        <a:ln w="9525" cap="flat" cmpd="sng">
                          <a:solidFill>
                            <a:srgbClr val="000000"/>
                          </a:solidFill>
                          <a:prstDash val="solid"/>
                          <a:miter/>
                          <a:headEnd type="none" w="med" len="med"/>
                          <a:tailEnd type="none" w="med" len="med"/>
                        </a:ln>
                        <a:effectLst/>
                      </wps:spPr>
                      <wps:txbx>
                        <w:txbxContent>
                          <w:p w14:paraId="7A00CBA9">
                            <w:r>
                              <w:rPr>
                                <w:rFonts w:hint="eastAsia"/>
                              </w:rPr>
                              <w:t>资金计划</w:t>
                            </w:r>
                          </w:p>
                        </w:txbxContent>
                      </wps:txbx>
                      <wps:bodyPr wrap="square" upright="1"/>
                    </wps:wsp>
                  </a:graphicData>
                </a:graphic>
              </wp:anchor>
            </w:drawing>
          </mc:Choice>
          <mc:Fallback>
            <w:pict>
              <v:rect id="_x0000_s1026" o:spid="_x0000_s1026" o:spt="1" style="position:absolute;left:0pt;margin-left:125.85pt;margin-top:15.6pt;height:70.2pt;width:27pt;z-index:251720704;mso-width-relative:page;mso-height-relative:page;" fillcolor="#CCFFCC" filled="t" stroked="t" coordsize="21600,21600" o:gfxdata="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3zznp2wAAAAoB&#10;AAAPAAAAAAAAAAEAIAAAACIAAABkcnMvZG93bnJldi54bWxQSwECFAAUAAAACACHTuJAPCn2rRgC&#10;AABIBAAADgAAAAAAAAABACAAAAAqAQAAZHJzL2Uyb0RvYy54bWxQSwUGAAAAAAYABgBZAQAAtAUA&#10;AAAA&#10;">
                <v:fill on="t" focussize="0,0"/>
                <v:stroke color="#000000" joinstyle="miter"/>
                <v:imagedata o:title=""/>
                <o:lock v:ext="edit" aspectratio="f"/>
                <v:textbox>
                  <w:txbxContent>
                    <w:p w14:paraId="7A00CBA9">
                      <w:r>
                        <w:rPr>
                          <w:rFonts w:hint="eastAsia"/>
                        </w:rPr>
                        <w:t>资金计划</w:t>
                      </w:r>
                    </w:p>
                  </w:txbxContent>
                </v:textbox>
              </v:rect>
            </w:pict>
          </mc:Fallback>
        </mc:AlternateContent>
      </w:r>
      <w:r>
        <mc:AlternateContent>
          <mc:Choice Requires="wps">
            <w:drawing>
              <wp:anchor distT="0" distB="0" distL="114300" distR="114300" simplePos="0" relativeHeight="251721728" behindDoc="0" locked="0" layoutInCell="1" allowOverlap="1">
                <wp:simplePos x="0" y="0"/>
                <wp:positionH relativeFrom="column">
                  <wp:posOffset>1141095</wp:posOffset>
                </wp:positionH>
                <wp:positionV relativeFrom="paragraph">
                  <wp:posOffset>198120</wp:posOffset>
                </wp:positionV>
                <wp:extent cx="342900" cy="891540"/>
                <wp:effectExtent l="4445" t="4445" r="14605" b="18415"/>
                <wp:wrapNone/>
                <wp:docPr id="214" name="矩形 214"/>
                <wp:cNvGraphicFramePr/>
                <a:graphic xmlns:a="http://schemas.openxmlformats.org/drawingml/2006/main">
                  <a:graphicData uri="http://schemas.microsoft.com/office/word/2010/wordprocessingShape">
                    <wps:wsp>
                      <wps:cNvSpPr/>
                      <wps:spPr>
                        <a:xfrm>
                          <a:off x="0" y="0"/>
                          <a:ext cx="342900" cy="891540"/>
                        </a:xfrm>
                        <a:prstGeom prst="rect">
                          <a:avLst/>
                        </a:prstGeom>
                        <a:solidFill>
                          <a:srgbClr val="CCFFCC"/>
                        </a:solidFill>
                        <a:ln w="9525" cap="flat" cmpd="sng">
                          <a:solidFill>
                            <a:srgbClr val="000000"/>
                          </a:solidFill>
                          <a:prstDash val="solid"/>
                          <a:miter/>
                          <a:headEnd type="none" w="med" len="med"/>
                          <a:tailEnd type="none" w="med" len="med"/>
                        </a:ln>
                        <a:effectLst/>
                      </wps:spPr>
                      <wps:txbx>
                        <w:txbxContent>
                          <w:p w14:paraId="7CC3B60E">
                            <w:r>
                              <w:rPr>
                                <w:rFonts w:hint="eastAsia"/>
                              </w:rPr>
                              <w:t>资金管理</w:t>
                            </w:r>
                          </w:p>
                        </w:txbxContent>
                      </wps:txbx>
                      <wps:bodyPr wrap="square" upright="1"/>
                    </wps:wsp>
                  </a:graphicData>
                </a:graphic>
              </wp:anchor>
            </w:drawing>
          </mc:Choice>
          <mc:Fallback>
            <w:pict>
              <v:rect id="_x0000_s1026" o:spid="_x0000_s1026" o:spt="1" style="position:absolute;left:0pt;margin-left:89.85pt;margin-top:15.6pt;height:70.2pt;width:27pt;z-index:251721728;mso-width-relative:page;mso-height-relative:page;" fillcolor="#CCFFCC" filled="t" stroked="t" coordsize="21600,21600" o:gfxdata="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EyGQ7tkAAAAKAQAA&#10;DwAAAAAAAAABACAAAAAiAAAAZHJzL2Rvd25yZXYueG1sUEsBAhQAFAAAAAgAh07iQPlLAyAYAgAA&#10;SAQAAA4AAAAAAAAAAQAgAAAAKAEAAGRycy9lMm9Eb2MueG1sUEsFBgAAAAAGAAYAWQEAALIFAAAA&#10;AA==&#10;">
                <v:fill on="t" focussize="0,0"/>
                <v:stroke color="#000000" joinstyle="miter"/>
                <v:imagedata o:title=""/>
                <o:lock v:ext="edit" aspectratio="f"/>
                <v:textbox>
                  <w:txbxContent>
                    <w:p w14:paraId="7CC3B60E">
                      <w:r>
                        <w:rPr>
                          <w:rFonts w:hint="eastAsia"/>
                        </w:rPr>
                        <w:t>资金管理</w:t>
                      </w:r>
                    </w:p>
                  </w:txbxContent>
                </v:textbox>
              </v:rect>
            </w:pict>
          </mc:Fallback>
        </mc:AlternateContent>
      </w:r>
    </w:p>
    <w:p w14:paraId="48147162">
      <w:pPr>
        <w:spacing w:line="300" w:lineRule="auto"/>
        <w:ind w:firstLine="400" w:firstLineChars="200"/>
        <w:rPr>
          <w:rFonts w:ascii="宋体" w:hAnsi="宋体"/>
          <w:bCs/>
          <w:color w:val="000000"/>
          <w:szCs w:val="28"/>
        </w:rPr>
      </w:pPr>
      <w:r>
        <w:rPr>
          <w:rFonts w:ascii="宋体" w:hAnsi="宋体"/>
          <w:bCs/>
          <w:color w:val="000000"/>
          <w:sz w:val="20"/>
          <w:szCs w:val="28"/>
        </w:rPr>
        <mc:AlternateContent>
          <mc:Choice Requires="wps">
            <w:drawing>
              <wp:anchor distT="0" distB="0" distL="114300" distR="114300" simplePos="0" relativeHeight="251722752" behindDoc="0" locked="0" layoutInCell="1" allowOverlap="1">
                <wp:simplePos x="0" y="0"/>
                <wp:positionH relativeFrom="column">
                  <wp:posOffset>457200</wp:posOffset>
                </wp:positionH>
                <wp:positionV relativeFrom="paragraph">
                  <wp:posOffset>234315</wp:posOffset>
                </wp:positionV>
                <wp:extent cx="342900" cy="2278380"/>
                <wp:effectExtent l="4445" t="4445" r="14605" b="22225"/>
                <wp:wrapNone/>
                <wp:docPr id="215" name="矩形 215"/>
                <wp:cNvGraphicFramePr/>
                <a:graphic xmlns:a="http://schemas.openxmlformats.org/drawingml/2006/main">
                  <a:graphicData uri="http://schemas.microsoft.com/office/word/2010/wordprocessingShape">
                    <wps:wsp>
                      <wps:cNvSpPr/>
                      <wps:spPr>
                        <a:xfrm>
                          <a:off x="0" y="0"/>
                          <a:ext cx="342900" cy="2278380"/>
                        </a:xfrm>
                        <a:prstGeom prst="rect">
                          <a:avLst/>
                        </a:prstGeom>
                        <a:solidFill>
                          <a:srgbClr val="FF99CC"/>
                        </a:solidFill>
                        <a:ln w="9525" cap="flat" cmpd="sng">
                          <a:solidFill>
                            <a:srgbClr val="000000"/>
                          </a:solidFill>
                          <a:prstDash val="solid"/>
                          <a:miter/>
                          <a:headEnd type="none" w="med" len="med"/>
                          <a:tailEnd type="none" w="med" len="med"/>
                        </a:ln>
                        <a:effectLst/>
                      </wps:spPr>
                      <wps:txbx>
                        <w:txbxContent>
                          <w:p w14:paraId="68271CAA">
                            <w:pPr>
                              <w:jc w:val="center"/>
                            </w:pPr>
                          </w:p>
                          <w:p w14:paraId="3F8382E5">
                            <w:pPr>
                              <w:jc w:val="center"/>
                            </w:pPr>
                          </w:p>
                          <w:p w14:paraId="33415C91">
                            <w:pPr>
                              <w:pStyle w:val="9"/>
                            </w:pPr>
                            <w:r>
                              <w:rPr>
                                <w:rFonts w:hint="eastAsia"/>
                              </w:rPr>
                              <w:t>财务管理过程</w:t>
                            </w:r>
                          </w:p>
                        </w:txbxContent>
                      </wps:txbx>
                      <wps:bodyPr wrap="square" upright="1"/>
                    </wps:wsp>
                  </a:graphicData>
                </a:graphic>
              </wp:anchor>
            </w:drawing>
          </mc:Choice>
          <mc:Fallback>
            <w:pict>
              <v:rect id="_x0000_s1026" o:spid="_x0000_s1026" o:spt="1" style="position:absolute;left:0pt;margin-left:36pt;margin-top:18.45pt;height:179.4pt;width:27pt;z-index:251722752;mso-width-relative:page;mso-height-relative:page;" fillcolor="#FF99CC" filled="t" stroked="t" coordsize="21600,21600" o:gfxdata="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IR9jW9YAAAAJAQAADwAA&#10;AAAAAAABACAAAAAiAAAAZHJzL2Rvd25yZXYueG1sUEsBAhQAFAAAAAgAh07iQNGCRw0YAgAASQQA&#10;AA4AAAAAAAAAAQAgAAAAJQEAAGRycy9lMm9Eb2MueG1sUEsFBgAAAAAGAAYAWQEAAK8FAAAAAA==&#10;">
                <v:fill on="t" focussize="0,0"/>
                <v:stroke color="#000000" joinstyle="miter"/>
                <v:imagedata o:title=""/>
                <o:lock v:ext="edit" aspectratio="f"/>
                <v:textbox>
                  <w:txbxContent>
                    <w:p w14:paraId="68271CAA">
                      <w:pPr>
                        <w:jc w:val="center"/>
                      </w:pPr>
                    </w:p>
                    <w:p w14:paraId="3F8382E5">
                      <w:pPr>
                        <w:jc w:val="center"/>
                      </w:pPr>
                    </w:p>
                    <w:p w14:paraId="33415C91">
                      <w:pPr>
                        <w:pStyle w:val="9"/>
                      </w:pPr>
                      <w:r>
                        <w:rPr>
                          <w:rFonts w:hint="eastAsia"/>
                        </w:rPr>
                        <w:t>财务管理过程</w:t>
                      </w:r>
                    </w:p>
                  </w:txbxContent>
                </v:textbox>
              </v:rect>
            </w:pict>
          </mc:Fallback>
        </mc:AlternateContent>
      </w:r>
    </w:p>
    <w:p w14:paraId="534EA93F">
      <w:pPr>
        <w:spacing w:line="300" w:lineRule="auto"/>
        <w:ind w:firstLine="400" w:firstLineChars="200"/>
        <w:rPr>
          <w:rFonts w:ascii="宋体" w:hAnsi="宋体"/>
          <w:bCs/>
          <w:color w:val="000000"/>
          <w:szCs w:val="28"/>
        </w:rPr>
      </w:pPr>
      <w:r>
        <w:rPr>
          <w:rFonts w:ascii="宋体" w:hAnsi="宋体"/>
          <w:bCs/>
          <w:color w:val="000000"/>
          <w:sz w:val="20"/>
          <w:szCs w:val="28"/>
        </w:rPr>
        <mc:AlternateContent>
          <mc:Choice Requires="wps">
            <w:drawing>
              <wp:anchor distT="0" distB="0" distL="114300" distR="114300" simplePos="0" relativeHeight="251723776" behindDoc="0" locked="0" layoutInCell="1" allowOverlap="1">
                <wp:simplePos x="0" y="0"/>
                <wp:positionH relativeFrom="column">
                  <wp:posOffset>3086100</wp:posOffset>
                </wp:positionH>
                <wp:positionV relativeFrom="paragraph">
                  <wp:posOffset>148590</wp:posOffset>
                </wp:positionV>
                <wp:extent cx="800100" cy="0"/>
                <wp:effectExtent l="0" t="4445" r="0" b="5080"/>
                <wp:wrapNone/>
                <wp:docPr id="216" name="直接连接符 216"/>
                <wp:cNvGraphicFramePr/>
                <a:graphic xmlns:a="http://schemas.openxmlformats.org/drawingml/2006/main">
                  <a:graphicData uri="http://schemas.microsoft.com/office/word/2010/wordprocessingShape">
                    <wps:wsp>
                      <wps:cNvCnPr/>
                      <wps:spPr>
                        <a:xfrm>
                          <a:off x="0" y="0"/>
                          <a:ext cx="8001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243pt;margin-top:11.7pt;height:0pt;width:63pt;z-index:251723776;mso-width-relative:page;mso-height-relative:page;" filled="f" stroked="t" coordsize="21600,21600" o:gfxdata="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J8i+OrWAAAACQEAAA8AAAAAAAAAAQAgAAAAIgAAAGRycy9kb3ducmV2LnhtbFBLAQIUABQA&#10;AAAIAIdO4kDosqED8gEAAOkDAAAOAAAAAAAAAAEAIAAAACUBAABkcnMvZTJvRG9jLnhtbFBLBQYA&#10;AAAABgAGAFkBAACJBQAAAAA=&#10;">
                <v:fill on="f" focussize="0,0"/>
                <v:stroke color="#000000" joinstyle="round"/>
                <v:imagedata o:title=""/>
                <o:lock v:ext="edit" aspectratio="f"/>
              </v:line>
            </w:pict>
          </mc:Fallback>
        </mc:AlternateContent>
      </w:r>
      <w:r>
        <w:rPr>
          <w:rFonts w:ascii="宋体" w:hAnsi="宋体"/>
          <w:bCs/>
          <w:color w:val="000000"/>
          <w:sz w:val="20"/>
          <w:szCs w:val="28"/>
        </w:rPr>
        <mc:AlternateContent>
          <mc:Choice Requires="wps">
            <w:drawing>
              <wp:anchor distT="0" distB="0" distL="114300" distR="114300" simplePos="0" relativeHeight="251724800" behindDoc="0" locked="0" layoutInCell="1" allowOverlap="1">
                <wp:simplePos x="0" y="0"/>
                <wp:positionH relativeFrom="column">
                  <wp:posOffset>3886200</wp:posOffset>
                </wp:positionH>
                <wp:positionV relativeFrom="paragraph">
                  <wp:posOffset>148590</wp:posOffset>
                </wp:positionV>
                <wp:extent cx="0" cy="1882140"/>
                <wp:effectExtent l="4445" t="0" r="14605" b="3810"/>
                <wp:wrapNone/>
                <wp:docPr id="217" name="直接连接符 217"/>
                <wp:cNvGraphicFramePr/>
                <a:graphic xmlns:a="http://schemas.openxmlformats.org/drawingml/2006/main">
                  <a:graphicData uri="http://schemas.microsoft.com/office/word/2010/wordprocessingShape">
                    <wps:wsp>
                      <wps:cNvCnPr/>
                      <wps:spPr>
                        <a:xfrm>
                          <a:off x="0" y="0"/>
                          <a:ext cx="0" cy="188214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06pt;margin-top:11.7pt;height:148.2pt;width:0pt;z-index:251724800;mso-width-relative:page;mso-height-relative:page;" filled="f" stroked="t" coordsize="21600,21600" o:gfxdata="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JoXfv/XAAAACgEAAA8AAAAAAAAAAQAgAAAAIgAAAGRycy9kb3ducmV2LnhtbFBLAQIU&#10;ABQAAAAIAIdO4kB3uAzp9AEAAOoDAAAOAAAAAAAAAAEAIAAAACYBAABkcnMvZTJvRG9jLnhtbFBL&#10;BQYAAAAABgAGAFkBAACMBQAAAAA=&#10;">
                <v:fill on="f" focussize="0,0"/>
                <v:stroke color="#000000" joinstyle="round"/>
                <v:imagedata o:title=""/>
                <o:lock v:ext="edit" aspectratio="f"/>
              </v:line>
            </w:pict>
          </mc:Fallback>
        </mc:AlternateContent>
      </w:r>
      <w:r>
        <w:rPr>
          <w:rFonts w:ascii="宋体" w:hAnsi="宋体"/>
          <w:bCs/>
          <w:color w:val="000000"/>
          <w:sz w:val="20"/>
          <w:szCs w:val="28"/>
        </w:rPr>
        <mc:AlternateContent>
          <mc:Choice Requires="wps">
            <w:drawing>
              <wp:anchor distT="0" distB="0" distL="114300" distR="114300" simplePos="0" relativeHeight="251725824" behindDoc="0" locked="0" layoutInCell="1" allowOverlap="1">
                <wp:simplePos x="0" y="0"/>
                <wp:positionH relativeFrom="column">
                  <wp:posOffset>2514600</wp:posOffset>
                </wp:positionH>
                <wp:positionV relativeFrom="paragraph">
                  <wp:posOffset>148590</wp:posOffset>
                </wp:positionV>
                <wp:extent cx="228600" cy="0"/>
                <wp:effectExtent l="0" t="38100" r="0" b="38100"/>
                <wp:wrapNone/>
                <wp:docPr id="218" name="直接连接符 218"/>
                <wp:cNvGraphicFramePr/>
                <a:graphic xmlns:a="http://schemas.openxmlformats.org/drawingml/2006/main">
                  <a:graphicData uri="http://schemas.microsoft.com/office/word/2010/wordprocessingShape">
                    <wps:wsp>
                      <wps:cNvCnPr/>
                      <wps:spPr>
                        <a:xfrm>
                          <a:off x="0" y="0"/>
                          <a:ext cx="228600" cy="0"/>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id="_x0000_s1026" o:spid="_x0000_s1026" o:spt="20" style="position:absolute;left:0pt;margin-left:198pt;margin-top:11.7pt;height:0pt;width:18pt;z-index:251725824;mso-width-relative:page;mso-height-relative:page;" filled="f" stroked="t" coordsize="21600,21600" o:gfxdata="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f4h+X2QAAAAkBAAAPAAAAAAAAAAEAIAAAACIAAABkcnMvZG93bnJldi54&#10;bWxQSwECFAAUAAAACACHTuJApfnJxPkBAADtAwAADgAAAAAAAAABACAAAAAoAQAAZHJzL2Uyb0Rv&#10;Yy54bWxQSwUGAAAAAAYABgBZAQAAkwUAAAAA&#10;">
                <v:fill on="f" focussize="0,0"/>
                <v:stroke color="#000000" joinstyle="round" endarrow="block"/>
                <v:imagedata o:title=""/>
                <o:lock v:ext="edit" aspectratio="f"/>
              </v:line>
            </w:pict>
          </mc:Fallback>
        </mc:AlternateContent>
      </w:r>
      <w:r>
        <w:rPr>
          <w:rFonts w:ascii="宋体" w:hAnsi="宋体"/>
          <w:bCs/>
          <w:color w:val="000000"/>
          <w:sz w:val="20"/>
          <w:szCs w:val="28"/>
        </w:rPr>
        <mc:AlternateContent>
          <mc:Choice Requires="wps">
            <w:drawing>
              <wp:anchor distT="0" distB="0" distL="114300" distR="114300" simplePos="0" relativeHeight="251726848" behindDoc="0" locked="0" layoutInCell="1" allowOverlap="1">
                <wp:simplePos x="0" y="0"/>
                <wp:positionH relativeFrom="column">
                  <wp:posOffset>1943100</wp:posOffset>
                </wp:positionH>
                <wp:positionV relativeFrom="paragraph">
                  <wp:posOffset>148590</wp:posOffset>
                </wp:positionV>
                <wp:extent cx="228600" cy="0"/>
                <wp:effectExtent l="0" t="38100" r="0" b="38100"/>
                <wp:wrapNone/>
                <wp:docPr id="219" name="直接连接符 219"/>
                <wp:cNvGraphicFramePr/>
                <a:graphic xmlns:a="http://schemas.openxmlformats.org/drawingml/2006/main">
                  <a:graphicData uri="http://schemas.microsoft.com/office/word/2010/wordprocessingShape">
                    <wps:wsp>
                      <wps:cNvCnPr/>
                      <wps:spPr>
                        <a:xfrm>
                          <a:off x="0" y="0"/>
                          <a:ext cx="228600" cy="0"/>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id="_x0000_s1026" o:spid="_x0000_s1026" o:spt="20" style="position:absolute;left:0pt;margin-left:153pt;margin-top:11.7pt;height:0pt;width:18pt;z-index:251726848;mso-width-relative:page;mso-height-relative:page;" filled="f" stroked="t" coordsize="21600,21600" o:gfxdata="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kwk859kAAAAJAQAADwAAAAAAAAABACAAAAAiAAAAZHJzL2Rvd25yZXYu&#10;eG1sUEsBAhQAFAAAAAgAh07iQOqbIAX6AQAA7QMAAA4AAAAAAAAAAQAgAAAAKAEAAGRycy9lMm9E&#10;b2MueG1sUEsFBgAAAAAGAAYAWQEAAJQFAAAAAA==&#10;">
                <v:fill on="f" focussize="0,0"/>
                <v:stroke color="#000000" joinstyle="round" endarrow="block"/>
                <v:imagedata o:title=""/>
                <o:lock v:ext="edit" aspectratio="f"/>
              </v:line>
            </w:pict>
          </mc:Fallback>
        </mc:AlternateContent>
      </w:r>
      <w:r>
        <w:rPr>
          <w:rFonts w:ascii="宋体" w:hAnsi="宋体"/>
          <w:bCs/>
          <w:color w:val="000000"/>
          <w:sz w:val="20"/>
          <w:szCs w:val="28"/>
        </w:rPr>
        <mc:AlternateContent>
          <mc:Choice Requires="wps">
            <w:drawing>
              <wp:anchor distT="0" distB="0" distL="114300" distR="114300" simplePos="0" relativeHeight="251727872" behindDoc="0" locked="0" layoutInCell="1" allowOverlap="1">
                <wp:simplePos x="0" y="0"/>
                <wp:positionH relativeFrom="column">
                  <wp:posOffset>914400</wp:posOffset>
                </wp:positionH>
                <wp:positionV relativeFrom="paragraph">
                  <wp:posOffset>148590</wp:posOffset>
                </wp:positionV>
                <wp:extent cx="222250" cy="0"/>
                <wp:effectExtent l="0" t="4445" r="0" b="5080"/>
                <wp:wrapNone/>
                <wp:docPr id="220" name="直接连接符 220"/>
                <wp:cNvGraphicFramePr/>
                <a:graphic xmlns:a="http://schemas.openxmlformats.org/drawingml/2006/main">
                  <a:graphicData uri="http://schemas.microsoft.com/office/word/2010/wordprocessingShape">
                    <wps:wsp>
                      <wps:cNvCnPr/>
                      <wps:spPr>
                        <a:xfrm>
                          <a:off x="0" y="0"/>
                          <a:ext cx="22796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72pt;margin-top:11.7pt;height:0pt;width:17.5pt;z-index:251727872;mso-width-relative:page;mso-height-relative:page;" filled="f" stroked="t" coordsize="21600,21600" o:gfxdata="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j3qCJtUAAAAJAQAADwAAAAAAAAABACAAAAAiAAAAZHJzL2Rvd25yZXYueG1sUEsBAhQAFAAA&#10;AAgAh07iQKO7ILTyAQAA6QMAAA4AAAAAAAAAAQAgAAAAJAEAAGRycy9lMm9Eb2MueG1sUEsFBgAA&#10;AAAGAAYAWQEAAIgFAAAAAA==&#10;">
                <v:fill on="f" focussize="0,0"/>
                <v:stroke color="#000000" joinstyle="round"/>
                <v:imagedata o:title=""/>
                <o:lock v:ext="edit" aspectratio="f"/>
              </v:line>
            </w:pict>
          </mc:Fallback>
        </mc:AlternateContent>
      </w:r>
      <w:r>
        <w:rPr>
          <w:rFonts w:ascii="宋体" w:hAnsi="宋体"/>
          <w:bCs/>
          <w:color w:val="000000"/>
          <w:sz w:val="20"/>
          <w:szCs w:val="28"/>
        </w:rPr>
        <mc:AlternateContent>
          <mc:Choice Requires="wps">
            <w:drawing>
              <wp:anchor distT="0" distB="0" distL="114300" distR="114300" simplePos="0" relativeHeight="251728896" behindDoc="0" locked="0" layoutInCell="1" allowOverlap="1">
                <wp:simplePos x="0" y="0"/>
                <wp:positionH relativeFrom="column">
                  <wp:posOffset>1485900</wp:posOffset>
                </wp:positionH>
                <wp:positionV relativeFrom="paragraph">
                  <wp:posOffset>148590</wp:posOffset>
                </wp:positionV>
                <wp:extent cx="114300" cy="0"/>
                <wp:effectExtent l="0" t="4445" r="0" b="5080"/>
                <wp:wrapNone/>
                <wp:docPr id="221" name="直接连接符 221"/>
                <wp:cNvGraphicFramePr/>
                <a:graphic xmlns:a="http://schemas.openxmlformats.org/drawingml/2006/main">
                  <a:graphicData uri="http://schemas.microsoft.com/office/word/2010/wordprocessingShape">
                    <wps:wsp>
                      <wps:cNvCnPr/>
                      <wps:spPr>
                        <a:xfrm>
                          <a:off x="0" y="0"/>
                          <a:ext cx="1143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17pt;margin-top:11.7pt;height:0pt;width:9pt;z-index:251728896;mso-width-relative:page;mso-height-relative:page;" filled="f" stroked="t" coordsize="21600,21600" o:gfxdata="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Afb27TVAAAACQEAAA8AAAAAAAAAAQAgAAAAIgAAAGRycy9kb3ducmV2LnhtbFBLAQIUABQA&#10;AAAIAIdO4kDYm/0e8wEAAOkDAAAOAAAAAAAAAAEAIAAAACQBAABkcnMvZTJvRG9jLnhtbFBLBQYA&#10;AAAABgAGAFkBAACJBQAAAAA=&#10;">
                <v:fill on="f" focussize="0,0"/>
                <v:stroke color="#000000" joinstyle="round"/>
                <v:imagedata o:title=""/>
                <o:lock v:ext="edit" aspectratio="f"/>
              </v:line>
            </w:pict>
          </mc:Fallback>
        </mc:AlternateContent>
      </w:r>
      <w:r>
        <w:rPr>
          <w:rFonts w:ascii="宋体" w:hAnsi="宋体"/>
          <w:bCs/>
          <w:color w:val="000000"/>
          <w:sz w:val="20"/>
          <w:szCs w:val="28"/>
        </w:rPr>
        <mc:AlternateContent>
          <mc:Choice Requires="wps">
            <w:drawing>
              <wp:anchor distT="0" distB="0" distL="114300" distR="114300" simplePos="0" relativeHeight="251729920" behindDoc="0" locked="0" layoutInCell="1" allowOverlap="1">
                <wp:simplePos x="0" y="0"/>
                <wp:positionH relativeFrom="column">
                  <wp:posOffset>914400</wp:posOffset>
                </wp:positionH>
                <wp:positionV relativeFrom="paragraph">
                  <wp:posOffset>148590</wp:posOffset>
                </wp:positionV>
                <wp:extent cx="0" cy="1981200"/>
                <wp:effectExtent l="4445" t="0" r="14605" b="0"/>
                <wp:wrapNone/>
                <wp:docPr id="222" name="直接连接符 222"/>
                <wp:cNvGraphicFramePr/>
                <a:graphic xmlns:a="http://schemas.openxmlformats.org/drawingml/2006/main">
                  <a:graphicData uri="http://schemas.microsoft.com/office/word/2010/wordprocessingShape">
                    <wps:wsp>
                      <wps:cNvCnPr/>
                      <wps:spPr>
                        <a:xfrm>
                          <a:off x="0" y="0"/>
                          <a:ext cx="0" cy="198120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72pt;margin-top:11.7pt;height:156pt;width:0pt;z-index:251729920;mso-width-relative:page;mso-height-relative:page;" filled="f" stroked="t" coordsize="21600,21600" o:gfxdata="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i500g1wAAAAoBAAAPAAAAAAAAAAEAIAAAACIAAABkcnMvZG93bnJldi54bWxQSwECFAAUAAAA&#10;CACHTuJAgeeXZu8BAADqAwAADgAAAAAAAAABACAAAAAmAQAAZHJzL2Uyb0RvYy54bWxQSwUGAAAA&#10;AAYABgBZAQAAhwUAAAAA&#10;">
                <v:fill on="f" focussize="0,0"/>
                <v:stroke color="#000000" joinstyle="round"/>
                <v:imagedata o:title=""/>
                <o:lock v:ext="edit" aspectratio="f"/>
              </v:line>
            </w:pict>
          </mc:Fallback>
        </mc:AlternateContent>
      </w:r>
    </w:p>
    <w:p w14:paraId="0BBFBE44">
      <w:pPr>
        <w:spacing w:line="300" w:lineRule="auto"/>
        <w:ind w:firstLine="480" w:firstLineChars="200"/>
        <w:rPr>
          <w:rFonts w:ascii="宋体" w:hAnsi="宋体"/>
          <w:bCs/>
          <w:color w:val="000000"/>
          <w:szCs w:val="28"/>
        </w:rPr>
      </w:pPr>
      <w:r>
        <mc:AlternateContent>
          <mc:Choice Requires="wps">
            <w:drawing>
              <wp:anchor distT="0" distB="0" distL="114300" distR="114300" simplePos="0" relativeHeight="251730944" behindDoc="0" locked="0" layoutInCell="1" allowOverlap="1">
                <wp:simplePos x="0" y="0"/>
                <wp:positionH relativeFrom="column">
                  <wp:posOffset>4572000</wp:posOffset>
                </wp:positionH>
                <wp:positionV relativeFrom="paragraph">
                  <wp:posOffset>99060</wp:posOffset>
                </wp:positionV>
                <wp:extent cx="342900" cy="1287780"/>
                <wp:effectExtent l="4445" t="4445" r="14605" b="22225"/>
                <wp:wrapNone/>
                <wp:docPr id="223" name="矩形 223"/>
                <wp:cNvGraphicFramePr/>
                <a:graphic xmlns:a="http://schemas.openxmlformats.org/drawingml/2006/main">
                  <a:graphicData uri="http://schemas.microsoft.com/office/word/2010/wordprocessingShape">
                    <wps:wsp>
                      <wps:cNvSpPr/>
                      <wps:spPr>
                        <a:xfrm>
                          <a:off x="0" y="0"/>
                          <a:ext cx="342900" cy="1287780"/>
                        </a:xfrm>
                        <a:prstGeom prst="rect">
                          <a:avLst/>
                        </a:prstGeom>
                        <a:solidFill>
                          <a:srgbClr val="FF99CC"/>
                        </a:solidFill>
                        <a:ln w="9525" cap="flat" cmpd="sng">
                          <a:solidFill>
                            <a:srgbClr val="000000"/>
                          </a:solidFill>
                          <a:prstDash val="solid"/>
                          <a:miter/>
                          <a:headEnd type="none" w="med" len="med"/>
                          <a:tailEnd type="none" w="med" len="med"/>
                        </a:ln>
                        <a:effectLst/>
                      </wps:spPr>
                      <wps:txbx>
                        <w:txbxContent>
                          <w:p w14:paraId="37A70A83">
                            <w:pPr>
                              <w:jc w:val="center"/>
                            </w:pPr>
                            <w:r>
                              <w:rPr>
                                <w:rFonts w:hint="eastAsia"/>
                              </w:rPr>
                              <w:t>提供领导决策</w:t>
                            </w:r>
                          </w:p>
                        </w:txbxContent>
                      </wps:txbx>
                      <wps:bodyPr wrap="square" upright="1"/>
                    </wps:wsp>
                  </a:graphicData>
                </a:graphic>
              </wp:anchor>
            </w:drawing>
          </mc:Choice>
          <mc:Fallback>
            <w:pict>
              <v:rect id="_x0000_s1026" o:spid="_x0000_s1026" o:spt="1" style="position:absolute;left:0pt;margin-left:360pt;margin-top:7.8pt;height:101.4pt;width:27pt;z-index:251730944;mso-width-relative:page;mso-height-relative:page;" fillcolor="#FF99CC" filled="t" stroked="t" coordsize="21600,21600" o:gfxdata="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K/nbB1wAAAAoBAAAP&#10;AAAAAAAAAAEAIAAAACIAAABkcnMvZG93bnJldi54bWxQSwECFAAUAAAACACHTuJA9+dfhBkCAABJ&#10;BAAADgAAAAAAAAABACAAAAAmAQAAZHJzL2Uyb0RvYy54bWxQSwUGAAAAAAYABgBZAQAAsQUAAAAA&#10;">
                <v:fill on="t" focussize="0,0"/>
                <v:stroke color="#000000" joinstyle="miter"/>
                <v:imagedata o:title=""/>
                <o:lock v:ext="edit" aspectratio="f"/>
                <v:textbox>
                  <w:txbxContent>
                    <w:p w14:paraId="37A70A83">
                      <w:pPr>
                        <w:jc w:val="center"/>
                      </w:pPr>
                      <w:r>
                        <w:rPr>
                          <w:rFonts w:hint="eastAsia"/>
                        </w:rPr>
                        <w:t>提供领导决策</w:t>
                      </w:r>
                    </w:p>
                  </w:txbxContent>
                </v:textbox>
              </v:rect>
            </w:pict>
          </mc:Fallback>
        </mc:AlternateContent>
      </w:r>
    </w:p>
    <w:p w14:paraId="55F2EB27">
      <w:pPr>
        <w:spacing w:line="300" w:lineRule="auto"/>
        <w:ind w:firstLine="400" w:firstLineChars="200"/>
        <w:jc w:val="center"/>
        <w:rPr>
          <w:rFonts w:ascii="宋体" w:hAnsi="宋体"/>
          <w:bCs/>
          <w:color w:val="000000"/>
          <w:szCs w:val="28"/>
        </w:rPr>
      </w:pPr>
      <w:r>
        <w:rPr>
          <w:rFonts w:ascii="宋体" w:hAnsi="宋体"/>
          <w:bCs/>
          <w:color w:val="000000"/>
          <w:sz w:val="20"/>
          <w:szCs w:val="28"/>
        </w:rPr>
        <mc:AlternateContent>
          <mc:Choice Requires="wps">
            <w:drawing>
              <wp:anchor distT="0" distB="0" distL="114300" distR="114300" simplePos="0" relativeHeight="251731968" behindDoc="0" locked="0" layoutInCell="1" allowOverlap="1">
                <wp:simplePos x="0" y="0"/>
                <wp:positionH relativeFrom="column">
                  <wp:posOffset>4000500</wp:posOffset>
                </wp:positionH>
                <wp:positionV relativeFrom="paragraph">
                  <wp:posOffset>49530</wp:posOffset>
                </wp:positionV>
                <wp:extent cx="342900" cy="891540"/>
                <wp:effectExtent l="4445" t="4445" r="14605" b="18415"/>
                <wp:wrapNone/>
                <wp:docPr id="224" name="矩形 224"/>
                <wp:cNvGraphicFramePr/>
                <a:graphic xmlns:a="http://schemas.openxmlformats.org/drawingml/2006/main">
                  <a:graphicData uri="http://schemas.microsoft.com/office/word/2010/wordprocessingShape">
                    <wps:wsp>
                      <wps:cNvSpPr/>
                      <wps:spPr>
                        <a:xfrm>
                          <a:off x="0" y="0"/>
                          <a:ext cx="342900" cy="891540"/>
                        </a:xfrm>
                        <a:prstGeom prst="rect">
                          <a:avLst/>
                        </a:prstGeom>
                        <a:solidFill>
                          <a:srgbClr val="FF99CC"/>
                        </a:solidFill>
                        <a:ln w="9525" cap="flat" cmpd="sng">
                          <a:solidFill>
                            <a:srgbClr val="000000"/>
                          </a:solidFill>
                          <a:prstDash val="solid"/>
                          <a:miter/>
                          <a:headEnd type="none" w="med" len="med"/>
                          <a:tailEnd type="none" w="med" len="med"/>
                        </a:ln>
                        <a:effectLst/>
                      </wps:spPr>
                      <wps:txbx>
                        <w:txbxContent>
                          <w:p w14:paraId="405EF188">
                            <w:r>
                              <w:rPr>
                                <w:rFonts w:hint="eastAsia"/>
                              </w:rPr>
                              <w:t>财务分析</w:t>
                            </w:r>
                          </w:p>
                        </w:txbxContent>
                      </wps:txbx>
                      <wps:bodyPr wrap="square" upright="1"/>
                    </wps:wsp>
                  </a:graphicData>
                </a:graphic>
              </wp:anchor>
            </w:drawing>
          </mc:Choice>
          <mc:Fallback>
            <w:pict>
              <v:rect id="_x0000_s1026" o:spid="_x0000_s1026" o:spt="1" style="position:absolute;left:0pt;margin-left:315pt;margin-top:3.9pt;height:70.2pt;width:27pt;z-index:251731968;mso-width-relative:page;mso-height-relative:page;" fillcolor="#FF99CC" filled="t" stroked="t" coordsize="21600,21600" o:gfxdata="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Zok8/1gAAAAkBAAAPAAAA&#10;AAAAAAEAIAAAACIAAABkcnMvZG93bnJldi54bWxQSwECFAAUAAAACACHTuJAUni5VBcCAABIBAAA&#10;DgAAAAAAAAABACAAAAAlAQAAZHJzL2Uyb0RvYy54bWxQSwUGAAAAAAYABgBZAQAArgUAAAAA&#10;">
                <v:fill on="t" focussize="0,0"/>
                <v:stroke color="#000000" joinstyle="miter"/>
                <v:imagedata o:title=""/>
                <o:lock v:ext="edit" aspectratio="f"/>
                <v:textbox>
                  <w:txbxContent>
                    <w:p w14:paraId="405EF188">
                      <w:r>
                        <w:rPr>
                          <w:rFonts w:hint="eastAsia"/>
                        </w:rPr>
                        <w:t>财务分析</w:t>
                      </w:r>
                    </w:p>
                  </w:txbxContent>
                </v:textbox>
              </v:rect>
            </w:pict>
          </mc:Fallback>
        </mc:AlternateContent>
      </w:r>
      <w:r>
        <w:rPr>
          <w:rFonts w:ascii="宋体" w:hAnsi="宋体"/>
          <w:bCs/>
          <w:color w:val="000000"/>
          <w:sz w:val="20"/>
          <w:szCs w:val="28"/>
        </w:rPr>
        <mc:AlternateContent>
          <mc:Choice Requires="wps">
            <w:drawing>
              <wp:anchor distT="0" distB="0" distL="114300" distR="114300" simplePos="0" relativeHeight="251732992" behindDoc="0" locked="0" layoutInCell="1" allowOverlap="1">
                <wp:simplePos x="0" y="0"/>
                <wp:positionH relativeFrom="column">
                  <wp:posOffset>1598295</wp:posOffset>
                </wp:positionH>
                <wp:positionV relativeFrom="paragraph">
                  <wp:posOffset>148590</wp:posOffset>
                </wp:positionV>
                <wp:extent cx="342900" cy="891540"/>
                <wp:effectExtent l="4445" t="4445" r="14605" b="18415"/>
                <wp:wrapNone/>
                <wp:docPr id="225" name="矩形 225"/>
                <wp:cNvGraphicFramePr/>
                <a:graphic xmlns:a="http://schemas.openxmlformats.org/drawingml/2006/main">
                  <a:graphicData uri="http://schemas.microsoft.com/office/word/2010/wordprocessingShape">
                    <wps:wsp>
                      <wps:cNvSpPr/>
                      <wps:spPr>
                        <a:xfrm>
                          <a:off x="0" y="0"/>
                          <a:ext cx="342900" cy="891540"/>
                        </a:xfrm>
                        <a:prstGeom prst="rect">
                          <a:avLst/>
                        </a:prstGeom>
                        <a:solidFill>
                          <a:srgbClr val="00FF00"/>
                        </a:solidFill>
                        <a:ln w="9525" cap="flat" cmpd="sng">
                          <a:solidFill>
                            <a:srgbClr val="000000"/>
                          </a:solidFill>
                          <a:prstDash val="solid"/>
                          <a:miter/>
                          <a:headEnd type="none" w="med" len="med"/>
                          <a:tailEnd type="none" w="med" len="med"/>
                        </a:ln>
                        <a:effectLst/>
                      </wps:spPr>
                      <wps:txbx>
                        <w:txbxContent>
                          <w:p w14:paraId="584B9492">
                            <w:r>
                              <w:rPr>
                                <w:rFonts w:hint="eastAsia"/>
                              </w:rPr>
                              <w:t>会计数据收集</w:t>
                            </w:r>
                          </w:p>
                        </w:txbxContent>
                      </wps:txbx>
                      <wps:bodyPr wrap="square" upright="1"/>
                    </wps:wsp>
                  </a:graphicData>
                </a:graphic>
              </wp:anchor>
            </w:drawing>
          </mc:Choice>
          <mc:Fallback>
            <w:pict>
              <v:rect id="_x0000_s1026" o:spid="_x0000_s1026" o:spt="1" style="position:absolute;left:0pt;margin-left:125.85pt;margin-top:11.7pt;height:70.2pt;width:27pt;z-index:251732992;mso-width-relative:page;mso-height-relative:page;" fillcolor="#00FF00" filled="t" stroked="t" coordsize="21600,21600" o:gfxdata="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ASN36fZAAAACgEAAA8AAAAA&#10;AAAAAQAgAAAAIgAAAGRycy9kb3ducmV2LnhtbFBLAQIUABQAAAAIAIdO4kBP9ln5EwIAAEgEAAAO&#10;AAAAAAAAAAEAIAAAACgBAABkcnMvZTJvRG9jLnhtbFBLBQYAAAAABgAGAFkBAACtBQAAAAA=&#10;">
                <v:fill on="t" focussize="0,0"/>
                <v:stroke color="#000000" joinstyle="miter"/>
                <v:imagedata o:title=""/>
                <o:lock v:ext="edit" aspectratio="f"/>
                <v:textbox>
                  <w:txbxContent>
                    <w:p w14:paraId="584B9492">
                      <w:r>
                        <w:rPr>
                          <w:rFonts w:hint="eastAsia"/>
                        </w:rPr>
                        <w:t>会计数据收集</w:t>
                      </w:r>
                    </w:p>
                  </w:txbxContent>
                </v:textbox>
              </v:rect>
            </w:pict>
          </mc:Fallback>
        </mc:AlternateContent>
      </w:r>
      <w:r>
        <w:rPr>
          <w:rFonts w:ascii="宋体" w:hAnsi="宋体"/>
          <w:bCs/>
          <w:color w:val="000000"/>
          <w:sz w:val="20"/>
          <w:szCs w:val="28"/>
        </w:rPr>
        <mc:AlternateContent>
          <mc:Choice Requires="wps">
            <w:drawing>
              <wp:anchor distT="0" distB="0" distL="114300" distR="114300" simplePos="0" relativeHeight="251734016" behindDoc="0" locked="0" layoutInCell="1" allowOverlap="1">
                <wp:simplePos x="0" y="0"/>
                <wp:positionH relativeFrom="column">
                  <wp:posOffset>1141095</wp:posOffset>
                </wp:positionH>
                <wp:positionV relativeFrom="paragraph">
                  <wp:posOffset>148590</wp:posOffset>
                </wp:positionV>
                <wp:extent cx="342900" cy="891540"/>
                <wp:effectExtent l="4445" t="4445" r="14605" b="18415"/>
                <wp:wrapNone/>
                <wp:docPr id="226" name="矩形 226"/>
                <wp:cNvGraphicFramePr/>
                <a:graphic xmlns:a="http://schemas.openxmlformats.org/drawingml/2006/main">
                  <a:graphicData uri="http://schemas.microsoft.com/office/word/2010/wordprocessingShape">
                    <wps:wsp>
                      <wps:cNvSpPr/>
                      <wps:spPr>
                        <a:xfrm>
                          <a:off x="0" y="0"/>
                          <a:ext cx="342900" cy="891540"/>
                        </a:xfrm>
                        <a:prstGeom prst="rect">
                          <a:avLst/>
                        </a:prstGeom>
                        <a:solidFill>
                          <a:srgbClr val="00FF00"/>
                        </a:solidFill>
                        <a:ln w="9525" cap="flat" cmpd="sng">
                          <a:solidFill>
                            <a:srgbClr val="000000"/>
                          </a:solidFill>
                          <a:prstDash val="solid"/>
                          <a:miter/>
                          <a:headEnd type="none" w="med" len="med"/>
                          <a:tailEnd type="none" w="med" len="med"/>
                        </a:ln>
                        <a:effectLst/>
                      </wps:spPr>
                      <wps:txbx>
                        <w:txbxContent>
                          <w:p w14:paraId="2E309F4D">
                            <w:r>
                              <w:rPr>
                                <w:rFonts w:hint="eastAsia"/>
                              </w:rPr>
                              <w:t>会计管理</w:t>
                            </w:r>
                          </w:p>
                        </w:txbxContent>
                      </wps:txbx>
                      <wps:bodyPr wrap="square" upright="1"/>
                    </wps:wsp>
                  </a:graphicData>
                </a:graphic>
              </wp:anchor>
            </w:drawing>
          </mc:Choice>
          <mc:Fallback>
            <w:pict>
              <v:rect id="_x0000_s1026" o:spid="_x0000_s1026" o:spt="1" style="position:absolute;left:0pt;margin-left:89.85pt;margin-top:11.7pt;height:70.2pt;width:27pt;z-index:251734016;mso-width-relative:page;mso-height-relative:page;" fillcolor="#00FF00" filled="t" stroked="t" coordsize="21600,21600" o:gfxdata="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4GN2oNkAAAAKAQAADwAA&#10;AAAAAAABACAAAAAiAAAAZHJzL2Rvd25yZXYueG1sUEsBAhQAFAAAAAgAh07iQFYXhqUVAgAASAQA&#10;AA4AAAAAAAAAAQAgAAAAKAEAAGRycy9lMm9Eb2MueG1sUEsFBgAAAAAGAAYAWQEAAK8FAAAAAA==&#10;">
                <v:fill on="t" focussize="0,0"/>
                <v:stroke color="#000000" joinstyle="miter"/>
                <v:imagedata o:title=""/>
                <o:lock v:ext="edit" aspectratio="f"/>
                <v:textbox>
                  <w:txbxContent>
                    <w:p w14:paraId="2E309F4D">
                      <w:r>
                        <w:rPr>
                          <w:rFonts w:hint="eastAsia"/>
                        </w:rPr>
                        <w:t>会计管理</w:t>
                      </w:r>
                    </w:p>
                  </w:txbxContent>
                </v:textbox>
              </v:rect>
            </w:pict>
          </mc:Fallback>
        </mc:AlternateContent>
      </w:r>
    </w:p>
    <w:p w14:paraId="633416B3">
      <w:pPr>
        <w:spacing w:line="300" w:lineRule="auto"/>
        <w:ind w:firstLine="400" w:firstLineChars="200"/>
        <w:rPr>
          <w:rFonts w:ascii="宋体" w:hAnsi="宋体"/>
          <w:bCs/>
          <w:color w:val="000000"/>
          <w:szCs w:val="28"/>
        </w:rPr>
      </w:pPr>
      <w:r>
        <w:rPr>
          <w:rFonts w:ascii="宋体" w:hAnsi="宋体"/>
          <w:bCs/>
          <w:color w:val="000000"/>
          <w:sz w:val="20"/>
          <w:szCs w:val="28"/>
        </w:rPr>
        <mc:AlternateContent>
          <mc:Choice Requires="wps">
            <w:drawing>
              <wp:anchor distT="0" distB="0" distL="114300" distR="114300" simplePos="0" relativeHeight="251735040" behindDoc="0" locked="0" layoutInCell="1" allowOverlap="1">
                <wp:simplePos x="0" y="0"/>
                <wp:positionH relativeFrom="column">
                  <wp:posOffset>2971800</wp:posOffset>
                </wp:positionH>
                <wp:positionV relativeFrom="paragraph">
                  <wp:posOffset>0</wp:posOffset>
                </wp:positionV>
                <wp:extent cx="571500" cy="693420"/>
                <wp:effectExtent l="4445" t="4445" r="14605" b="6985"/>
                <wp:wrapNone/>
                <wp:docPr id="227" name="矩形 227"/>
                <wp:cNvGraphicFramePr/>
                <a:graphic xmlns:a="http://schemas.openxmlformats.org/drawingml/2006/main">
                  <a:graphicData uri="http://schemas.microsoft.com/office/word/2010/wordprocessingShape">
                    <wps:wsp>
                      <wps:cNvSpPr/>
                      <wps:spPr>
                        <a:xfrm>
                          <a:off x="0" y="0"/>
                          <a:ext cx="571500" cy="693420"/>
                        </a:xfrm>
                        <a:prstGeom prst="rect">
                          <a:avLst/>
                        </a:prstGeom>
                        <a:solidFill>
                          <a:srgbClr val="00FF00"/>
                        </a:solidFill>
                        <a:ln w="9525" cap="flat" cmpd="sng">
                          <a:solidFill>
                            <a:srgbClr val="000000"/>
                          </a:solidFill>
                          <a:prstDash val="solid"/>
                          <a:miter/>
                          <a:headEnd type="none" w="med" len="med"/>
                          <a:tailEnd type="none" w="med" len="med"/>
                        </a:ln>
                        <a:effectLst/>
                      </wps:spPr>
                      <wps:txbx>
                        <w:txbxContent>
                          <w:p w14:paraId="5C72096C">
                            <w:pPr>
                              <w:pStyle w:val="9"/>
                            </w:pPr>
                            <w:r>
                              <w:rPr>
                                <w:rFonts w:hint="eastAsia"/>
                              </w:rPr>
                              <w:t>会计报表生成</w:t>
                            </w:r>
                          </w:p>
                        </w:txbxContent>
                      </wps:txbx>
                      <wps:bodyPr wrap="square" upright="1"/>
                    </wps:wsp>
                  </a:graphicData>
                </a:graphic>
              </wp:anchor>
            </w:drawing>
          </mc:Choice>
          <mc:Fallback>
            <w:pict>
              <v:rect id="_x0000_s1026" o:spid="_x0000_s1026" o:spt="1" style="position:absolute;left:0pt;margin-left:234pt;margin-top:0pt;height:54.6pt;width:45pt;z-index:251735040;mso-width-relative:page;mso-height-relative:page;" fillcolor="#00FF00" filled="t" stroked="t" coordsize="21600,21600" o:gfxdata="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B33nd3XAAAACAEAAA8AAAAA&#10;AAAAAQAgAAAAIgAAAGRycy9kb3ducmV2LnhtbFBLAQIUABQAAAAIAIdO4kCcZOrmFQIAAEgEAAAO&#10;AAAAAAAAAAEAIAAAACYBAABkcnMvZTJvRG9jLnhtbFBLBQYAAAAABgAGAFkBAACtBQAAAAA=&#10;">
                <v:fill on="t" focussize="0,0"/>
                <v:stroke color="#000000" joinstyle="miter"/>
                <v:imagedata o:title=""/>
                <o:lock v:ext="edit" aspectratio="f"/>
                <v:textbox>
                  <w:txbxContent>
                    <w:p w14:paraId="5C72096C">
                      <w:pPr>
                        <w:pStyle w:val="9"/>
                      </w:pPr>
                      <w:r>
                        <w:rPr>
                          <w:rFonts w:hint="eastAsia"/>
                        </w:rPr>
                        <w:t>会计报表生成</w:t>
                      </w:r>
                    </w:p>
                  </w:txbxContent>
                </v:textbox>
              </v:rect>
            </w:pict>
          </mc:Fallback>
        </mc:AlternateContent>
      </w:r>
      <w:r>
        <w:rPr>
          <w:rFonts w:ascii="宋体" w:hAnsi="宋体"/>
          <w:bCs/>
          <w:color w:val="000000"/>
          <w:sz w:val="20"/>
          <w:szCs w:val="28"/>
        </w:rPr>
        <mc:AlternateContent>
          <mc:Choice Requires="wps">
            <w:drawing>
              <wp:anchor distT="0" distB="0" distL="114300" distR="114300" simplePos="0" relativeHeight="251736064" behindDoc="0" locked="0" layoutInCell="1" allowOverlap="1">
                <wp:simplePos x="0" y="0"/>
                <wp:positionH relativeFrom="column">
                  <wp:posOffset>2171700</wp:posOffset>
                </wp:positionH>
                <wp:positionV relativeFrom="paragraph">
                  <wp:posOffset>0</wp:posOffset>
                </wp:positionV>
                <wp:extent cx="571500" cy="693420"/>
                <wp:effectExtent l="4445" t="4445" r="14605" b="6985"/>
                <wp:wrapNone/>
                <wp:docPr id="228" name="矩形 228"/>
                <wp:cNvGraphicFramePr/>
                <a:graphic xmlns:a="http://schemas.openxmlformats.org/drawingml/2006/main">
                  <a:graphicData uri="http://schemas.microsoft.com/office/word/2010/wordprocessingShape">
                    <wps:wsp>
                      <wps:cNvSpPr/>
                      <wps:spPr>
                        <a:xfrm>
                          <a:off x="0" y="0"/>
                          <a:ext cx="571500" cy="693420"/>
                        </a:xfrm>
                        <a:prstGeom prst="rect">
                          <a:avLst/>
                        </a:prstGeom>
                        <a:solidFill>
                          <a:srgbClr val="00FF00"/>
                        </a:solidFill>
                        <a:ln w="9525" cap="flat" cmpd="sng">
                          <a:solidFill>
                            <a:srgbClr val="000000"/>
                          </a:solidFill>
                          <a:prstDash val="solid"/>
                          <a:miter/>
                          <a:headEnd type="none" w="med" len="med"/>
                          <a:tailEnd type="none" w="med" len="med"/>
                        </a:ln>
                        <a:effectLst/>
                      </wps:spPr>
                      <wps:txbx>
                        <w:txbxContent>
                          <w:p w14:paraId="43E8E080">
                            <w:pPr>
                              <w:pStyle w:val="9"/>
                            </w:pPr>
                            <w:r>
                              <w:rPr>
                                <w:rFonts w:hint="eastAsia"/>
                              </w:rPr>
                              <w:t>会计帐务处理</w:t>
                            </w:r>
                          </w:p>
                        </w:txbxContent>
                      </wps:txbx>
                      <wps:bodyPr wrap="square" upright="1"/>
                    </wps:wsp>
                  </a:graphicData>
                </a:graphic>
              </wp:anchor>
            </w:drawing>
          </mc:Choice>
          <mc:Fallback>
            <w:pict>
              <v:rect id="_x0000_s1026" o:spid="_x0000_s1026" o:spt="1" style="position:absolute;left:0pt;margin-left:171pt;margin-top:0pt;height:54.6pt;width:45pt;z-index:251736064;mso-width-relative:page;mso-height-relative:page;" fillcolor="#00FF00" filled="t" stroked="t" coordsize="21600,21600" o:gfxdata="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4gXb1NcAAAAIAQAADwAAAAAA&#10;AAABACAAAAAiAAAAZHJzL2Rvd25yZXYueG1sUEsBAhQAFAAAAAgAh07iQKAHOxIUAgAASAQAAA4A&#10;AAAAAAAAAQAgAAAAJgEAAGRycy9lMm9Eb2MueG1sUEsFBgAAAAAGAAYAWQEAAKwFAAAAAA==&#10;">
                <v:fill on="t" focussize="0,0"/>
                <v:stroke color="#000000" joinstyle="miter"/>
                <v:imagedata o:title=""/>
                <o:lock v:ext="edit" aspectratio="f"/>
                <v:textbox>
                  <w:txbxContent>
                    <w:p w14:paraId="43E8E080">
                      <w:pPr>
                        <w:pStyle w:val="9"/>
                      </w:pPr>
                      <w:r>
                        <w:rPr>
                          <w:rFonts w:hint="eastAsia"/>
                        </w:rPr>
                        <w:t>会计帐务处理</w:t>
                      </w:r>
                    </w:p>
                  </w:txbxContent>
                </v:textbox>
              </v:rect>
            </w:pict>
          </mc:Fallback>
        </mc:AlternateContent>
      </w:r>
    </w:p>
    <w:p w14:paraId="6057C191">
      <w:pPr>
        <w:spacing w:line="300" w:lineRule="auto"/>
        <w:ind w:firstLine="400" w:firstLineChars="200"/>
        <w:rPr>
          <w:rFonts w:ascii="宋体" w:hAnsi="宋体"/>
          <w:bCs/>
          <w:color w:val="000000"/>
          <w:szCs w:val="28"/>
        </w:rPr>
      </w:pPr>
      <w:r>
        <w:rPr>
          <w:rFonts w:ascii="宋体" w:hAnsi="宋体"/>
          <w:bCs/>
          <w:color w:val="000000"/>
          <w:sz w:val="20"/>
          <w:szCs w:val="28"/>
        </w:rPr>
        <mc:AlternateContent>
          <mc:Choice Requires="wps">
            <w:drawing>
              <wp:anchor distT="0" distB="0" distL="114300" distR="114300" simplePos="0" relativeHeight="251737088" behindDoc="0" locked="0" layoutInCell="1" allowOverlap="1">
                <wp:simplePos x="0" y="0"/>
                <wp:positionH relativeFrom="column">
                  <wp:posOffset>4343400</wp:posOffset>
                </wp:positionH>
                <wp:positionV relativeFrom="paragraph">
                  <wp:posOffset>49530</wp:posOffset>
                </wp:positionV>
                <wp:extent cx="228600" cy="0"/>
                <wp:effectExtent l="0" t="38100" r="0" b="38100"/>
                <wp:wrapNone/>
                <wp:docPr id="229" name="直接连接符 229"/>
                <wp:cNvGraphicFramePr/>
                <a:graphic xmlns:a="http://schemas.openxmlformats.org/drawingml/2006/main">
                  <a:graphicData uri="http://schemas.microsoft.com/office/word/2010/wordprocessingShape">
                    <wps:wsp>
                      <wps:cNvCnPr/>
                      <wps:spPr>
                        <a:xfrm>
                          <a:off x="0" y="0"/>
                          <a:ext cx="228600" cy="0"/>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id="_x0000_s1026" o:spid="_x0000_s1026" o:spt="20" style="position:absolute;left:0pt;margin-left:342pt;margin-top:3.9pt;height:0pt;width:18pt;z-index:251737088;mso-width-relative:page;mso-height-relative:page;" filled="f" stroked="t" coordsize="21600,21600" o:gfxdata="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r4o+ENYAAAAHAQAADwAAAAAAAAABACAAAAAiAAAAZHJzL2Rvd25yZXYueG1s&#10;UEsBAhQAFAAAAAgAh07iQA5CtvX6AQAA7QMAAA4AAAAAAAAAAQAgAAAAJQEAAGRycy9lMm9Eb2Mu&#10;eG1sUEsFBgAAAAAGAAYAWQEAAJEFAAAAAA==&#10;">
                <v:fill on="f" focussize="0,0"/>
                <v:stroke color="#000000" joinstyle="round" endarrow="block"/>
                <v:imagedata o:title=""/>
                <o:lock v:ext="edit" aspectratio="f"/>
              </v:line>
            </w:pict>
          </mc:Fallback>
        </mc:AlternateContent>
      </w:r>
      <w:r>
        <w:rPr>
          <w:rFonts w:ascii="宋体" w:hAnsi="宋体"/>
          <w:bCs/>
          <w:color w:val="000000"/>
          <w:sz w:val="20"/>
          <w:szCs w:val="28"/>
        </w:rPr>
        <mc:AlternateContent>
          <mc:Choice Requires="wps">
            <w:drawing>
              <wp:anchor distT="0" distB="0" distL="114300" distR="114300" simplePos="0" relativeHeight="251738112" behindDoc="0" locked="0" layoutInCell="1" allowOverlap="1">
                <wp:simplePos x="0" y="0"/>
                <wp:positionH relativeFrom="column">
                  <wp:posOffset>3543300</wp:posOffset>
                </wp:positionH>
                <wp:positionV relativeFrom="paragraph">
                  <wp:posOffset>49530</wp:posOffset>
                </wp:positionV>
                <wp:extent cx="457200" cy="0"/>
                <wp:effectExtent l="0" t="38100" r="0" b="38100"/>
                <wp:wrapNone/>
                <wp:docPr id="230" name="直接连接符 230"/>
                <wp:cNvGraphicFramePr/>
                <a:graphic xmlns:a="http://schemas.openxmlformats.org/drawingml/2006/main">
                  <a:graphicData uri="http://schemas.microsoft.com/office/word/2010/wordprocessingShape">
                    <wps:wsp>
                      <wps:cNvCnPr/>
                      <wps:spPr>
                        <a:xfrm>
                          <a:off x="0" y="0"/>
                          <a:ext cx="457200" cy="0"/>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id="_x0000_s1026" o:spid="_x0000_s1026" o:spt="20" style="position:absolute;left:0pt;margin-left:279pt;margin-top:3.9pt;height:0pt;width:36pt;z-index:251738112;mso-width-relative:page;mso-height-relative:page;" filled="f" stroked="t" coordsize="21600,21600" o:gfxdata="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DqzN19YAAAAHAQAADwAAAAAAAAABACAAAAAiAAAAZHJzL2Rvd25yZXYueG1s&#10;UEsBAhQAFAAAAAgAh07iQO5ftmP6AQAA7QMAAA4AAAAAAAAAAQAgAAAAJQEAAGRycy9lMm9Eb2Mu&#10;eG1sUEsFBgAAAAAGAAYAWQEAAJEFAAAAAA==&#10;">
                <v:fill on="f" focussize="0,0"/>
                <v:stroke color="#000000" joinstyle="round" endarrow="block"/>
                <v:imagedata o:title=""/>
                <o:lock v:ext="edit" aspectratio="f"/>
              </v:line>
            </w:pict>
          </mc:Fallback>
        </mc:AlternateContent>
      </w:r>
      <w:r>
        <w:rPr>
          <w:rFonts w:ascii="宋体" w:hAnsi="宋体"/>
          <w:bCs/>
          <w:color w:val="000000"/>
          <w:sz w:val="20"/>
          <w:szCs w:val="28"/>
        </w:rPr>
        <mc:AlternateContent>
          <mc:Choice Requires="wps">
            <w:drawing>
              <wp:anchor distT="0" distB="0" distL="114300" distR="114300" simplePos="0" relativeHeight="251739136" behindDoc="0" locked="0" layoutInCell="1" allowOverlap="1">
                <wp:simplePos x="0" y="0"/>
                <wp:positionH relativeFrom="column">
                  <wp:posOffset>2743200</wp:posOffset>
                </wp:positionH>
                <wp:positionV relativeFrom="paragraph">
                  <wp:posOffset>49530</wp:posOffset>
                </wp:positionV>
                <wp:extent cx="222250" cy="0"/>
                <wp:effectExtent l="0" t="38100" r="6350" b="38100"/>
                <wp:wrapNone/>
                <wp:docPr id="231" name="直接连接符 231"/>
                <wp:cNvGraphicFramePr/>
                <a:graphic xmlns:a="http://schemas.openxmlformats.org/drawingml/2006/main">
                  <a:graphicData uri="http://schemas.microsoft.com/office/word/2010/wordprocessingShape">
                    <wps:wsp>
                      <wps:cNvCnPr/>
                      <wps:spPr>
                        <a:xfrm>
                          <a:off x="0" y="0"/>
                          <a:ext cx="227965" cy="0"/>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id="_x0000_s1026" o:spid="_x0000_s1026" o:spt="20" style="position:absolute;left:0pt;margin-left:216pt;margin-top:3.9pt;height:0pt;width:17.5pt;z-index:251739136;mso-width-relative:page;mso-height-relative:page;" filled="f" stroked="t" coordsize="21600,21600" o:gfxdata="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ES4OEDXAAAABwEAAA8AAAAAAAAAAQAgAAAAIgAAAGRycy9kb3ducmV2Lnht&#10;bFBLAQIUABQAAAAIAIdO4kDHxgvp+gEAAO0DAAAOAAAAAAAAAAEAIAAAACYBAABkcnMvZTJvRG9j&#10;LnhtbFBLBQYAAAAABgAGAFkBAACSBQAAAAA=&#10;">
                <v:fill on="f" focussize="0,0"/>
                <v:stroke color="#000000" joinstyle="round" endarrow="block"/>
                <v:imagedata o:title=""/>
                <o:lock v:ext="edit" aspectratio="f"/>
              </v:line>
            </w:pict>
          </mc:Fallback>
        </mc:AlternateContent>
      </w:r>
      <w:r>
        <w:rPr>
          <w:rFonts w:ascii="宋体" w:hAnsi="宋体"/>
          <w:bCs/>
          <w:color w:val="000000"/>
          <w:sz w:val="20"/>
          <w:szCs w:val="28"/>
        </w:rPr>
        <mc:AlternateContent>
          <mc:Choice Requires="wps">
            <w:drawing>
              <wp:anchor distT="0" distB="0" distL="114300" distR="114300" simplePos="0" relativeHeight="251740160" behindDoc="0" locked="0" layoutInCell="1" allowOverlap="1">
                <wp:simplePos x="0" y="0"/>
                <wp:positionH relativeFrom="column">
                  <wp:posOffset>1943100</wp:posOffset>
                </wp:positionH>
                <wp:positionV relativeFrom="paragraph">
                  <wp:posOffset>49530</wp:posOffset>
                </wp:positionV>
                <wp:extent cx="228600" cy="0"/>
                <wp:effectExtent l="0" t="38100" r="0" b="38100"/>
                <wp:wrapNone/>
                <wp:docPr id="232" name="直接连接符 232"/>
                <wp:cNvGraphicFramePr/>
                <a:graphic xmlns:a="http://schemas.openxmlformats.org/drawingml/2006/main">
                  <a:graphicData uri="http://schemas.microsoft.com/office/word/2010/wordprocessingShape">
                    <wps:wsp>
                      <wps:cNvCnPr/>
                      <wps:spPr>
                        <a:xfrm>
                          <a:off x="0" y="0"/>
                          <a:ext cx="228600" cy="0"/>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id="_x0000_s1026" o:spid="_x0000_s1026" o:spt="20" style="position:absolute;left:0pt;margin-left:153pt;margin-top:3.9pt;height:0pt;width:18pt;z-index:251740160;mso-width-relative:page;mso-height-relative:page;" filled="f" stroked="t" coordsize="21600,21600" o:gfxdata="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Kp7vtvXAAAABwEAAA8AAAAAAAAAAQAgAAAAIgAAAGRycy9kb3ducmV2Lnht&#10;bFBLAQIUABQAAAAIAIdO4kDAWqAz+gEAAO0DAAAOAAAAAAAAAAEAIAAAACYBAABkcnMvZTJvRG9j&#10;LnhtbFBLBQYAAAAABgAGAFkBAACSBQAAAAA=&#10;">
                <v:fill on="f" focussize="0,0"/>
                <v:stroke color="#000000" joinstyle="round" endarrow="block"/>
                <v:imagedata o:title=""/>
                <o:lock v:ext="edit" aspectratio="f"/>
              </v:line>
            </w:pict>
          </mc:Fallback>
        </mc:AlternateContent>
      </w:r>
      <w:r>
        <w:rPr>
          <w:rFonts w:ascii="宋体" w:hAnsi="宋体"/>
          <w:bCs/>
          <w:color w:val="000000"/>
          <w:sz w:val="20"/>
          <w:szCs w:val="28"/>
        </w:rPr>
        <mc:AlternateContent>
          <mc:Choice Requires="wps">
            <w:drawing>
              <wp:anchor distT="0" distB="0" distL="114300" distR="114300" simplePos="0" relativeHeight="251741184" behindDoc="0" locked="0" layoutInCell="1" allowOverlap="1">
                <wp:simplePos x="0" y="0"/>
                <wp:positionH relativeFrom="column">
                  <wp:posOffset>800100</wp:posOffset>
                </wp:positionH>
                <wp:positionV relativeFrom="paragraph">
                  <wp:posOffset>148590</wp:posOffset>
                </wp:positionV>
                <wp:extent cx="114300" cy="0"/>
                <wp:effectExtent l="0" t="38100" r="0" b="38100"/>
                <wp:wrapNone/>
                <wp:docPr id="233" name="直接连接符 233"/>
                <wp:cNvGraphicFramePr/>
                <a:graphic xmlns:a="http://schemas.openxmlformats.org/drawingml/2006/main">
                  <a:graphicData uri="http://schemas.microsoft.com/office/word/2010/wordprocessingShape">
                    <wps:wsp>
                      <wps:cNvCnPr/>
                      <wps:spPr>
                        <a:xfrm>
                          <a:off x="0" y="0"/>
                          <a:ext cx="114300" cy="0"/>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id="_x0000_s1026" o:spid="_x0000_s1026" o:spt="20" style="position:absolute;left:0pt;margin-left:63pt;margin-top:11.7pt;height:0pt;width:9pt;z-index:251741184;mso-width-relative:page;mso-height-relative:page;" filled="f" stroked="t" coordsize="21600,21600" o:gfxdata="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h4CC32AAAAAkBAAAPAAAAAAAAAAEAIAAAACIAAABkcnMvZG93bnJldi54&#10;bWxQSwECFAAUAAAACACHTuJAjvan9voBAADtAwAADgAAAAAAAAABACAAAAAnAQAAZHJzL2Uyb0Rv&#10;Yy54bWxQSwUGAAAAAAYABgBZAQAAkwUAAAAA&#10;">
                <v:fill on="f" focussize="0,0"/>
                <v:stroke color="#000000" joinstyle="round" endarrow="block"/>
                <v:imagedata o:title=""/>
                <o:lock v:ext="edit" aspectratio="f"/>
              </v:line>
            </w:pict>
          </mc:Fallback>
        </mc:AlternateContent>
      </w:r>
      <w:r>
        <w:rPr>
          <w:rFonts w:ascii="宋体" w:hAnsi="宋体"/>
          <w:bCs/>
          <w:color w:val="000000"/>
          <w:sz w:val="20"/>
          <w:szCs w:val="28"/>
        </w:rPr>
        <mc:AlternateContent>
          <mc:Choice Requires="wps">
            <w:drawing>
              <wp:anchor distT="0" distB="0" distL="114300" distR="114300" simplePos="0" relativeHeight="251742208" behindDoc="0" locked="0" layoutInCell="1" allowOverlap="1">
                <wp:simplePos x="0" y="0"/>
                <wp:positionH relativeFrom="column">
                  <wp:posOffset>914400</wp:posOffset>
                </wp:positionH>
                <wp:positionV relativeFrom="paragraph">
                  <wp:posOffset>148590</wp:posOffset>
                </wp:positionV>
                <wp:extent cx="222250" cy="0"/>
                <wp:effectExtent l="0" t="4445" r="0" b="5080"/>
                <wp:wrapNone/>
                <wp:docPr id="234" name="直接连接符 234"/>
                <wp:cNvGraphicFramePr/>
                <a:graphic xmlns:a="http://schemas.openxmlformats.org/drawingml/2006/main">
                  <a:graphicData uri="http://schemas.microsoft.com/office/word/2010/wordprocessingShape">
                    <wps:wsp>
                      <wps:cNvCnPr/>
                      <wps:spPr>
                        <a:xfrm>
                          <a:off x="0" y="0"/>
                          <a:ext cx="22796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72pt;margin-top:11.7pt;height:0pt;width:17.5pt;z-index:251742208;mso-width-relative:page;mso-height-relative:page;" filled="f" stroked="t" coordsize="21600,21600" o:gfxdata="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96gibVAAAACQEAAA8AAAAAAAAAAQAgAAAAIgAAAGRycy9kb3ducmV2LnhtbFBLAQIUABQA&#10;AAAIAIdO4kC53jNa8wEAAOkDAAAOAAAAAAAAAAEAIAAAACQBAABkcnMvZTJvRG9jLnhtbFBLBQYA&#10;AAAABgAGAFkBAACJBQAAAAA=&#10;">
                <v:fill on="f" focussize="0,0"/>
                <v:stroke color="#000000" joinstyle="round"/>
                <v:imagedata o:title=""/>
                <o:lock v:ext="edit" aspectratio="f"/>
              </v:line>
            </w:pict>
          </mc:Fallback>
        </mc:AlternateContent>
      </w:r>
      <w:r>
        <w:rPr>
          <w:rFonts w:ascii="宋体" w:hAnsi="宋体"/>
          <w:bCs/>
          <w:color w:val="000000"/>
          <w:sz w:val="20"/>
          <w:szCs w:val="28"/>
        </w:rPr>
        <mc:AlternateContent>
          <mc:Choice Requires="wps">
            <w:drawing>
              <wp:anchor distT="0" distB="0" distL="114300" distR="114300" simplePos="0" relativeHeight="251743232" behindDoc="0" locked="0" layoutInCell="1" allowOverlap="1">
                <wp:simplePos x="0" y="0"/>
                <wp:positionH relativeFrom="column">
                  <wp:posOffset>1485900</wp:posOffset>
                </wp:positionH>
                <wp:positionV relativeFrom="paragraph">
                  <wp:posOffset>49530</wp:posOffset>
                </wp:positionV>
                <wp:extent cx="114300" cy="0"/>
                <wp:effectExtent l="0" t="4445" r="0" b="5080"/>
                <wp:wrapNone/>
                <wp:docPr id="235" name="直接连接符 235"/>
                <wp:cNvGraphicFramePr/>
                <a:graphic xmlns:a="http://schemas.openxmlformats.org/drawingml/2006/main">
                  <a:graphicData uri="http://schemas.microsoft.com/office/word/2010/wordprocessingShape">
                    <wps:wsp>
                      <wps:cNvCnPr/>
                      <wps:spPr>
                        <a:xfrm>
                          <a:off x="0" y="0"/>
                          <a:ext cx="1143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17pt;margin-top:3.9pt;height:0pt;width:9pt;z-index:251743232;mso-width-relative:page;mso-height-relative:page;" filled="f" stroked="t" coordsize="21600,21600" o:gfxdata="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OWLGSdQAAAAHAQAADwAAAAAAAAABACAAAAAiAAAAZHJzL2Rvd25yZXYueG1sUEsBAhQAFAAA&#10;AAgAh07iQML+7vDzAQAA6QMAAA4AAAAAAAAAAQAgAAAAIwEAAGRycy9lMm9Eb2MueG1sUEsFBgAA&#10;AAAGAAYAWQEAAIgFAAAAAA==&#10;">
                <v:fill on="f" focussize="0,0"/>
                <v:stroke color="#000000" joinstyle="round"/>
                <v:imagedata o:title=""/>
                <o:lock v:ext="edit" aspectratio="f"/>
              </v:line>
            </w:pict>
          </mc:Fallback>
        </mc:AlternateContent>
      </w:r>
    </w:p>
    <w:p w14:paraId="21A9D123">
      <w:pPr>
        <w:spacing w:line="300" w:lineRule="auto"/>
        <w:ind w:firstLine="480" w:firstLineChars="200"/>
        <w:rPr>
          <w:rFonts w:ascii="宋体" w:hAnsi="宋体"/>
          <w:bCs/>
          <w:color w:val="000000"/>
          <w:szCs w:val="28"/>
        </w:rPr>
      </w:pPr>
    </w:p>
    <w:p w14:paraId="0AC8F00E">
      <w:pPr>
        <w:spacing w:line="300" w:lineRule="auto"/>
        <w:ind w:firstLine="400" w:firstLineChars="200"/>
        <w:rPr>
          <w:rFonts w:ascii="宋体" w:hAnsi="宋体"/>
          <w:bCs/>
          <w:color w:val="000000"/>
          <w:szCs w:val="28"/>
        </w:rPr>
      </w:pPr>
      <w:r>
        <w:rPr>
          <w:rFonts w:ascii="宋体" w:hAnsi="宋体"/>
          <w:bCs/>
          <w:color w:val="000000"/>
          <w:sz w:val="20"/>
          <w:szCs w:val="28"/>
        </w:rPr>
        <mc:AlternateContent>
          <mc:Choice Requires="wps">
            <w:drawing>
              <wp:anchor distT="0" distB="0" distL="114300" distR="114300" simplePos="0" relativeHeight="251744256" behindDoc="0" locked="0" layoutInCell="1" allowOverlap="1">
                <wp:simplePos x="0" y="0"/>
                <wp:positionH relativeFrom="column">
                  <wp:posOffset>1141095</wp:posOffset>
                </wp:positionH>
                <wp:positionV relativeFrom="paragraph">
                  <wp:posOffset>110490</wp:posOffset>
                </wp:positionV>
                <wp:extent cx="342900" cy="891540"/>
                <wp:effectExtent l="4445" t="4445" r="14605" b="18415"/>
                <wp:wrapNone/>
                <wp:docPr id="236" name="矩形 236"/>
                <wp:cNvGraphicFramePr/>
                <a:graphic xmlns:a="http://schemas.openxmlformats.org/drawingml/2006/main">
                  <a:graphicData uri="http://schemas.microsoft.com/office/word/2010/wordprocessingShape">
                    <wps:wsp>
                      <wps:cNvSpPr/>
                      <wps:spPr>
                        <a:xfrm>
                          <a:off x="0" y="0"/>
                          <a:ext cx="342900" cy="891540"/>
                        </a:xfrm>
                        <a:prstGeom prst="rect">
                          <a:avLst/>
                        </a:prstGeom>
                        <a:solidFill>
                          <a:srgbClr val="99CC00"/>
                        </a:solidFill>
                        <a:ln w="9525" cap="flat" cmpd="sng">
                          <a:solidFill>
                            <a:srgbClr val="000000"/>
                          </a:solidFill>
                          <a:prstDash val="solid"/>
                          <a:miter/>
                          <a:headEnd type="none" w="med" len="med"/>
                          <a:tailEnd type="none" w="med" len="med"/>
                        </a:ln>
                        <a:effectLst/>
                      </wps:spPr>
                      <wps:txbx>
                        <w:txbxContent>
                          <w:p w14:paraId="18244C43">
                            <w:r>
                              <w:rPr>
                                <w:rFonts w:hint="eastAsia"/>
                              </w:rPr>
                              <w:t>成本管理</w:t>
                            </w:r>
                          </w:p>
                        </w:txbxContent>
                      </wps:txbx>
                      <wps:bodyPr wrap="square" upright="1"/>
                    </wps:wsp>
                  </a:graphicData>
                </a:graphic>
              </wp:anchor>
            </w:drawing>
          </mc:Choice>
          <mc:Fallback>
            <w:pict>
              <v:rect id="_x0000_s1026" o:spid="_x0000_s1026" o:spt="1" style="position:absolute;left:0pt;margin-left:89.85pt;margin-top:8.7pt;height:70.2pt;width:27pt;z-index:251744256;mso-width-relative:page;mso-height-relative:page;" fillcolor="#99CC00" filled="t" stroked="t" coordsize="21600,21600" o:gfxdata="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6qRtrZAAAACgEAAA8A&#10;AAAAAAAAAQAgAAAAIgAAAGRycy9kb3ducmV2LnhtbFBLAQIUABQAAAAIAIdO4kB1VMU7FgIAAEgE&#10;AAAOAAAAAAAAAAEAIAAAACgBAABkcnMvZTJvRG9jLnhtbFBLBQYAAAAABgAGAFkBAACwBQAAAAA=&#10;">
                <v:fill on="t" focussize="0,0"/>
                <v:stroke color="#000000" joinstyle="miter"/>
                <v:imagedata o:title=""/>
                <o:lock v:ext="edit" aspectratio="f"/>
                <v:textbox>
                  <w:txbxContent>
                    <w:p w14:paraId="18244C43">
                      <w:r>
                        <w:rPr>
                          <w:rFonts w:hint="eastAsia"/>
                        </w:rPr>
                        <w:t>成本管理</w:t>
                      </w:r>
                    </w:p>
                  </w:txbxContent>
                </v:textbox>
              </v:rect>
            </w:pict>
          </mc:Fallback>
        </mc:AlternateContent>
      </w:r>
      <w:r>
        <w:rPr>
          <w:rFonts w:ascii="宋体" w:hAnsi="宋体"/>
          <w:bCs/>
          <w:color w:val="000000"/>
          <w:sz w:val="20"/>
          <w:szCs w:val="28"/>
        </w:rPr>
        <mc:AlternateContent>
          <mc:Choice Requires="wps">
            <w:drawing>
              <wp:anchor distT="0" distB="0" distL="114300" distR="114300" simplePos="0" relativeHeight="251745280" behindDoc="0" locked="0" layoutInCell="1" allowOverlap="1">
                <wp:simplePos x="0" y="0"/>
                <wp:positionH relativeFrom="column">
                  <wp:posOffset>1598295</wp:posOffset>
                </wp:positionH>
                <wp:positionV relativeFrom="paragraph">
                  <wp:posOffset>148590</wp:posOffset>
                </wp:positionV>
                <wp:extent cx="571500" cy="792480"/>
                <wp:effectExtent l="4445" t="4445" r="14605" b="22225"/>
                <wp:wrapNone/>
                <wp:docPr id="237" name="矩形 237"/>
                <wp:cNvGraphicFramePr/>
                <a:graphic xmlns:a="http://schemas.openxmlformats.org/drawingml/2006/main">
                  <a:graphicData uri="http://schemas.microsoft.com/office/word/2010/wordprocessingShape">
                    <wps:wsp>
                      <wps:cNvSpPr/>
                      <wps:spPr>
                        <a:xfrm>
                          <a:off x="0" y="0"/>
                          <a:ext cx="571500" cy="792480"/>
                        </a:xfrm>
                        <a:prstGeom prst="rect">
                          <a:avLst/>
                        </a:prstGeom>
                        <a:solidFill>
                          <a:srgbClr val="99CC00"/>
                        </a:solidFill>
                        <a:ln w="9525" cap="flat" cmpd="sng">
                          <a:solidFill>
                            <a:srgbClr val="000000"/>
                          </a:solidFill>
                          <a:prstDash val="solid"/>
                          <a:miter/>
                          <a:headEnd type="none" w="med" len="med"/>
                          <a:tailEnd type="none" w="med" len="med"/>
                        </a:ln>
                        <a:effectLst/>
                      </wps:spPr>
                      <wps:txbx>
                        <w:txbxContent>
                          <w:p w14:paraId="46550164">
                            <w:pPr>
                              <w:pStyle w:val="9"/>
                            </w:pPr>
                            <w:r>
                              <w:rPr>
                                <w:rFonts w:hint="eastAsia"/>
                              </w:rPr>
                              <w:t>预算目标编制</w:t>
                            </w:r>
                          </w:p>
                        </w:txbxContent>
                      </wps:txbx>
                      <wps:bodyPr wrap="square" upright="1"/>
                    </wps:wsp>
                  </a:graphicData>
                </a:graphic>
              </wp:anchor>
            </w:drawing>
          </mc:Choice>
          <mc:Fallback>
            <w:pict>
              <v:rect id="_x0000_s1026" o:spid="_x0000_s1026" o:spt="1" style="position:absolute;left:0pt;margin-left:125.85pt;margin-top:11.7pt;height:62.4pt;width:45pt;z-index:251745280;mso-width-relative:page;mso-height-relative:page;" fillcolor="#99CC00" filled="t" stroked="t" coordsize="21600,21600" o:gfxdata="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go3lt2AAAAAoBAAAPAAAA&#10;AAAAAAEAIAAAACIAAABkcnMvZG93bnJldi54bWxQSwECFAAUAAAACACHTuJAeaBulBUCAABIBAAA&#10;DgAAAAAAAAABACAAAAAnAQAAZHJzL2Uyb0RvYy54bWxQSwUGAAAAAAYABgBZAQAArgUAAAAA&#10;">
                <v:fill on="t" focussize="0,0"/>
                <v:stroke color="#000000" joinstyle="miter"/>
                <v:imagedata o:title=""/>
                <o:lock v:ext="edit" aspectratio="f"/>
                <v:textbox>
                  <w:txbxContent>
                    <w:p w14:paraId="46550164">
                      <w:pPr>
                        <w:pStyle w:val="9"/>
                      </w:pPr>
                      <w:r>
                        <w:rPr>
                          <w:rFonts w:hint="eastAsia"/>
                        </w:rPr>
                        <w:t>预算目标编制</w:t>
                      </w:r>
                    </w:p>
                  </w:txbxContent>
                </v:textbox>
              </v:rect>
            </w:pict>
          </mc:Fallback>
        </mc:AlternateContent>
      </w:r>
    </w:p>
    <w:p w14:paraId="59ADEF60">
      <w:pPr>
        <w:spacing w:line="300" w:lineRule="auto"/>
        <w:ind w:firstLine="400" w:firstLineChars="200"/>
        <w:rPr>
          <w:rFonts w:ascii="宋体" w:hAnsi="宋体"/>
          <w:bCs/>
          <w:color w:val="000000"/>
          <w:szCs w:val="28"/>
        </w:rPr>
      </w:pPr>
      <w:r>
        <w:rPr>
          <w:rFonts w:ascii="宋体" w:hAnsi="宋体"/>
          <w:bCs/>
          <w:color w:val="000000"/>
          <w:sz w:val="20"/>
          <w:szCs w:val="28"/>
        </w:rPr>
        <mc:AlternateContent>
          <mc:Choice Requires="wps">
            <w:drawing>
              <wp:anchor distT="0" distB="0" distL="114300" distR="114300" simplePos="0" relativeHeight="251746304" behindDoc="0" locked="0" layoutInCell="1" allowOverlap="1">
                <wp:simplePos x="0" y="0"/>
                <wp:positionH relativeFrom="column">
                  <wp:posOffset>3200400</wp:posOffset>
                </wp:positionH>
                <wp:positionV relativeFrom="paragraph">
                  <wp:posOffset>0</wp:posOffset>
                </wp:positionV>
                <wp:extent cx="571500" cy="594360"/>
                <wp:effectExtent l="4445" t="4445" r="14605" b="10795"/>
                <wp:wrapNone/>
                <wp:docPr id="238" name="矩形 238"/>
                <wp:cNvGraphicFramePr/>
                <a:graphic xmlns:a="http://schemas.openxmlformats.org/drawingml/2006/main">
                  <a:graphicData uri="http://schemas.microsoft.com/office/word/2010/wordprocessingShape">
                    <wps:wsp>
                      <wps:cNvSpPr/>
                      <wps:spPr>
                        <a:xfrm>
                          <a:off x="0" y="0"/>
                          <a:ext cx="571500" cy="594360"/>
                        </a:xfrm>
                        <a:prstGeom prst="rect">
                          <a:avLst/>
                        </a:prstGeom>
                        <a:solidFill>
                          <a:srgbClr val="99CC00"/>
                        </a:solidFill>
                        <a:ln w="9525" cap="flat" cmpd="sng">
                          <a:solidFill>
                            <a:srgbClr val="000000"/>
                          </a:solidFill>
                          <a:prstDash val="solid"/>
                          <a:miter/>
                          <a:headEnd type="none" w="med" len="med"/>
                          <a:tailEnd type="none" w="med" len="med"/>
                        </a:ln>
                        <a:effectLst/>
                      </wps:spPr>
                      <wps:txbx>
                        <w:txbxContent>
                          <w:p w14:paraId="511DF6E5">
                            <w:pPr>
                              <w:pStyle w:val="9"/>
                            </w:pPr>
                            <w:r>
                              <w:rPr>
                                <w:rFonts w:hint="eastAsia"/>
                              </w:rPr>
                              <w:t>效果考核</w:t>
                            </w:r>
                          </w:p>
                        </w:txbxContent>
                      </wps:txbx>
                      <wps:bodyPr wrap="square" upright="1"/>
                    </wps:wsp>
                  </a:graphicData>
                </a:graphic>
              </wp:anchor>
            </w:drawing>
          </mc:Choice>
          <mc:Fallback>
            <w:pict>
              <v:rect id="_x0000_s1026" o:spid="_x0000_s1026" o:spt="1" style="position:absolute;left:0pt;margin-left:252pt;margin-top:0pt;height:46.8pt;width:45pt;z-index:251746304;mso-width-relative:page;mso-height-relative:page;" fillcolor="#99CC00" filled="t" stroked="t" coordsize="21600,21600" o:gfxdata="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KtYfO7XAAAABwEAAA8AAAAA&#10;AAAAAQAgAAAAIgAAAGRycy9kb3ducmV2LnhtbFBLAQIUABQAAAAIAIdO4kA4nufJFQIAAEgEAAAO&#10;AAAAAAAAAAEAIAAAACYBAABkcnMvZTJvRG9jLnhtbFBLBQYAAAAABgAGAFkBAACtBQAAAAA=&#10;">
                <v:fill on="t" focussize="0,0"/>
                <v:stroke color="#000000" joinstyle="miter"/>
                <v:imagedata o:title=""/>
                <o:lock v:ext="edit" aspectratio="f"/>
                <v:textbox>
                  <w:txbxContent>
                    <w:p w14:paraId="511DF6E5">
                      <w:pPr>
                        <w:pStyle w:val="9"/>
                      </w:pPr>
                      <w:r>
                        <w:rPr>
                          <w:rFonts w:hint="eastAsia"/>
                        </w:rPr>
                        <w:t>效果考核</w:t>
                      </w:r>
                    </w:p>
                  </w:txbxContent>
                </v:textbox>
              </v:rect>
            </w:pict>
          </mc:Fallback>
        </mc:AlternateContent>
      </w:r>
      <w:r>
        <w:rPr>
          <w:rFonts w:ascii="宋体" w:hAnsi="宋体"/>
          <w:bCs/>
          <w:color w:val="000000"/>
          <w:sz w:val="20"/>
          <w:szCs w:val="28"/>
        </w:rPr>
        <mc:AlternateContent>
          <mc:Choice Requires="wps">
            <w:drawing>
              <wp:anchor distT="0" distB="0" distL="114300" distR="114300" simplePos="0" relativeHeight="251747328" behindDoc="0" locked="0" layoutInCell="1" allowOverlap="1">
                <wp:simplePos x="0" y="0"/>
                <wp:positionH relativeFrom="column">
                  <wp:posOffset>2400300</wp:posOffset>
                </wp:positionH>
                <wp:positionV relativeFrom="paragraph">
                  <wp:posOffset>0</wp:posOffset>
                </wp:positionV>
                <wp:extent cx="571500" cy="594360"/>
                <wp:effectExtent l="4445" t="4445" r="14605" b="10795"/>
                <wp:wrapNone/>
                <wp:docPr id="239" name="矩形 239"/>
                <wp:cNvGraphicFramePr/>
                <a:graphic xmlns:a="http://schemas.openxmlformats.org/drawingml/2006/main">
                  <a:graphicData uri="http://schemas.microsoft.com/office/word/2010/wordprocessingShape">
                    <wps:wsp>
                      <wps:cNvSpPr/>
                      <wps:spPr>
                        <a:xfrm>
                          <a:off x="0" y="0"/>
                          <a:ext cx="571500" cy="594360"/>
                        </a:xfrm>
                        <a:prstGeom prst="rect">
                          <a:avLst/>
                        </a:prstGeom>
                        <a:solidFill>
                          <a:srgbClr val="99CC00"/>
                        </a:solidFill>
                        <a:ln w="9525" cap="flat" cmpd="sng">
                          <a:solidFill>
                            <a:srgbClr val="000000"/>
                          </a:solidFill>
                          <a:prstDash val="solid"/>
                          <a:miter/>
                          <a:headEnd type="none" w="med" len="med"/>
                          <a:tailEnd type="none" w="med" len="med"/>
                        </a:ln>
                        <a:effectLst/>
                      </wps:spPr>
                      <wps:txbx>
                        <w:txbxContent>
                          <w:p w14:paraId="53FED1DB">
                            <w:pPr>
                              <w:pStyle w:val="9"/>
                            </w:pPr>
                            <w:r>
                              <w:rPr>
                                <w:rFonts w:hint="eastAsia"/>
                              </w:rPr>
                              <w:t>过程控制</w:t>
                            </w:r>
                          </w:p>
                        </w:txbxContent>
                      </wps:txbx>
                      <wps:bodyPr wrap="square" upright="1"/>
                    </wps:wsp>
                  </a:graphicData>
                </a:graphic>
              </wp:anchor>
            </w:drawing>
          </mc:Choice>
          <mc:Fallback>
            <w:pict>
              <v:rect id="_x0000_s1026" o:spid="_x0000_s1026" o:spt="1" style="position:absolute;left:0pt;margin-left:189pt;margin-top:0pt;height:46.8pt;width:45pt;z-index:251747328;mso-width-relative:page;mso-height-relative:page;" fillcolor="#99CC00" filled="t" stroked="t" coordsize="21600,21600" o:gfxdata="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SX6K+1wAAAAcBAAAPAAAA&#10;AAAAAAEAIAAAACIAAABkcnMvZG93bnJldi54bWxQSwECFAAUAAAACACHTuJAzz6t/RYCAABIBAAA&#10;DgAAAAAAAAABACAAAAAmAQAAZHJzL2Uyb0RvYy54bWxQSwUGAAAAAAYABgBZAQAArgUAAAAA&#10;">
                <v:fill on="t" focussize="0,0"/>
                <v:stroke color="#000000" joinstyle="miter"/>
                <v:imagedata o:title=""/>
                <o:lock v:ext="edit" aspectratio="f"/>
                <v:textbox>
                  <w:txbxContent>
                    <w:p w14:paraId="53FED1DB">
                      <w:pPr>
                        <w:pStyle w:val="9"/>
                      </w:pPr>
                      <w:r>
                        <w:rPr>
                          <w:rFonts w:hint="eastAsia"/>
                        </w:rPr>
                        <w:t>过程控制</w:t>
                      </w:r>
                    </w:p>
                  </w:txbxContent>
                </v:textbox>
              </v:rect>
            </w:pict>
          </mc:Fallback>
        </mc:AlternateContent>
      </w:r>
    </w:p>
    <w:p w14:paraId="00C508C0">
      <w:pPr>
        <w:spacing w:line="300" w:lineRule="auto"/>
        <w:ind w:firstLine="400" w:firstLineChars="200"/>
        <w:rPr>
          <w:rFonts w:ascii="宋体" w:hAnsi="宋体"/>
          <w:bCs/>
          <w:color w:val="000000"/>
          <w:szCs w:val="28"/>
        </w:rPr>
      </w:pPr>
      <w:r>
        <w:rPr>
          <w:rFonts w:ascii="宋体" w:hAnsi="宋体"/>
          <w:bCs/>
          <w:color w:val="000000"/>
          <w:sz w:val="20"/>
          <w:szCs w:val="28"/>
        </w:rPr>
        <mc:AlternateContent>
          <mc:Choice Requires="wps">
            <w:drawing>
              <wp:anchor distT="0" distB="0" distL="114300" distR="114300" simplePos="0" relativeHeight="251748352" behindDoc="0" locked="0" layoutInCell="1" allowOverlap="1">
                <wp:simplePos x="0" y="0"/>
                <wp:positionH relativeFrom="column">
                  <wp:posOffset>3771900</wp:posOffset>
                </wp:positionH>
                <wp:positionV relativeFrom="paragraph">
                  <wp:posOffset>49530</wp:posOffset>
                </wp:positionV>
                <wp:extent cx="114300" cy="0"/>
                <wp:effectExtent l="0" t="4445" r="0" b="5080"/>
                <wp:wrapNone/>
                <wp:docPr id="240" name="直接连接符 240"/>
                <wp:cNvGraphicFramePr/>
                <a:graphic xmlns:a="http://schemas.openxmlformats.org/drawingml/2006/main">
                  <a:graphicData uri="http://schemas.microsoft.com/office/word/2010/wordprocessingShape">
                    <wps:wsp>
                      <wps:cNvCnPr/>
                      <wps:spPr>
                        <a:xfrm flipH="1">
                          <a:off x="0" y="0"/>
                          <a:ext cx="1143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flip:x;margin-left:297pt;margin-top:3.9pt;height:0pt;width:9pt;z-index:251748352;mso-width-relative:page;mso-height-relative:page;" filled="f" stroked="t" coordsize="21600,21600" o:gfxdata="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9eAQedQAAAAHAQAADwAAAAAAAAABACAAAAAiAAAAZHJzL2Rvd25yZXYueG1sUEsB&#10;AhQAFAAAAAgAh07iQILBfrL5AQAA8wMAAA4AAAAAAAAAAQAgAAAAIwEAAGRycy9lMm9Eb2MueG1s&#10;UEsFBgAAAAAGAAYAWQEAAI4FAAAAAA==&#10;">
                <v:fill on="f" focussize="0,0"/>
                <v:stroke color="#000000" joinstyle="round"/>
                <v:imagedata o:title=""/>
                <o:lock v:ext="edit" aspectratio="f"/>
              </v:line>
            </w:pict>
          </mc:Fallback>
        </mc:AlternateContent>
      </w:r>
      <w:r>
        <w:rPr>
          <w:rFonts w:ascii="宋体" w:hAnsi="宋体"/>
          <w:bCs/>
          <w:color w:val="000000"/>
          <w:sz w:val="20"/>
          <w:szCs w:val="28"/>
        </w:rPr>
        <mc:AlternateContent>
          <mc:Choice Requires="wps">
            <w:drawing>
              <wp:anchor distT="0" distB="0" distL="114300" distR="114300" simplePos="0" relativeHeight="251749376" behindDoc="0" locked="0" layoutInCell="1" allowOverlap="1">
                <wp:simplePos x="0" y="0"/>
                <wp:positionH relativeFrom="column">
                  <wp:posOffset>2971800</wp:posOffset>
                </wp:positionH>
                <wp:positionV relativeFrom="paragraph">
                  <wp:posOffset>49530</wp:posOffset>
                </wp:positionV>
                <wp:extent cx="228600" cy="0"/>
                <wp:effectExtent l="0" t="38100" r="0" b="38100"/>
                <wp:wrapNone/>
                <wp:docPr id="241" name="直接连接符 241"/>
                <wp:cNvGraphicFramePr/>
                <a:graphic xmlns:a="http://schemas.openxmlformats.org/drawingml/2006/main">
                  <a:graphicData uri="http://schemas.microsoft.com/office/word/2010/wordprocessingShape">
                    <wps:wsp>
                      <wps:cNvCnPr/>
                      <wps:spPr>
                        <a:xfrm flipV="1">
                          <a:off x="0" y="0"/>
                          <a:ext cx="228600" cy="0"/>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id="_x0000_s1026" o:spid="_x0000_s1026" o:spt="20" style="position:absolute;left:0pt;flip:y;margin-left:234pt;margin-top:3.9pt;height:0pt;width:18pt;z-index:251749376;mso-width-relative:page;mso-height-relative:page;" filled="f" stroked="t" coordsize="21600,21600" o:gfxdata="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TLP6M1gAAAAcBAAAPAAAAAAAAAAEAIAAAACIAAABkcnMvZG93&#10;bnJldi54bWxQSwECFAAUAAAACACHTuJAAuZSFQICAAD3AwAADgAAAAAAAAABACAAAAAlAQAAZHJz&#10;L2Uyb0RvYy54bWxQSwUGAAAAAAYABgBZAQAAmQUAAAAA&#10;">
                <v:fill on="f" focussize="0,0"/>
                <v:stroke color="#000000" joinstyle="round" endarrow="block"/>
                <v:imagedata o:title=""/>
                <o:lock v:ext="edit" aspectratio="f"/>
              </v:line>
            </w:pict>
          </mc:Fallback>
        </mc:AlternateContent>
      </w:r>
      <w:r>
        <w:rPr>
          <w:rFonts w:ascii="宋体" w:hAnsi="宋体"/>
          <w:bCs/>
          <w:color w:val="000000"/>
          <w:sz w:val="20"/>
          <w:szCs w:val="28"/>
        </w:rPr>
        <mc:AlternateContent>
          <mc:Choice Requires="wps">
            <w:drawing>
              <wp:anchor distT="0" distB="0" distL="114300" distR="114300" simplePos="0" relativeHeight="251750400" behindDoc="0" locked="0" layoutInCell="1" allowOverlap="1">
                <wp:simplePos x="0" y="0"/>
                <wp:positionH relativeFrom="column">
                  <wp:posOffset>2171700</wp:posOffset>
                </wp:positionH>
                <wp:positionV relativeFrom="paragraph">
                  <wp:posOffset>49530</wp:posOffset>
                </wp:positionV>
                <wp:extent cx="228600" cy="0"/>
                <wp:effectExtent l="0" t="38100" r="0" b="38100"/>
                <wp:wrapNone/>
                <wp:docPr id="242" name="直接连接符 242"/>
                <wp:cNvGraphicFramePr/>
                <a:graphic xmlns:a="http://schemas.openxmlformats.org/drawingml/2006/main">
                  <a:graphicData uri="http://schemas.microsoft.com/office/word/2010/wordprocessingShape">
                    <wps:wsp>
                      <wps:cNvCnPr/>
                      <wps:spPr>
                        <a:xfrm>
                          <a:off x="0" y="0"/>
                          <a:ext cx="228600" cy="0"/>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id="_x0000_s1026" o:spid="_x0000_s1026" o:spt="20" style="position:absolute;left:0pt;margin-left:171pt;margin-top:3.9pt;height:0pt;width:18pt;z-index:251750400;mso-width-relative:page;mso-height-relative:page;" filled="f" stroked="t" coordsize="21600,21600" o:gfxdata="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KCgZKnXAAAABwEAAA8AAAAAAAAAAQAgAAAAIgAAAGRycy9kb3ducmV2Lnht&#10;bFBLAQIUABQAAAAIAIdO4kAqWl7v+gEAAO0DAAAOAAAAAAAAAAEAIAAAACYBAABkcnMvZTJvRG9j&#10;LnhtbFBLBQYAAAAABgAGAFkBAACSBQAAAAA=&#10;">
                <v:fill on="f" focussize="0,0"/>
                <v:stroke color="#000000" joinstyle="round" endarrow="block"/>
                <v:imagedata o:title=""/>
                <o:lock v:ext="edit" aspectratio="f"/>
              </v:line>
            </w:pict>
          </mc:Fallback>
        </mc:AlternateContent>
      </w:r>
      <w:r>
        <w:rPr>
          <w:rFonts w:ascii="宋体" w:hAnsi="宋体"/>
          <w:bCs/>
          <w:color w:val="000000"/>
          <w:sz w:val="20"/>
          <w:szCs w:val="28"/>
        </w:rPr>
        <mc:AlternateContent>
          <mc:Choice Requires="wps">
            <w:drawing>
              <wp:anchor distT="0" distB="0" distL="114300" distR="114300" simplePos="0" relativeHeight="251751424" behindDoc="0" locked="0" layoutInCell="1" allowOverlap="1">
                <wp:simplePos x="0" y="0"/>
                <wp:positionH relativeFrom="column">
                  <wp:posOffset>914400</wp:posOffset>
                </wp:positionH>
                <wp:positionV relativeFrom="paragraph">
                  <wp:posOffset>148590</wp:posOffset>
                </wp:positionV>
                <wp:extent cx="222250" cy="0"/>
                <wp:effectExtent l="0" t="4445" r="0" b="5080"/>
                <wp:wrapNone/>
                <wp:docPr id="243" name="直接连接符 243"/>
                <wp:cNvGraphicFramePr/>
                <a:graphic xmlns:a="http://schemas.openxmlformats.org/drawingml/2006/main">
                  <a:graphicData uri="http://schemas.microsoft.com/office/word/2010/wordprocessingShape">
                    <wps:wsp>
                      <wps:cNvCnPr/>
                      <wps:spPr>
                        <a:xfrm>
                          <a:off x="0" y="0"/>
                          <a:ext cx="22796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72pt;margin-top:11.7pt;height:0pt;width:17.5pt;z-index:251751424;mso-width-relative:page;mso-height-relative:page;" filled="f" stroked="t" coordsize="21600,21600" o:gfxdata="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96gibVAAAACQEAAA8AAAAAAAAAAQAgAAAAIgAAAGRycy9kb3ducmV2LnhtbFBLAQIUABQA&#10;AAAIAIdO4kD8DWze8wEAAOkDAAAOAAAAAAAAAAEAIAAAACQBAABkcnMvZTJvRG9jLnhtbFBLBQYA&#10;AAAABgAGAFkBAACJBQAAAAA=&#10;">
                <v:fill on="f" focussize="0,0"/>
                <v:stroke color="#000000" joinstyle="round"/>
                <v:imagedata o:title=""/>
                <o:lock v:ext="edit" aspectratio="f"/>
              </v:line>
            </w:pict>
          </mc:Fallback>
        </mc:AlternateContent>
      </w:r>
      <w:r>
        <w:rPr>
          <w:rFonts w:ascii="宋体" w:hAnsi="宋体"/>
          <w:bCs/>
          <w:color w:val="000000"/>
          <w:sz w:val="20"/>
          <w:szCs w:val="28"/>
        </w:rPr>
        <mc:AlternateContent>
          <mc:Choice Requires="wps">
            <w:drawing>
              <wp:anchor distT="0" distB="0" distL="114300" distR="114300" simplePos="0" relativeHeight="251752448" behindDoc="0" locked="0" layoutInCell="1" allowOverlap="1">
                <wp:simplePos x="0" y="0"/>
                <wp:positionH relativeFrom="column">
                  <wp:posOffset>1485900</wp:posOffset>
                </wp:positionH>
                <wp:positionV relativeFrom="paragraph">
                  <wp:posOffset>49530</wp:posOffset>
                </wp:positionV>
                <wp:extent cx="114300" cy="0"/>
                <wp:effectExtent l="0" t="4445" r="0" b="5080"/>
                <wp:wrapNone/>
                <wp:docPr id="244" name="直接连接符 244"/>
                <wp:cNvGraphicFramePr/>
                <a:graphic xmlns:a="http://schemas.openxmlformats.org/drawingml/2006/main">
                  <a:graphicData uri="http://schemas.microsoft.com/office/word/2010/wordprocessingShape">
                    <wps:wsp>
                      <wps:cNvCnPr/>
                      <wps:spPr>
                        <a:xfrm>
                          <a:off x="0" y="0"/>
                          <a:ext cx="1143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17pt;margin-top:3.9pt;height:0pt;width:9pt;z-index:251752448;mso-width-relative:page;mso-height-relative:page;" filled="f" stroked="t" coordsize="21600,21600" o:gfxdata="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5YsZJ1AAAAAcBAAAPAAAAAAAAAAEAIAAAACIAAABkcnMvZG93bnJldi54bWxQSwECFAAUAAAA&#10;CACHTuJAMRAP5fIBAADpAwAADgAAAAAAAAABACAAAAAjAQAAZHJzL2Uyb0RvYy54bWxQSwUGAAAA&#10;AAYABgBZAQAAhwUAAAAA&#10;">
                <v:fill on="f" focussize="0,0"/>
                <v:stroke color="#000000" joinstyle="round"/>
                <v:imagedata o:title=""/>
                <o:lock v:ext="edit" aspectratio="f"/>
              </v:line>
            </w:pict>
          </mc:Fallback>
        </mc:AlternateContent>
      </w:r>
    </w:p>
    <w:p w14:paraId="21ED5D2F">
      <w:pPr>
        <w:spacing w:line="300" w:lineRule="auto"/>
        <w:ind w:firstLine="480" w:firstLineChars="200"/>
        <w:rPr>
          <w:rFonts w:ascii="宋体" w:hAnsi="宋体"/>
          <w:bCs/>
          <w:color w:val="0000FF"/>
          <w:szCs w:val="28"/>
        </w:rPr>
      </w:pPr>
    </w:p>
    <w:p w14:paraId="2A1C86BB">
      <w:pPr>
        <w:spacing w:line="300" w:lineRule="auto"/>
        <w:ind w:firstLine="400" w:firstLineChars="200"/>
        <w:rPr>
          <w:rFonts w:ascii="宋体" w:hAnsi="宋体"/>
          <w:bCs/>
          <w:color w:val="0000FF"/>
          <w:szCs w:val="28"/>
        </w:rPr>
      </w:pPr>
      <w:r>
        <w:rPr>
          <w:rFonts w:ascii="宋体" w:hAnsi="宋体"/>
          <w:bCs/>
          <w:color w:val="0000FF"/>
          <w:sz w:val="20"/>
          <w:szCs w:val="28"/>
        </w:rPr>
        <mc:AlternateContent>
          <mc:Choice Requires="wps">
            <w:drawing>
              <wp:anchor distT="0" distB="0" distL="114300" distR="114300" simplePos="0" relativeHeight="251753472" behindDoc="0" locked="0" layoutInCell="1" allowOverlap="1">
                <wp:simplePos x="0" y="0"/>
                <wp:positionH relativeFrom="column">
                  <wp:posOffset>342900</wp:posOffset>
                </wp:positionH>
                <wp:positionV relativeFrom="paragraph">
                  <wp:posOffset>240030</wp:posOffset>
                </wp:positionV>
                <wp:extent cx="4914900" cy="297180"/>
                <wp:effectExtent l="4445" t="4445" r="14605" b="22225"/>
                <wp:wrapNone/>
                <wp:docPr id="245" name="矩形 245"/>
                <wp:cNvGraphicFramePr/>
                <a:graphic xmlns:a="http://schemas.openxmlformats.org/drawingml/2006/main">
                  <a:graphicData uri="http://schemas.microsoft.com/office/word/2010/wordprocessingShape">
                    <wps:wsp>
                      <wps:cNvSpPr/>
                      <wps:spPr>
                        <a:xfrm>
                          <a:off x="0" y="0"/>
                          <a:ext cx="4914900" cy="297180"/>
                        </a:xfrm>
                        <a:prstGeom prst="rect">
                          <a:avLst/>
                        </a:prstGeom>
                        <a:solidFill>
                          <a:srgbClr val="CC99FF"/>
                        </a:solidFill>
                        <a:ln w="9525" cap="flat" cmpd="sng">
                          <a:solidFill>
                            <a:srgbClr val="000000"/>
                          </a:solidFill>
                          <a:prstDash val="solid"/>
                          <a:miter/>
                          <a:headEnd type="none" w="med" len="med"/>
                          <a:tailEnd type="none" w="med" len="med"/>
                        </a:ln>
                        <a:effectLst/>
                      </wps:spPr>
                      <wps:txbx>
                        <w:txbxContent>
                          <w:p w14:paraId="43AB1BC8">
                            <w:pPr>
                              <w:jc w:val="center"/>
                              <w:rPr>
                                <w:b/>
                                <w:bCs/>
                              </w:rPr>
                            </w:pPr>
                            <w:r>
                              <w:rPr>
                                <w:rFonts w:hint="eastAsia"/>
                                <w:b/>
                                <w:bCs/>
                                <w:lang w:eastAsia="zh-CN"/>
                              </w:rPr>
                              <w:t>财物管理</w:t>
                            </w:r>
                            <w:r>
                              <w:rPr>
                                <w:rFonts w:hint="eastAsia"/>
                                <w:b/>
                                <w:bCs/>
                              </w:rPr>
                              <w:t>系统、全面预算、财务杠杆、降成本</w:t>
                            </w:r>
                          </w:p>
                        </w:txbxContent>
                      </wps:txbx>
                      <wps:bodyPr wrap="square" upright="1"/>
                    </wps:wsp>
                  </a:graphicData>
                </a:graphic>
              </wp:anchor>
            </w:drawing>
          </mc:Choice>
          <mc:Fallback>
            <w:pict>
              <v:rect id="_x0000_s1026" o:spid="_x0000_s1026" o:spt="1" style="position:absolute;left:0pt;margin-left:27pt;margin-top:18.9pt;height:23.4pt;width:387pt;z-index:251753472;mso-width-relative:page;mso-height-relative:page;" fillcolor="#CC99FF" filled="t" stroked="t" coordsize="21600,21600" o:gfxdata="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GA+C3XXAAAACAEAAA8A&#10;AAAAAAAAAQAgAAAAIgAAAGRycy9kb3ducmV2LnhtbFBLAQIUABQAAAAIAIdO4kC7L2ifGAIAAEkE&#10;AAAOAAAAAAAAAAEAIAAAACYBAABkcnMvZTJvRG9jLnhtbFBLBQYAAAAABgAGAFkBAACwBQAAAAA=&#10;">
                <v:fill on="t" focussize="0,0"/>
                <v:stroke color="#000000" joinstyle="miter"/>
                <v:imagedata o:title=""/>
                <o:lock v:ext="edit" aspectratio="f"/>
                <v:textbox>
                  <w:txbxContent>
                    <w:p w14:paraId="43AB1BC8">
                      <w:pPr>
                        <w:jc w:val="center"/>
                        <w:rPr>
                          <w:b/>
                          <w:bCs/>
                        </w:rPr>
                      </w:pPr>
                      <w:r>
                        <w:rPr>
                          <w:rFonts w:hint="eastAsia"/>
                          <w:b/>
                          <w:bCs/>
                          <w:lang w:eastAsia="zh-CN"/>
                        </w:rPr>
                        <w:t>财物管理</w:t>
                      </w:r>
                      <w:r>
                        <w:rPr>
                          <w:rFonts w:hint="eastAsia"/>
                          <w:b/>
                          <w:bCs/>
                        </w:rPr>
                        <w:t>系统、全面预算、财务杠杆、降成本</w:t>
                      </w:r>
                    </w:p>
                  </w:txbxContent>
                </v:textbox>
              </v:rect>
            </w:pict>
          </mc:Fallback>
        </mc:AlternateContent>
      </w:r>
      <w:r>
        <w:rPr>
          <w:rFonts w:ascii="宋体" w:hAnsi="宋体"/>
          <w:bCs/>
          <w:color w:val="0000FF"/>
          <w:sz w:val="20"/>
          <w:szCs w:val="28"/>
        </w:rPr>
        <mc:AlternateContent>
          <mc:Choice Requires="wps">
            <w:drawing>
              <wp:anchor distT="0" distB="0" distL="114300" distR="114300" simplePos="0" relativeHeight="251754496" behindDoc="0" locked="0" layoutInCell="1" allowOverlap="1">
                <wp:simplePos x="0" y="0"/>
                <wp:positionH relativeFrom="column">
                  <wp:posOffset>2057400</wp:posOffset>
                </wp:positionH>
                <wp:positionV relativeFrom="paragraph">
                  <wp:posOffset>49530</wp:posOffset>
                </wp:positionV>
                <wp:extent cx="1485900" cy="200025"/>
                <wp:effectExtent l="38100" t="5080" r="38100" b="4445"/>
                <wp:wrapNone/>
                <wp:docPr id="246" name="上箭头 246"/>
                <wp:cNvGraphicFramePr/>
                <a:graphic xmlns:a="http://schemas.openxmlformats.org/drawingml/2006/main">
                  <a:graphicData uri="http://schemas.microsoft.com/office/word/2010/wordprocessingShape">
                    <wps:wsp>
                      <wps:cNvSpPr/>
                      <wps:spPr>
                        <a:xfrm>
                          <a:off x="0" y="0"/>
                          <a:ext cx="1485900" cy="200025"/>
                        </a:xfrm>
                        <a:prstGeom prst="upArrow">
                          <a:avLst>
                            <a:gd name="adj1" fmla="val 50000"/>
                            <a:gd name="adj2" fmla="val 25000"/>
                          </a:avLst>
                        </a:prstGeom>
                        <a:solidFill>
                          <a:srgbClr val="00CCFF"/>
                        </a:solidFill>
                        <a:ln w="9525" cap="flat" cmpd="sng">
                          <a:solidFill>
                            <a:srgbClr val="000000"/>
                          </a:solidFill>
                          <a:prstDash val="solid"/>
                          <a:miter/>
                          <a:headEnd type="none" w="med" len="med"/>
                          <a:tailEnd type="none" w="med" len="med"/>
                        </a:ln>
                        <a:effectLst/>
                      </wps:spPr>
                      <wps:bodyPr vert="eaVert" wrap="square" upright="1"/>
                    </wps:wsp>
                  </a:graphicData>
                </a:graphic>
              </wp:anchor>
            </w:drawing>
          </mc:Choice>
          <mc:Fallback>
            <w:pict>
              <v:shape id="_x0000_s1026" o:spid="_x0000_s1026" o:spt="68" type="#_x0000_t68" style="position:absolute;left:0pt;margin-left:162pt;margin-top:3.9pt;height:15.75pt;width:117pt;z-index:251754496;mso-width-relative:page;mso-height-relative:page;" fillcolor="#00CCFF" filled="t" stroked="t" coordsize="21600,21600" o:gfxdata="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6mFw71wAAAAgBAAAPAAAAAAAAAAEAIAAAACIAAABk&#10;cnMvZG93bnJldi54bWxQSwECFAAUAAAACACHTuJAMZCp50ACAACjBAAADgAAAAAAAAABACAAAAAm&#10;AQAAZHJzL2Uyb0RvYy54bWxQSwUGAAAAAAYABgBZAQAA2AUAAAAA&#10;" adj="5400,5400">
                <v:fill on="t" focussize="0,0"/>
                <v:stroke color="#000000" joinstyle="miter"/>
                <v:imagedata o:title=""/>
                <o:lock v:ext="edit" aspectratio="f"/>
                <v:textbox style="layout-flow:vertical-ideographic;"/>
              </v:shape>
            </w:pict>
          </mc:Fallback>
        </mc:AlternateContent>
      </w:r>
    </w:p>
    <w:p w14:paraId="23696AD2">
      <w:pPr>
        <w:spacing w:line="300" w:lineRule="auto"/>
        <w:ind w:firstLine="480" w:firstLineChars="200"/>
      </w:pPr>
    </w:p>
    <w:p w14:paraId="1E33C2EF">
      <w:pPr>
        <w:spacing w:before="156" w:beforeLines="50" w:line="360" w:lineRule="auto"/>
        <w:rPr>
          <w:sz w:val="28"/>
          <w:szCs w:val="28"/>
        </w:rPr>
      </w:pPr>
      <w:r>
        <w:rPr>
          <w:rFonts w:hint="eastAsia" w:ascii="宋体" w:hAnsi="宋体"/>
          <w:b/>
          <w:color w:val="000000"/>
          <w:szCs w:val="28"/>
        </w:rPr>
        <w:t>(3)设备管理过程的设计</w:t>
      </w:r>
    </w:p>
    <w:p w14:paraId="42CA1557">
      <w:pPr>
        <w:spacing w:line="360" w:lineRule="auto"/>
        <w:ind w:firstLine="480" w:firstLineChars="200"/>
        <w:rPr>
          <w:rFonts w:ascii="宋体" w:hAnsi="宋体"/>
          <w:b/>
          <w:color w:val="000000"/>
          <w:szCs w:val="28"/>
        </w:rPr>
      </w:pPr>
      <w:r>
        <w:rPr>
          <w:rFonts w:hint="eastAsia" w:ascii="宋体" w:hAnsi="宋体"/>
          <w:bCs/>
          <w:szCs w:val="32"/>
        </w:rPr>
        <w:t>工欲善其事，必先利其器。公司明确物控部根据实际生产需求进行设备的采购，设备部负责设备使用与维护管理，各使用单位负责具体的设备维护保养，遵循公司设备管理的“强零”工程理念，设计形成设备管理模型，详见图4.5.3-3。</w:t>
      </w:r>
    </w:p>
    <w:p w14:paraId="5DA189E0">
      <w:pPr>
        <w:spacing w:line="360" w:lineRule="auto"/>
        <w:jc w:val="center"/>
        <w:rPr>
          <w:rFonts w:ascii="黑体" w:hAnsi="黑体" w:eastAsia="黑体"/>
          <w:b/>
          <w:color w:val="000000"/>
          <w:sz w:val="21"/>
          <w:szCs w:val="21"/>
        </w:rPr>
      </w:pPr>
    </w:p>
    <w:p w14:paraId="193341AD">
      <w:pPr>
        <w:spacing w:line="360" w:lineRule="auto"/>
        <w:jc w:val="center"/>
        <w:rPr>
          <w:rFonts w:ascii="黑体" w:hAnsi="黑体" w:eastAsia="黑体"/>
          <w:b/>
          <w:color w:val="000000"/>
          <w:sz w:val="21"/>
          <w:szCs w:val="21"/>
        </w:rPr>
      </w:pPr>
    </w:p>
    <w:p w14:paraId="5E6B4185">
      <w:pPr>
        <w:spacing w:line="360" w:lineRule="auto"/>
        <w:jc w:val="center"/>
        <w:rPr>
          <w:rFonts w:ascii="黑体" w:hAnsi="黑体" w:eastAsia="黑体"/>
          <w:b/>
          <w:color w:val="000000"/>
          <w:sz w:val="21"/>
          <w:szCs w:val="21"/>
        </w:rPr>
      </w:pPr>
    </w:p>
    <w:p w14:paraId="53BD6395">
      <w:pPr>
        <w:spacing w:line="360" w:lineRule="auto"/>
        <w:jc w:val="center"/>
        <w:rPr>
          <w:rFonts w:ascii="黑体" w:hAnsi="黑体" w:eastAsia="黑体"/>
          <w:b/>
          <w:color w:val="000000"/>
          <w:sz w:val="21"/>
          <w:szCs w:val="21"/>
        </w:rPr>
      </w:pPr>
    </w:p>
    <w:p w14:paraId="23A223EC">
      <w:pPr>
        <w:spacing w:line="360" w:lineRule="auto"/>
        <w:jc w:val="center"/>
        <w:rPr>
          <w:rFonts w:ascii="黑体" w:hAnsi="黑体" w:eastAsia="黑体"/>
          <w:b/>
          <w:color w:val="000000"/>
          <w:sz w:val="21"/>
          <w:szCs w:val="21"/>
        </w:rPr>
      </w:pPr>
    </w:p>
    <w:p w14:paraId="1E48D194">
      <w:pPr>
        <w:spacing w:line="360" w:lineRule="auto"/>
        <w:jc w:val="center"/>
        <w:rPr>
          <w:rFonts w:ascii="黑体" w:hAnsi="黑体" w:eastAsia="黑体"/>
          <w:b/>
          <w:color w:val="000000"/>
          <w:sz w:val="21"/>
          <w:szCs w:val="21"/>
        </w:rPr>
      </w:pPr>
    </w:p>
    <w:p w14:paraId="6A9CE11F">
      <w:pPr>
        <w:spacing w:line="360" w:lineRule="auto"/>
        <w:jc w:val="center"/>
        <w:rPr>
          <w:rFonts w:ascii="黑体" w:hAnsi="黑体" w:eastAsia="黑体"/>
          <w:b/>
          <w:color w:val="000000"/>
          <w:sz w:val="21"/>
          <w:szCs w:val="21"/>
        </w:rPr>
      </w:pPr>
    </w:p>
    <w:p w14:paraId="1F75519C">
      <w:pPr>
        <w:spacing w:line="360" w:lineRule="auto"/>
        <w:jc w:val="center"/>
        <w:rPr>
          <w:rFonts w:ascii="黑体" w:hAnsi="黑体" w:eastAsia="黑体"/>
          <w:b/>
          <w:color w:val="000000"/>
          <w:sz w:val="21"/>
          <w:szCs w:val="21"/>
        </w:rPr>
      </w:pPr>
    </w:p>
    <w:p w14:paraId="72C87DFF">
      <w:pPr>
        <w:spacing w:line="360" w:lineRule="auto"/>
        <w:jc w:val="center"/>
        <w:rPr>
          <w:rFonts w:ascii="黑体" w:hAnsi="黑体" w:eastAsia="黑体"/>
          <w:color w:val="000000"/>
          <w:sz w:val="21"/>
          <w:szCs w:val="21"/>
        </w:rPr>
      </w:pPr>
      <w:r>
        <w:rPr>
          <w:rFonts w:hint="eastAsia" w:ascii="黑体" w:hAnsi="黑体" w:eastAsia="黑体"/>
          <w:b/>
          <w:color w:val="000000"/>
          <w:sz w:val="21"/>
          <w:szCs w:val="21"/>
        </w:rPr>
        <w:t>图4.5.3-3 设备管理设计过程</w:t>
      </w:r>
    </w:p>
    <w:p w14:paraId="1096A5E9">
      <w:pPr>
        <w:pStyle w:val="10"/>
        <w:jc w:val="center"/>
        <w:rPr>
          <w:color w:val="000000"/>
        </w:rPr>
      </w:pPr>
      <w:r>
        <w:object>
          <v:shape id="_x0000_i1027" o:spt="75" type="#_x0000_t75" style="height:263.3pt;width:343.4pt;" o:ole="t" filled="f" o:preferrelative="t" stroked="f" coordsize="21600,21600">
            <v:path/>
            <v:fill on="f" focussize="0,0"/>
            <v:stroke on="f" joinstyle="miter"/>
            <v:imagedata r:id="rId31" o:title=""/>
            <o:lock v:ext="edit" aspectratio="t"/>
            <w10:wrap type="none"/>
            <w10:anchorlock/>
          </v:shape>
          <o:OLEObject Type="Embed" ProgID="PBrush" ShapeID="_x0000_i1027" DrawAspect="Content" ObjectID="_1468075727" r:id="rId30">
            <o:LockedField>false</o:LockedField>
          </o:OLEObject>
        </w:object>
      </w:r>
    </w:p>
    <w:p w14:paraId="7E67A24C">
      <w:pPr>
        <w:spacing w:line="360" w:lineRule="auto"/>
        <w:rPr>
          <w:b/>
          <w:szCs w:val="28"/>
        </w:rPr>
      </w:pPr>
      <w:r>
        <w:rPr>
          <w:rFonts w:hint="eastAsia"/>
          <w:b/>
          <w:szCs w:val="28"/>
        </w:rPr>
        <w:t>(4)信息管理</w:t>
      </w:r>
      <w:r>
        <w:rPr>
          <w:rFonts w:hint="eastAsia" w:ascii="宋体" w:hAnsi="宋体"/>
          <w:b/>
          <w:bCs/>
          <w:color w:val="000000"/>
        </w:rPr>
        <w:t>过程的设计</w:t>
      </w:r>
    </w:p>
    <w:p w14:paraId="68CA48D3">
      <w:pPr>
        <w:pStyle w:val="47"/>
        <w:spacing w:line="360" w:lineRule="auto"/>
        <w:ind w:firstLine="480" w:firstLineChars="200"/>
        <w:rPr>
          <w:rFonts w:ascii="宋体" w:hAnsi="宋体"/>
          <w:color w:val="008000"/>
        </w:rPr>
      </w:pPr>
      <w:r>
        <w:rPr>
          <w:rFonts w:hint="eastAsia"/>
          <w:color w:val="000000"/>
        </w:rPr>
        <w:t>随着技术和网络技术的发展，</w:t>
      </w:r>
      <w:r>
        <w:rPr>
          <w:rFonts w:hint="eastAsia" w:ascii="宋体" w:hAnsi="宋体"/>
          <w:color w:val="000000"/>
        </w:rPr>
        <w:t>信息管理已</w:t>
      </w:r>
      <w:r>
        <w:rPr>
          <w:rFonts w:hint="eastAsia"/>
          <w:color w:val="000000"/>
        </w:rPr>
        <w:t>成为企业的核心竞争力，综合管理部从公司战略的高度，</w:t>
      </w:r>
      <w:r>
        <w:rPr>
          <w:rFonts w:hint="eastAsia" w:ascii="宋体" w:hAnsi="宋体"/>
          <w:color w:val="000000"/>
          <w:szCs w:val="28"/>
        </w:rPr>
        <w:t>按照“缩短时空，服务用户”的服务理念，构建高效、先进、可持续改进的信息管理平台.</w:t>
      </w:r>
    </w:p>
    <w:p w14:paraId="3358B360">
      <w:pPr>
        <w:pStyle w:val="46"/>
        <w:spacing w:before="312" w:beforeLines="100" w:after="312" w:afterLines="100" w:line="360" w:lineRule="auto"/>
        <w:rPr>
          <w:rFonts w:ascii="Cambria" w:hAnsi="Cambria" w:eastAsia="宋体"/>
          <w:b/>
          <w:bCs/>
        </w:rPr>
      </w:pPr>
      <w:r>
        <w:rPr>
          <w:rFonts w:hint="eastAsia" w:ascii="Cambria" w:hAnsi="Cambria" w:eastAsia="宋体"/>
          <w:b/>
          <w:bCs/>
        </w:rPr>
        <w:t>4.5.3.3 支持过程的实施与改进</w:t>
      </w:r>
    </w:p>
    <w:p w14:paraId="6CE632DA">
      <w:pPr>
        <w:pStyle w:val="47"/>
        <w:spacing w:line="360" w:lineRule="auto"/>
        <w:ind w:firstLine="480" w:firstLineChars="200"/>
        <w:rPr>
          <w:color w:val="000000"/>
        </w:rPr>
      </w:pPr>
      <w:r>
        <w:rPr>
          <w:rFonts w:hint="eastAsia" w:ascii="宋体" w:hAnsi="宋体"/>
          <w:bCs/>
          <w:color w:val="000000"/>
          <w:szCs w:val="21"/>
        </w:rPr>
        <w:t>(1) 人力资源管理的实施与改进，</w:t>
      </w:r>
      <w:r>
        <w:rPr>
          <w:rFonts w:hint="eastAsia" w:ascii="宋体" w:hAnsi="宋体"/>
          <w:bCs/>
          <w:color w:val="auto"/>
          <w:szCs w:val="32"/>
        </w:rPr>
        <w:t>见图4.5.3-4和图4.5.3-5。</w:t>
      </w:r>
    </w:p>
    <w:p w14:paraId="5639D240">
      <w:pPr>
        <w:jc w:val="center"/>
        <w:rPr>
          <w:rFonts w:ascii="黑体" w:hAnsi="黑体" w:eastAsia="黑体"/>
          <w:b/>
          <w:color w:val="000000"/>
          <w:sz w:val="21"/>
          <w:szCs w:val="21"/>
        </w:rPr>
      </w:pPr>
      <w:r>
        <w:rPr>
          <w:rFonts w:hint="eastAsia" w:ascii="黑体" w:hAnsi="黑体" w:eastAsia="黑体"/>
          <w:b/>
          <w:bCs/>
          <w:color w:val="000000"/>
          <w:sz w:val="21"/>
          <w:szCs w:val="21"/>
        </w:rPr>
        <w:t>图4.5.3-4 实施与改进过程</w:t>
      </w:r>
    </w:p>
    <w:p w14:paraId="0343C13D">
      <w:pPr>
        <w:pStyle w:val="47"/>
        <w:spacing w:line="360" w:lineRule="auto"/>
        <w:ind w:firstLine="480" w:firstLineChars="200"/>
        <w:rPr>
          <w:color w:val="000000"/>
        </w:rPr>
      </w:pPr>
      <w:r>
        <w:rPr>
          <w:color w:val="000000"/>
        </w:rPr>
        <w:drawing>
          <wp:inline distT="0" distB="0" distL="114300" distR="114300">
            <wp:extent cx="4352925" cy="2425700"/>
            <wp:effectExtent l="0" t="0" r="9525" b="12700"/>
            <wp:docPr id="20" name="图片 32" descr="人力资源过程的实施和改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2" descr="人力资源过程的实施和改进"/>
                    <pic:cNvPicPr>
                      <a:picLocks noChangeAspect="1"/>
                    </pic:cNvPicPr>
                  </pic:nvPicPr>
                  <pic:blipFill>
                    <a:blip r:embed="rId32"/>
                    <a:stretch>
                      <a:fillRect/>
                    </a:stretch>
                  </pic:blipFill>
                  <pic:spPr>
                    <a:xfrm>
                      <a:off x="0" y="0"/>
                      <a:ext cx="4352925" cy="2425700"/>
                    </a:xfrm>
                    <a:prstGeom prst="rect">
                      <a:avLst/>
                    </a:prstGeom>
                    <a:noFill/>
                    <a:ln>
                      <a:noFill/>
                    </a:ln>
                  </pic:spPr>
                </pic:pic>
              </a:graphicData>
            </a:graphic>
          </wp:inline>
        </w:drawing>
      </w:r>
    </w:p>
    <w:p w14:paraId="5958E86C">
      <w:pPr>
        <w:spacing w:before="312" w:beforeLines="100" w:line="360" w:lineRule="auto"/>
        <w:jc w:val="center"/>
        <w:rPr>
          <w:rFonts w:ascii="黑体" w:hAnsi="黑体" w:eastAsia="黑体"/>
          <w:color w:val="000000"/>
          <w:sz w:val="21"/>
          <w:szCs w:val="21"/>
        </w:rPr>
      </w:pPr>
      <w:r>
        <w:rPr>
          <w:rFonts w:hint="eastAsia" w:ascii="黑体" w:hAnsi="黑体" w:eastAsia="黑体"/>
          <w:b/>
          <w:bCs/>
          <w:color w:val="000000"/>
          <w:sz w:val="21"/>
          <w:szCs w:val="21"/>
        </w:rPr>
        <w:t>图4.5.3-5 技术人员职业发展通道</w:t>
      </w:r>
    </w:p>
    <w:p w14:paraId="42D957F8">
      <w:pPr>
        <w:spacing w:line="360" w:lineRule="auto"/>
        <w:jc w:val="center"/>
        <w:rPr>
          <w:rFonts w:ascii="宋体" w:hAnsi="宋体"/>
          <w:color w:val="000000"/>
        </w:rPr>
      </w:pPr>
      <w:r>
        <w:drawing>
          <wp:inline distT="0" distB="0" distL="114300" distR="114300">
            <wp:extent cx="5181600" cy="3095625"/>
            <wp:effectExtent l="0" t="0" r="0" b="9525"/>
            <wp:docPr id="21" name="图片 33"/>
            <wp:cNvGraphicFramePr/>
            <a:graphic xmlns:a="http://schemas.openxmlformats.org/drawingml/2006/main">
              <a:graphicData uri="http://schemas.openxmlformats.org/drawingml/2006/picture">
                <pic:pic xmlns:pic="http://schemas.openxmlformats.org/drawingml/2006/picture">
                  <pic:nvPicPr>
                    <pic:cNvPr id="21" name="图片 33"/>
                    <pic:cNvPicPr preferRelativeResize="0"/>
                  </pic:nvPicPr>
                  <pic:blipFill>
                    <a:blip r:embed="rId22"/>
                    <a:stretch>
                      <a:fillRect/>
                    </a:stretch>
                  </pic:blipFill>
                  <pic:spPr>
                    <a:xfrm>
                      <a:off x="0" y="0"/>
                      <a:ext cx="5181600" cy="3095625"/>
                    </a:xfrm>
                    <a:prstGeom prst="rect">
                      <a:avLst/>
                    </a:prstGeom>
                    <a:noFill/>
                    <a:ln>
                      <a:noFill/>
                    </a:ln>
                  </pic:spPr>
                </pic:pic>
              </a:graphicData>
            </a:graphic>
          </wp:inline>
        </w:drawing>
      </w:r>
    </w:p>
    <w:p w14:paraId="2710A2AE">
      <w:pPr>
        <w:pStyle w:val="47"/>
        <w:spacing w:line="360" w:lineRule="auto"/>
        <w:ind w:firstLine="480" w:firstLineChars="200"/>
        <w:rPr>
          <w:color w:val="000000"/>
        </w:rPr>
      </w:pPr>
      <w:r>
        <w:rPr>
          <w:rFonts w:hint="eastAsia"/>
          <w:color w:val="000000"/>
        </w:rPr>
        <w:t xml:space="preserve"> (2) 财务管理的实施与改进</w:t>
      </w:r>
    </w:p>
    <w:p w14:paraId="443DC208">
      <w:pPr>
        <w:pStyle w:val="47"/>
        <w:spacing w:line="360" w:lineRule="auto"/>
        <w:ind w:firstLine="480" w:firstLineChars="200"/>
        <w:rPr>
          <w:color w:val="000000"/>
        </w:rPr>
      </w:pPr>
      <w:r>
        <w:rPr>
          <w:rFonts w:hint="eastAsia"/>
          <w:color w:val="000000"/>
        </w:rPr>
        <w:t>财务部按财务管理过程的设计组织实施财务管理工作，编制完善《付款管理规定》等制度与流程规范，应用萨班斯法案、</w:t>
      </w:r>
      <w:r>
        <w:rPr>
          <w:rFonts w:hint="eastAsia"/>
          <w:color w:val="000000"/>
          <w:lang w:eastAsia="zh-CN"/>
        </w:rPr>
        <w:t>财物管理</w:t>
      </w:r>
      <w:r>
        <w:rPr>
          <w:rFonts w:hint="eastAsia"/>
          <w:color w:val="000000"/>
        </w:rPr>
        <w:t>系统开展财务管理工作，确保满足设计的要求。公司财务管理具有以下的特色：</w:t>
      </w:r>
    </w:p>
    <w:p w14:paraId="10497810">
      <w:pPr>
        <w:pStyle w:val="47"/>
        <w:spacing w:line="360" w:lineRule="auto"/>
        <w:ind w:firstLine="480" w:firstLineChars="200"/>
        <w:rPr>
          <w:color w:val="000000"/>
        </w:rPr>
      </w:pPr>
      <w:r>
        <w:rPr>
          <w:rFonts w:hint="eastAsia"/>
          <w:color w:val="000000"/>
        </w:rPr>
        <w:fldChar w:fldCharType="begin"/>
      </w:r>
      <w:r>
        <w:rPr>
          <w:rFonts w:hint="eastAsia"/>
          <w:color w:val="000000"/>
        </w:rPr>
        <w:instrText xml:space="preserve"> = 1 \* GB3 </w:instrText>
      </w:r>
      <w:r>
        <w:rPr>
          <w:rFonts w:hint="eastAsia"/>
          <w:color w:val="000000"/>
        </w:rPr>
        <w:fldChar w:fldCharType="separate"/>
      </w:r>
      <w:r>
        <w:rPr>
          <w:rFonts w:hint="eastAsia"/>
          <w:color w:val="000000"/>
        </w:rPr>
        <w:t>①</w:t>
      </w:r>
      <w:r>
        <w:rPr>
          <w:rFonts w:hint="eastAsia"/>
          <w:color w:val="000000"/>
        </w:rPr>
        <w:fldChar w:fldCharType="end"/>
      </w:r>
      <w:r>
        <w:rPr>
          <w:rFonts w:hint="eastAsia"/>
          <w:color w:val="000000"/>
        </w:rPr>
        <w:t xml:space="preserve"> 资金管理</w:t>
      </w:r>
    </w:p>
    <w:p w14:paraId="6D8FB867">
      <w:pPr>
        <w:pStyle w:val="47"/>
        <w:spacing w:line="360" w:lineRule="auto"/>
        <w:ind w:firstLine="480" w:firstLineChars="200"/>
        <w:rPr>
          <w:color w:val="000000"/>
        </w:rPr>
      </w:pPr>
      <w:r>
        <w:rPr>
          <w:rFonts w:hint="eastAsia"/>
          <w:color w:val="000000"/>
        </w:rPr>
        <w:t>● 应用科学系统方法，组织项目投资经济可行性评价，控制投资风险，保证投资项目的先进性、经济性，提高投资效能；</w:t>
      </w:r>
    </w:p>
    <w:p w14:paraId="3DA24945">
      <w:pPr>
        <w:pStyle w:val="47"/>
        <w:spacing w:line="360" w:lineRule="auto"/>
        <w:ind w:firstLine="480" w:firstLineChars="200"/>
        <w:rPr>
          <w:color w:val="000000"/>
        </w:rPr>
      </w:pPr>
      <w:r>
        <w:rPr>
          <w:rFonts w:hint="eastAsia"/>
          <w:color w:val="000000"/>
        </w:rPr>
        <w:t>● 利用财务杠杆效应，合理安排借贷资金，调整筹资结构，降低筹资成本和财务风险；</w:t>
      </w:r>
    </w:p>
    <w:p w14:paraId="15E1ADAB">
      <w:pPr>
        <w:pStyle w:val="47"/>
        <w:spacing w:line="360" w:lineRule="auto"/>
        <w:ind w:firstLine="480" w:firstLineChars="200"/>
        <w:rPr>
          <w:color w:val="000000"/>
        </w:rPr>
      </w:pPr>
      <w:r>
        <w:rPr>
          <w:rFonts w:hint="eastAsia"/>
          <w:color w:val="000000"/>
        </w:rPr>
        <w:t>● 实行基本账户余额动态平衡管理，减少持有现金的机会成本，提高资金的收益率；</w:t>
      </w:r>
    </w:p>
    <w:p w14:paraId="0DD0252F">
      <w:pPr>
        <w:pStyle w:val="47"/>
        <w:spacing w:line="360" w:lineRule="auto"/>
        <w:ind w:firstLine="480" w:firstLineChars="200"/>
        <w:rPr>
          <w:color w:val="000000"/>
        </w:rPr>
      </w:pPr>
      <w:r>
        <w:rPr>
          <w:rFonts w:hint="eastAsia"/>
          <w:color w:val="000000"/>
        </w:rPr>
        <w:t>● 资金调度主抓销售货款回笼管理，开展银行承兑汇票、低贴现率票据贴现和保理业务等金融业务，确保生产经营、新品开发、投资项目的资金需要。</w:t>
      </w:r>
    </w:p>
    <w:p w14:paraId="052F2810">
      <w:pPr>
        <w:pStyle w:val="47"/>
        <w:spacing w:line="360" w:lineRule="auto"/>
        <w:ind w:firstLine="480" w:firstLineChars="200"/>
        <w:rPr>
          <w:color w:val="000000"/>
        </w:rPr>
      </w:pPr>
      <w:r>
        <w:rPr>
          <w:rFonts w:hint="eastAsia"/>
          <w:color w:val="000000"/>
        </w:rPr>
        <w:fldChar w:fldCharType="begin"/>
      </w:r>
      <w:r>
        <w:rPr>
          <w:rFonts w:hint="eastAsia"/>
          <w:color w:val="000000"/>
        </w:rPr>
        <w:instrText xml:space="preserve"> = 2 \* GB3 </w:instrText>
      </w:r>
      <w:r>
        <w:rPr>
          <w:rFonts w:hint="eastAsia"/>
          <w:color w:val="000000"/>
        </w:rPr>
        <w:fldChar w:fldCharType="separate"/>
      </w:r>
      <w:r>
        <w:rPr>
          <w:rFonts w:hint="eastAsia"/>
          <w:color w:val="000000"/>
        </w:rPr>
        <w:t>②</w:t>
      </w:r>
      <w:r>
        <w:rPr>
          <w:rFonts w:hint="eastAsia"/>
          <w:color w:val="000000"/>
        </w:rPr>
        <w:fldChar w:fldCharType="end"/>
      </w:r>
      <w:r>
        <w:rPr>
          <w:rFonts w:hint="eastAsia"/>
          <w:color w:val="000000"/>
        </w:rPr>
        <w:t xml:space="preserve"> 会计管理：</w:t>
      </w:r>
    </w:p>
    <w:p w14:paraId="7D2092D3">
      <w:pPr>
        <w:pStyle w:val="47"/>
        <w:spacing w:line="360" w:lineRule="auto"/>
        <w:ind w:firstLine="480" w:firstLineChars="200"/>
        <w:rPr>
          <w:color w:val="000000"/>
        </w:rPr>
      </w:pPr>
      <w:r>
        <w:rPr>
          <w:rFonts w:hint="eastAsia"/>
          <w:color w:val="000000"/>
        </w:rPr>
        <w:t>利用</w:t>
      </w:r>
      <w:r>
        <w:rPr>
          <w:rFonts w:hint="eastAsia"/>
          <w:color w:val="000000"/>
          <w:lang w:eastAsia="zh-CN"/>
        </w:rPr>
        <w:t>财物管理</w:t>
      </w:r>
      <w:r>
        <w:rPr>
          <w:rFonts w:hint="eastAsia"/>
          <w:color w:val="000000"/>
        </w:rPr>
        <w:t>系统处理和即时监控生产经营中发生的经济业务，并由定期集成的财务数据进行审核结转处理，使生产经营的各个环节更加严密。</w:t>
      </w:r>
    </w:p>
    <w:p w14:paraId="65AD9E83">
      <w:pPr>
        <w:pStyle w:val="47"/>
        <w:spacing w:line="360" w:lineRule="auto"/>
        <w:ind w:firstLine="480" w:firstLineChars="200"/>
        <w:rPr>
          <w:color w:val="000000"/>
        </w:rPr>
      </w:pPr>
      <w:r>
        <w:rPr>
          <w:rFonts w:hint="eastAsia"/>
          <w:color w:val="000000"/>
        </w:rPr>
        <w:t>公司应用系统后，每月财务报表由以前的每月15日前完成提前到每月8日前完成，提高了会计信息的及时性和准确性。</w:t>
      </w:r>
    </w:p>
    <w:p w14:paraId="50A6FD27">
      <w:pPr>
        <w:pStyle w:val="47"/>
        <w:spacing w:line="360" w:lineRule="auto"/>
        <w:ind w:firstLine="480" w:firstLineChars="200"/>
        <w:rPr>
          <w:color w:val="000000"/>
        </w:rPr>
      </w:pPr>
      <w:r>
        <w:rPr>
          <w:rFonts w:hint="eastAsia"/>
          <w:color w:val="000000"/>
        </w:rPr>
        <w:fldChar w:fldCharType="begin"/>
      </w:r>
      <w:r>
        <w:rPr>
          <w:rFonts w:hint="eastAsia"/>
          <w:color w:val="000000"/>
        </w:rPr>
        <w:instrText xml:space="preserve"> = 3 \* GB3 </w:instrText>
      </w:r>
      <w:r>
        <w:rPr>
          <w:rFonts w:hint="eastAsia"/>
          <w:color w:val="000000"/>
        </w:rPr>
        <w:fldChar w:fldCharType="separate"/>
      </w:r>
      <w:r>
        <w:rPr>
          <w:rFonts w:hint="eastAsia"/>
          <w:color w:val="000000"/>
        </w:rPr>
        <w:t>③</w:t>
      </w:r>
      <w:r>
        <w:rPr>
          <w:rFonts w:hint="eastAsia"/>
          <w:color w:val="000000"/>
        </w:rPr>
        <w:fldChar w:fldCharType="end"/>
      </w:r>
      <w:r>
        <w:rPr>
          <w:rFonts w:hint="eastAsia"/>
          <w:color w:val="000000"/>
        </w:rPr>
        <w:t xml:space="preserve"> 成本管理</w:t>
      </w:r>
    </w:p>
    <w:p w14:paraId="314A9AC9">
      <w:pPr>
        <w:pStyle w:val="47"/>
        <w:spacing w:line="360" w:lineRule="auto"/>
        <w:ind w:firstLine="480" w:firstLineChars="200"/>
        <w:rPr>
          <w:color w:val="000000"/>
        </w:rPr>
      </w:pPr>
      <w:r>
        <w:rPr>
          <w:rFonts w:hint="eastAsia"/>
          <w:color w:val="000000"/>
        </w:rPr>
        <w:t>● 建立一套完善的价格管理体系，进行价格评审，同时推行招标采购，控制采购成本和风险，降低产品成本；</w:t>
      </w:r>
    </w:p>
    <w:p w14:paraId="1620CDCA">
      <w:pPr>
        <w:pStyle w:val="47"/>
        <w:spacing w:line="360" w:lineRule="auto"/>
        <w:ind w:firstLine="480" w:firstLineChars="200"/>
        <w:rPr>
          <w:color w:val="000000"/>
        </w:rPr>
      </w:pPr>
      <w:r>
        <w:rPr>
          <w:rFonts w:hint="eastAsia"/>
          <w:color w:val="000000"/>
        </w:rPr>
        <w:t>● 把质量成本、设计成本也列入成本控制范围，开展成本费用的目标管理与过程控制。推行全员经营管理模式，通过全面预算管理，确定年度生产经营目标，建立责权利相统一、激励与约束相结合的管理机制，细分责任单元，渗透全员经营，把责任层层分解落实到人，人人都是经营者，使成本费用全过程受控。</w:t>
      </w:r>
    </w:p>
    <w:p w14:paraId="03837DC7">
      <w:pPr>
        <w:pStyle w:val="47"/>
        <w:spacing w:line="360" w:lineRule="auto"/>
        <w:ind w:firstLine="480" w:firstLineChars="200"/>
        <w:rPr>
          <w:color w:val="000000"/>
        </w:rPr>
      </w:pPr>
      <w:r>
        <w:rPr>
          <w:rFonts w:hint="eastAsia"/>
          <w:color w:val="000000"/>
        </w:rPr>
        <w:fldChar w:fldCharType="begin"/>
      </w:r>
      <w:r>
        <w:rPr>
          <w:rFonts w:hint="eastAsia"/>
          <w:color w:val="000000"/>
        </w:rPr>
        <w:instrText xml:space="preserve"> = 4 \* GB3 </w:instrText>
      </w:r>
      <w:r>
        <w:rPr>
          <w:rFonts w:hint="eastAsia"/>
          <w:color w:val="000000"/>
        </w:rPr>
        <w:fldChar w:fldCharType="separate"/>
      </w:r>
      <w:r>
        <w:rPr>
          <w:rFonts w:hint="eastAsia"/>
          <w:color w:val="000000"/>
        </w:rPr>
        <w:t>④</w:t>
      </w:r>
      <w:r>
        <w:rPr>
          <w:rFonts w:hint="eastAsia"/>
          <w:color w:val="000000"/>
        </w:rPr>
        <w:fldChar w:fldCharType="end"/>
      </w:r>
      <w:r>
        <w:rPr>
          <w:rFonts w:hint="eastAsia"/>
          <w:color w:val="000000"/>
        </w:rPr>
        <w:t xml:space="preserve"> 财务分析</w:t>
      </w:r>
    </w:p>
    <w:p w14:paraId="667CE207">
      <w:pPr>
        <w:pStyle w:val="47"/>
        <w:spacing w:line="360" w:lineRule="auto"/>
        <w:ind w:firstLine="480" w:firstLineChars="200"/>
        <w:rPr>
          <w:color w:val="000000"/>
        </w:rPr>
      </w:pPr>
      <w:r>
        <w:rPr>
          <w:rFonts w:hint="eastAsia"/>
          <w:color w:val="000000"/>
        </w:rPr>
        <w:t>应用杜邦财务分析体系等分析方法，开展各季度财务分析工作，评价经营结果、财务状况及其变动情况，评价公司偿债能力、盈利能力和抗风险能力，为公司经营决策提供信息。</w:t>
      </w:r>
    </w:p>
    <w:p w14:paraId="5FF82339">
      <w:pPr>
        <w:pStyle w:val="47"/>
        <w:spacing w:line="360" w:lineRule="auto"/>
        <w:ind w:firstLine="480" w:firstLineChars="200"/>
        <w:rPr>
          <w:color w:val="000000"/>
        </w:rPr>
      </w:pPr>
      <w:r>
        <w:rPr>
          <w:rFonts w:hint="eastAsia"/>
          <w:color w:val="000000"/>
        </w:rPr>
        <w:fldChar w:fldCharType="begin"/>
      </w:r>
      <w:r>
        <w:rPr>
          <w:rFonts w:hint="eastAsia"/>
          <w:color w:val="000000"/>
        </w:rPr>
        <w:instrText xml:space="preserve"> = 5 \* GB3 </w:instrText>
      </w:r>
      <w:r>
        <w:rPr>
          <w:rFonts w:hint="eastAsia"/>
          <w:color w:val="000000"/>
        </w:rPr>
        <w:fldChar w:fldCharType="separate"/>
      </w:r>
      <w:r>
        <w:rPr>
          <w:rFonts w:hint="eastAsia"/>
          <w:color w:val="000000"/>
        </w:rPr>
        <w:t>⑤</w:t>
      </w:r>
      <w:r>
        <w:rPr>
          <w:rFonts w:hint="eastAsia"/>
          <w:color w:val="000000"/>
        </w:rPr>
        <w:fldChar w:fldCharType="end"/>
      </w:r>
      <w:r>
        <w:rPr>
          <w:rFonts w:hint="eastAsia"/>
          <w:color w:val="000000"/>
        </w:rPr>
        <w:t xml:space="preserve"> 过程评价和改进</w:t>
      </w:r>
    </w:p>
    <w:p w14:paraId="4D6C2523">
      <w:pPr>
        <w:pStyle w:val="47"/>
        <w:spacing w:line="360" w:lineRule="auto"/>
        <w:ind w:firstLine="480" w:firstLineChars="200"/>
        <w:rPr>
          <w:color w:val="000000"/>
        </w:rPr>
      </w:pPr>
      <w:r>
        <w:rPr>
          <w:rFonts w:hint="eastAsia"/>
          <w:color w:val="000000"/>
        </w:rPr>
        <w:t>基于财务管理的展开，确定财务管理关键绩效指标和测量方法，并经过绩效管理平台分解至部门层面、操作层面。</w:t>
      </w:r>
    </w:p>
    <w:p w14:paraId="48D98AFA">
      <w:pPr>
        <w:pStyle w:val="47"/>
        <w:spacing w:line="360" w:lineRule="auto"/>
        <w:ind w:firstLine="480" w:firstLineChars="200"/>
        <w:rPr>
          <w:color w:val="000000"/>
        </w:rPr>
      </w:pPr>
      <w:r>
        <w:rPr>
          <w:rFonts w:hint="eastAsia"/>
          <w:color w:val="000000"/>
        </w:rPr>
        <w:t>根据测量结果评价过程有效性和效率，寻求改进机会，据此不断优化过程，并将改进成果按公司知识管理的机制实现共享。</w:t>
      </w:r>
    </w:p>
    <w:p w14:paraId="5CB57BCD">
      <w:pPr>
        <w:pStyle w:val="47"/>
        <w:spacing w:line="360" w:lineRule="auto"/>
        <w:ind w:firstLine="480" w:firstLineChars="200"/>
        <w:rPr>
          <w:color w:val="000000"/>
        </w:rPr>
      </w:pPr>
      <w:r>
        <w:rPr>
          <w:rFonts w:hint="eastAsia"/>
          <w:color w:val="000000"/>
        </w:rPr>
        <w:fldChar w:fldCharType="begin"/>
      </w:r>
      <w:r>
        <w:rPr>
          <w:rFonts w:hint="eastAsia"/>
          <w:color w:val="000000"/>
        </w:rPr>
        <w:instrText xml:space="preserve"> = 6 \* GB3 </w:instrText>
      </w:r>
      <w:r>
        <w:rPr>
          <w:rFonts w:hint="eastAsia"/>
          <w:color w:val="000000"/>
        </w:rPr>
        <w:fldChar w:fldCharType="separate"/>
      </w:r>
      <w:r>
        <w:rPr>
          <w:rFonts w:hint="eastAsia"/>
          <w:color w:val="000000"/>
        </w:rPr>
        <w:t>⑥</w:t>
      </w:r>
      <w:r>
        <w:rPr>
          <w:rFonts w:hint="eastAsia"/>
          <w:color w:val="000000"/>
        </w:rPr>
        <w:fldChar w:fldCharType="end"/>
      </w:r>
      <w:r>
        <w:rPr>
          <w:rFonts w:hint="eastAsia"/>
          <w:color w:val="000000"/>
        </w:rPr>
        <w:t xml:space="preserve"> 成本最小化</w:t>
      </w:r>
    </w:p>
    <w:p w14:paraId="395B3F4A">
      <w:pPr>
        <w:pStyle w:val="47"/>
        <w:spacing w:line="360" w:lineRule="auto"/>
        <w:ind w:firstLine="480" w:firstLineChars="200"/>
        <w:rPr>
          <w:color w:val="000000"/>
        </w:rPr>
      </w:pPr>
      <w:r>
        <w:rPr>
          <w:rFonts w:hint="eastAsia"/>
          <w:color w:val="000000"/>
        </w:rPr>
        <w:t>通过财务分析会对整体成本进行了识别，主要包括：业务成本、融资成本、合同成本等，采取措施来实现成本最小化，如：</w:t>
      </w:r>
    </w:p>
    <w:p w14:paraId="7C97CF39">
      <w:pPr>
        <w:pStyle w:val="47"/>
        <w:spacing w:line="360" w:lineRule="auto"/>
        <w:ind w:firstLine="480" w:firstLineChars="200"/>
        <w:rPr>
          <w:color w:val="000000"/>
        </w:rPr>
      </w:pPr>
      <w:r>
        <w:rPr>
          <w:rFonts w:hint="eastAsia"/>
          <w:color w:val="000000"/>
        </w:rPr>
        <w:t>● 应用</w:t>
      </w:r>
      <w:r>
        <w:rPr>
          <w:rFonts w:hint="eastAsia"/>
          <w:color w:val="000000"/>
          <w:lang w:eastAsia="zh-CN"/>
        </w:rPr>
        <w:t>财物管理</w:t>
      </w:r>
      <w:r>
        <w:rPr>
          <w:rFonts w:hint="eastAsia"/>
          <w:color w:val="000000"/>
        </w:rPr>
        <w:t>系统，提高工作效率，降低整体成本；</w:t>
      </w:r>
    </w:p>
    <w:p w14:paraId="66F5B9A3">
      <w:pPr>
        <w:pStyle w:val="47"/>
        <w:spacing w:line="360" w:lineRule="auto"/>
        <w:ind w:firstLine="480" w:firstLineChars="200"/>
        <w:rPr>
          <w:color w:val="000000"/>
        </w:rPr>
      </w:pPr>
      <w:r>
        <w:rPr>
          <w:rFonts w:hint="eastAsia"/>
          <w:color w:val="000000"/>
        </w:rPr>
        <w:t>● 合同评审，通过招标比价采购，控制了采购成本；</w:t>
      </w:r>
    </w:p>
    <w:p w14:paraId="7BDF8CD6">
      <w:pPr>
        <w:pStyle w:val="47"/>
        <w:spacing w:line="360" w:lineRule="auto"/>
        <w:ind w:firstLine="480" w:firstLineChars="200"/>
        <w:rPr>
          <w:color w:val="000000"/>
        </w:rPr>
      </w:pPr>
      <w:r>
        <w:rPr>
          <w:rFonts w:hint="eastAsia"/>
          <w:color w:val="000000"/>
        </w:rPr>
        <w:t>● 合理使用财务金融工具，降低融资成本。</w:t>
      </w:r>
    </w:p>
    <w:p w14:paraId="4A2AD9CA">
      <w:pPr>
        <w:pStyle w:val="47"/>
        <w:spacing w:line="360" w:lineRule="auto"/>
        <w:rPr>
          <w:color w:val="000000"/>
        </w:rPr>
      </w:pPr>
      <w:r>
        <w:rPr>
          <w:rFonts w:hint="eastAsia"/>
          <w:color w:val="000000"/>
        </w:rPr>
        <w:t>(3) 设备管理的实施与改进</w:t>
      </w:r>
    </w:p>
    <w:p w14:paraId="68F1F186">
      <w:pPr>
        <w:pStyle w:val="47"/>
        <w:spacing w:line="360" w:lineRule="auto"/>
        <w:ind w:firstLine="480" w:firstLineChars="200"/>
        <w:rPr>
          <w:rFonts w:ascii="宋体" w:hAnsi="宋体"/>
          <w:color w:val="000000"/>
        </w:rPr>
      </w:pPr>
      <w:r>
        <w:rPr>
          <w:rFonts w:hint="eastAsia"/>
          <w:color w:val="000000"/>
        </w:rPr>
        <w:t>生产部、设备部和各单位按设备管理过程的设计实施设备管理，编制《基础设施控制程序》等各级设备管理制度，完善设备管理体系，对设备的前期管理和使用维护实施全过程管理。</w:t>
      </w:r>
      <w:r>
        <w:rPr>
          <w:rFonts w:hint="eastAsia" w:ascii="宋体" w:hAnsi="宋体"/>
          <w:color w:val="000000"/>
        </w:rPr>
        <w:t xml:space="preserve">(详见图4.5.3-6) </w:t>
      </w:r>
    </w:p>
    <w:p w14:paraId="24CB8509">
      <w:pPr>
        <w:pStyle w:val="47"/>
        <w:spacing w:line="360" w:lineRule="auto"/>
        <w:ind w:firstLine="480" w:firstLineChars="200"/>
        <w:rPr>
          <w:rFonts w:ascii="宋体" w:hAnsi="宋体"/>
          <w:color w:val="000000"/>
        </w:rPr>
      </w:pPr>
    </w:p>
    <w:p w14:paraId="2EBB7E91">
      <w:pPr>
        <w:pStyle w:val="47"/>
        <w:spacing w:line="360" w:lineRule="auto"/>
        <w:ind w:firstLine="480" w:firstLineChars="200"/>
        <w:rPr>
          <w:rFonts w:ascii="宋体" w:hAnsi="宋体"/>
          <w:color w:val="000000"/>
        </w:rPr>
      </w:pPr>
    </w:p>
    <w:p w14:paraId="69F34169">
      <w:pPr>
        <w:pStyle w:val="47"/>
        <w:spacing w:line="360" w:lineRule="auto"/>
        <w:ind w:firstLine="480" w:firstLineChars="200"/>
        <w:rPr>
          <w:rFonts w:ascii="宋体" w:hAnsi="宋体"/>
          <w:color w:val="000000"/>
        </w:rPr>
      </w:pPr>
    </w:p>
    <w:p w14:paraId="342156F3">
      <w:pPr>
        <w:pStyle w:val="47"/>
        <w:spacing w:line="360" w:lineRule="auto"/>
        <w:ind w:firstLine="480" w:firstLineChars="200"/>
        <w:rPr>
          <w:rFonts w:ascii="宋体" w:hAnsi="宋体"/>
          <w:color w:val="000000"/>
        </w:rPr>
      </w:pPr>
    </w:p>
    <w:p w14:paraId="7E118124">
      <w:pPr>
        <w:pStyle w:val="10"/>
        <w:spacing w:line="360" w:lineRule="auto"/>
        <w:jc w:val="center"/>
        <w:rPr>
          <w:rFonts w:ascii="黑体" w:hAnsi="黑体" w:eastAsia="黑体"/>
          <w:b/>
          <w:bCs/>
          <w:color w:val="000000"/>
          <w:sz w:val="21"/>
        </w:rPr>
      </w:pPr>
    </w:p>
    <w:p w14:paraId="00942C41">
      <w:pPr>
        <w:pStyle w:val="10"/>
        <w:spacing w:line="360" w:lineRule="auto"/>
        <w:jc w:val="center"/>
        <w:rPr>
          <w:rFonts w:ascii="黑体" w:hAnsi="黑体" w:eastAsia="黑体"/>
          <w:b/>
          <w:bCs/>
          <w:color w:val="000000"/>
          <w:sz w:val="21"/>
        </w:rPr>
      </w:pPr>
    </w:p>
    <w:p w14:paraId="4F727BED">
      <w:pPr>
        <w:pStyle w:val="10"/>
        <w:spacing w:line="360" w:lineRule="auto"/>
        <w:jc w:val="center"/>
        <w:rPr>
          <w:rFonts w:ascii="黑体" w:hAnsi="黑体" w:eastAsia="黑体"/>
          <w:b/>
          <w:bCs/>
          <w:color w:val="000000"/>
          <w:sz w:val="21"/>
        </w:rPr>
      </w:pPr>
    </w:p>
    <w:p w14:paraId="7609036B">
      <w:pPr>
        <w:pStyle w:val="10"/>
        <w:spacing w:line="360" w:lineRule="auto"/>
        <w:jc w:val="center"/>
        <w:rPr>
          <w:rFonts w:ascii="黑体" w:hAnsi="黑体" w:eastAsia="黑体"/>
          <w:b/>
          <w:bCs/>
          <w:color w:val="008000"/>
          <w:sz w:val="21"/>
          <w:szCs w:val="28"/>
        </w:rPr>
      </w:pPr>
      <w:r>
        <w:rPr>
          <w:rFonts w:hint="eastAsia" w:ascii="黑体" w:hAnsi="黑体" w:eastAsia="黑体"/>
          <w:b/>
          <w:bCs/>
          <w:color w:val="000000"/>
          <w:sz w:val="21"/>
        </w:rPr>
        <w:t xml:space="preserve">图4.5.3-6 </w:t>
      </w:r>
      <w:r>
        <w:rPr>
          <w:rFonts w:hint="eastAsia" w:ascii="黑体" w:hAnsi="黑体" w:eastAsia="黑体"/>
          <w:b/>
          <w:bCs/>
          <w:color w:val="000000"/>
          <w:sz w:val="21"/>
          <w:szCs w:val="28"/>
        </w:rPr>
        <w:t>设备管理</w:t>
      </w:r>
      <w:r>
        <w:rPr>
          <w:rFonts w:hint="eastAsia" w:ascii="黑体" w:hAnsi="黑体" w:eastAsia="黑体"/>
          <w:b/>
          <w:bCs/>
          <w:color w:val="000000"/>
          <w:sz w:val="21"/>
        </w:rPr>
        <w:t>“</w:t>
      </w:r>
      <w:r>
        <w:rPr>
          <w:rFonts w:hint="eastAsia" w:ascii="黑体" w:hAnsi="黑体" w:eastAsia="黑体"/>
          <w:b/>
          <w:bCs/>
          <w:color w:val="000000"/>
          <w:sz w:val="21"/>
          <w:szCs w:val="28"/>
        </w:rPr>
        <w:t>强零</w:t>
      </w:r>
      <w:r>
        <w:rPr>
          <w:rFonts w:hint="eastAsia" w:ascii="黑体" w:hAnsi="黑体" w:eastAsia="黑体"/>
          <w:b/>
          <w:bCs/>
          <w:color w:val="000000"/>
          <w:sz w:val="21"/>
        </w:rPr>
        <w:t>”</w:t>
      </w:r>
      <w:r>
        <w:rPr>
          <w:rFonts w:hint="eastAsia" w:ascii="黑体" w:hAnsi="黑体" w:eastAsia="黑体"/>
          <w:b/>
          <w:bCs/>
          <w:color w:val="000000"/>
          <w:sz w:val="21"/>
          <w:szCs w:val="28"/>
        </w:rPr>
        <w:t>系统工程展开</w:t>
      </w:r>
    </w:p>
    <w:p w14:paraId="52D520BF">
      <w:pPr>
        <w:pStyle w:val="10"/>
        <w:rPr>
          <w:rFonts w:ascii="宋体" w:hAnsi="宋体"/>
          <w:color w:val="008000"/>
          <w:szCs w:val="28"/>
        </w:rPr>
      </w:pPr>
      <w:r>
        <w:rPr>
          <w:rFonts w:ascii="宋体" w:hAnsi="宋体"/>
          <w:b/>
          <w:bCs/>
          <w:color w:val="008000"/>
          <w:sz w:val="21"/>
          <w:szCs w:val="28"/>
        </w:rPr>
        <mc:AlternateContent>
          <mc:Choice Requires="wps">
            <w:drawing>
              <wp:anchor distT="0" distB="0" distL="114300" distR="114300" simplePos="0" relativeHeight="251755520" behindDoc="0" locked="0" layoutInCell="1" allowOverlap="1">
                <wp:simplePos x="0" y="0"/>
                <wp:positionH relativeFrom="column">
                  <wp:posOffset>2524125</wp:posOffset>
                </wp:positionH>
                <wp:positionV relativeFrom="paragraph">
                  <wp:posOffset>31115</wp:posOffset>
                </wp:positionV>
                <wp:extent cx="3429000" cy="1287145"/>
                <wp:effectExtent l="0" t="0" r="76200" b="84455"/>
                <wp:wrapNone/>
                <wp:docPr id="283" name="文本框 283"/>
                <wp:cNvGraphicFramePr/>
                <a:graphic xmlns:a="http://schemas.openxmlformats.org/drawingml/2006/main">
                  <a:graphicData uri="http://schemas.microsoft.com/office/word/2010/wordprocessingShape">
                    <wps:wsp>
                      <wps:cNvSpPr txBox="1"/>
                      <wps:spPr>
                        <a:xfrm>
                          <a:off x="0" y="0"/>
                          <a:ext cx="3429000" cy="1287145"/>
                        </a:xfrm>
                        <a:prstGeom prst="rect">
                          <a:avLst/>
                        </a:prstGeom>
                        <a:solidFill>
                          <a:srgbClr val="CCECFF"/>
                        </a:solidFill>
                        <a:ln w="12700">
                          <a:noFill/>
                        </a:ln>
                        <a:effectLst>
                          <a:outerShdw dist="107763" dir="2699999" algn="ctr" rotWithShape="0">
                            <a:srgbClr val="C0C0C0"/>
                          </a:outerShdw>
                        </a:effectLst>
                      </wps:spPr>
                      <wps:txbx>
                        <w:txbxContent>
                          <w:p w14:paraId="6B4CF765">
                            <w:pPr>
                              <w:numPr>
                                <w:ilvl w:val="0"/>
                                <w:numId w:val="3"/>
                              </w:numPr>
                              <w:rPr>
                                <w:rFonts w:ascii="宋体" w:hAnsi="宋体"/>
                                <w:color w:val="000000"/>
                                <w:szCs w:val="28"/>
                              </w:rPr>
                            </w:pPr>
                            <w:r>
                              <w:rPr>
                                <w:rFonts w:hint="eastAsia" w:ascii="宋体" w:hAnsi="宋体"/>
                                <w:color w:val="000000"/>
                                <w:szCs w:val="28"/>
                              </w:rPr>
                              <w:t>完善设备强维护保养制度和设备完好标准；</w:t>
                            </w:r>
                          </w:p>
                          <w:p w14:paraId="02BBE025">
                            <w:pPr>
                              <w:numPr>
                                <w:ilvl w:val="0"/>
                                <w:numId w:val="3"/>
                              </w:numPr>
                              <w:rPr>
                                <w:rFonts w:ascii="宋体" w:hAnsi="宋体"/>
                                <w:color w:val="000000"/>
                                <w:szCs w:val="28"/>
                              </w:rPr>
                            </w:pPr>
                            <w:r>
                              <w:rPr>
                                <w:rFonts w:hint="eastAsia" w:ascii="宋体" w:hAnsi="宋体"/>
                                <w:color w:val="000000"/>
                                <w:szCs w:val="28"/>
                              </w:rPr>
                              <w:t>对设备进行日常维护保养、点检；</w:t>
                            </w:r>
                          </w:p>
                          <w:p w14:paraId="7C92A80E">
                            <w:pPr>
                              <w:numPr>
                                <w:ilvl w:val="0"/>
                                <w:numId w:val="3"/>
                              </w:numPr>
                              <w:rPr>
                                <w:color w:val="000000"/>
                                <w:szCs w:val="14"/>
                              </w:rPr>
                            </w:pPr>
                            <w:r>
                              <w:rPr>
                                <w:rFonts w:hint="eastAsia" w:ascii="宋体" w:hAnsi="宋体"/>
                                <w:color w:val="000000"/>
                                <w:szCs w:val="28"/>
                              </w:rPr>
                              <w:t>维修人员“三定四包</w:t>
                            </w:r>
                            <w:r>
                              <w:rPr>
                                <w:rFonts w:ascii="宋体" w:hAnsi="宋体"/>
                                <w:color w:val="000000"/>
                                <w:szCs w:val="28"/>
                              </w:rPr>
                              <w:t>”</w:t>
                            </w:r>
                            <w:r>
                              <w:rPr>
                                <w:rFonts w:hint="eastAsia" w:ascii="宋体" w:hAnsi="宋体"/>
                                <w:color w:val="000000"/>
                                <w:szCs w:val="28"/>
                              </w:rPr>
                              <w:t>：</w:t>
                            </w:r>
                            <w:r>
                              <w:rPr>
                                <w:rFonts w:hint="eastAsia" w:ascii="宋体" w:hAnsi="宋体"/>
                                <w:szCs w:val="28"/>
                              </w:rPr>
                              <w:t>“三定</w:t>
                            </w:r>
                            <w:r>
                              <w:rPr>
                                <w:rFonts w:ascii="宋体" w:hAnsi="宋体"/>
                                <w:szCs w:val="28"/>
                              </w:rPr>
                              <w:t>”</w:t>
                            </w:r>
                            <w:r>
                              <w:rPr>
                                <w:rFonts w:hint="eastAsia" w:ascii="宋体" w:hAnsi="宋体"/>
                                <w:szCs w:val="28"/>
                              </w:rPr>
                              <w:t>指定岗、定责、定区域；</w:t>
                            </w:r>
                            <w:r>
                              <w:rPr>
                                <w:rFonts w:ascii="宋体" w:hAnsi="宋体"/>
                                <w:szCs w:val="28"/>
                              </w:rPr>
                              <w:t>”</w:t>
                            </w:r>
                            <w:r>
                              <w:rPr>
                                <w:rFonts w:hint="eastAsia" w:ascii="宋体" w:hAnsi="宋体"/>
                                <w:szCs w:val="28"/>
                              </w:rPr>
                              <w:t>四包</w:t>
                            </w:r>
                            <w:r>
                              <w:rPr>
                                <w:rFonts w:ascii="宋体" w:hAnsi="宋体"/>
                                <w:szCs w:val="28"/>
                              </w:rPr>
                              <w:t>”</w:t>
                            </w:r>
                            <w:r>
                              <w:rPr>
                                <w:rFonts w:hint="eastAsia" w:ascii="宋体" w:hAnsi="宋体"/>
                                <w:szCs w:val="28"/>
                              </w:rPr>
                              <w:t>指包设备日常维修、预防性维修、保养，维护保养督促检查；包区域内设备的现场巡检；包备件计划和技术状态资料及各种资料的管理。</w:t>
                            </w:r>
                          </w:p>
                        </w:txbxContent>
                      </wps:txbx>
                      <wps:bodyPr wrap="square" upright="1"/>
                    </wps:wsp>
                  </a:graphicData>
                </a:graphic>
              </wp:anchor>
            </w:drawing>
          </mc:Choice>
          <mc:Fallback>
            <w:pict>
              <v:shape id="_x0000_s1026" o:spid="_x0000_s1026" o:spt="202" type="#_x0000_t202" style="position:absolute;left:0pt;margin-left:198.75pt;margin-top:2.45pt;height:101.35pt;width:270pt;z-index:251755520;mso-width-relative:page;mso-height-relative:page;" fillcolor="#CCECFF" filled="t" stroked="f" coordsize="21600,21600" o:gfxdata="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JicgH1wAAAAkBAAAPAAAA&#10;AAAAAAEAIAAAACIAAABkcnMvZG93bnJldi54bWxQSwECFAAUAAAACACHTuJAZdIZpRYCAAAbBAAA&#10;DgAAAAAAAAABACAAAAAmAQAAZHJzL2Uyb0RvYy54bWxQSwUGAAAAAAYABgBZAQAArgUAAAAA&#10;">
                <v:fill on="t" focussize="0,0"/>
                <v:stroke on="f" weight="1pt"/>
                <v:imagedata o:title=""/>
                <o:lock v:ext="edit" aspectratio="f"/>
                <v:shadow on="t" color="#C0C0C0" offset="6pt,6pt" origin="0f,0f" matrix="65536f,0f,0f,65536f"/>
                <v:textbox>
                  <w:txbxContent>
                    <w:p w14:paraId="6B4CF765">
                      <w:pPr>
                        <w:numPr>
                          <w:ilvl w:val="0"/>
                          <w:numId w:val="3"/>
                        </w:numPr>
                        <w:rPr>
                          <w:rFonts w:ascii="宋体" w:hAnsi="宋体"/>
                          <w:color w:val="000000"/>
                          <w:szCs w:val="28"/>
                        </w:rPr>
                      </w:pPr>
                      <w:r>
                        <w:rPr>
                          <w:rFonts w:hint="eastAsia" w:ascii="宋体" w:hAnsi="宋体"/>
                          <w:color w:val="000000"/>
                          <w:szCs w:val="28"/>
                        </w:rPr>
                        <w:t>完善设备强维护保养制度和设备完好标准；</w:t>
                      </w:r>
                    </w:p>
                    <w:p w14:paraId="02BBE025">
                      <w:pPr>
                        <w:numPr>
                          <w:ilvl w:val="0"/>
                          <w:numId w:val="3"/>
                        </w:numPr>
                        <w:rPr>
                          <w:rFonts w:ascii="宋体" w:hAnsi="宋体"/>
                          <w:color w:val="000000"/>
                          <w:szCs w:val="28"/>
                        </w:rPr>
                      </w:pPr>
                      <w:r>
                        <w:rPr>
                          <w:rFonts w:hint="eastAsia" w:ascii="宋体" w:hAnsi="宋体"/>
                          <w:color w:val="000000"/>
                          <w:szCs w:val="28"/>
                        </w:rPr>
                        <w:t>对设备进行日常维护保养、点检；</w:t>
                      </w:r>
                    </w:p>
                    <w:p w14:paraId="7C92A80E">
                      <w:pPr>
                        <w:numPr>
                          <w:ilvl w:val="0"/>
                          <w:numId w:val="3"/>
                        </w:numPr>
                        <w:rPr>
                          <w:color w:val="000000"/>
                          <w:szCs w:val="14"/>
                        </w:rPr>
                      </w:pPr>
                      <w:r>
                        <w:rPr>
                          <w:rFonts w:hint="eastAsia" w:ascii="宋体" w:hAnsi="宋体"/>
                          <w:color w:val="000000"/>
                          <w:szCs w:val="28"/>
                        </w:rPr>
                        <w:t>维修人员“三定四包</w:t>
                      </w:r>
                      <w:r>
                        <w:rPr>
                          <w:rFonts w:ascii="宋体" w:hAnsi="宋体"/>
                          <w:color w:val="000000"/>
                          <w:szCs w:val="28"/>
                        </w:rPr>
                        <w:t>”</w:t>
                      </w:r>
                      <w:r>
                        <w:rPr>
                          <w:rFonts w:hint="eastAsia" w:ascii="宋体" w:hAnsi="宋体"/>
                          <w:color w:val="000000"/>
                          <w:szCs w:val="28"/>
                        </w:rPr>
                        <w:t>：</w:t>
                      </w:r>
                      <w:r>
                        <w:rPr>
                          <w:rFonts w:hint="eastAsia" w:ascii="宋体" w:hAnsi="宋体"/>
                          <w:szCs w:val="28"/>
                        </w:rPr>
                        <w:t>“三定</w:t>
                      </w:r>
                      <w:r>
                        <w:rPr>
                          <w:rFonts w:ascii="宋体" w:hAnsi="宋体"/>
                          <w:szCs w:val="28"/>
                        </w:rPr>
                        <w:t>”</w:t>
                      </w:r>
                      <w:r>
                        <w:rPr>
                          <w:rFonts w:hint="eastAsia" w:ascii="宋体" w:hAnsi="宋体"/>
                          <w:szCs w:val="28"/>
                        </w:rPr>
                        <w:t>指定岗、定责、定区域；</w:t>
                      </w:r>
                      <w:r>
                        <w:rPr>
                          <w:rFonts w:ascii="宋体" w:hAnsi="宋体"/>
                          <w:szCs w:val="28"/>
                        </w:rPr>
                        <w:t>”</w:t>
                      </w:r>
                      <w:r>
                        <w:rPr>
                          <w:rFonts w:hint="eastAsia" w:ascii="宋体" w:hAnsi="宋体"/>
                          <w:szCs w:val="28"/>
                        </w:rPr>
                        <w:t>四包</w:t>
                      </w:r>
                      <w:r>
                        <w:rPr>
                          <w:rFonts w:ascii="宋体" w:hAnsi="宋体"/>
                          <w:szCs w:val="28"/>
                        </w:rPr>
                        <w:t>”</w:t>
                      </w:r>
                      <w:r>
                        <w:rPr>
                          <w:rFonts w:hint="eastAsia" w:ascii="宋体" w:hAnsi="宋体"/>
                          <w:szCs w:val="28"/>
                        </w:rPr>
                        <w:t>指包设备日常维修、预防性维修、保养，维护保养督促检查；包区域内设备的现场巡检；包备件计划和技术状态资料及各种资料的管理。</w:t>
                      </w:r>
                    </w:p>
                  </w:txbxContent>
                </v:textbox>
              </v:shape>
            </w:pict>
          </mc:Fallback>
        </mc:AlternateContent>
      </w:r>
    </w:p>
    <w:p w14:paraId="55562969">
      <w:pPr>
        <w:pStyle w:val="10"/>
        <w:rPr>
          <w:rFonts w:ascii="宋体" w:hAnsi="宋体"/>
          <w:color w:val="008000"/>
          <w:szCs w:val="28"/>
        </w:rPr>
      </w:pPr>
      <w:r>
        <w:rPr>
          <w:rFonts w:ascii="宋体" w:hAnsi="宋体"/>
          <w:color w:val="008000"/>
          <w:sz w:val="20"/>
          <w:szCs w:val="28"/>
        </w:rPr>
        <mc:AlternateContent>
          <mc:Choice Requires="wps">
            <w:drawing>
              <wp:anchor distT="0" distB="0" distL="114300" distR="114300" simplePos="0" relativeHeight="251756544" behindDoc="0" locked="0" layoutInCell="1" allowOverlap="1">
                <wp:simplePos x="0" y="0"/>
                <wp:positionH relativeFrom="column">
                  <wp:posOffset>914400</wp:posOffset>
                </wp:positionH>
                <wp:positionV relativeFrom="paragraph">
                  <wp:posOffset>99060</wp:posOffset>
                </wp:positionV>
                <wp:extent cx="1257300" cy="444500"/>
                <wp:effectExtent l="6350" t="6350" r="69850" b="63500"/>
                <wp:wrapNone/>
                <wp:docPr id="284" name="圆角矩形 284"/>
                <wp:cNvGraphicFramePr/>
                <a:graphic xmlns:a="http://schemas.openxmlformats.org/drawingml/2006/main">
                  <a:graphicData uri="http://schemas.microsoft.com/office/word/2010/wordprocessingShape">
                    <wps:wsp>
                      <wps:cNvSpPr/>
                      <wps:spPr>
                        <a:xfrm>
                          <a:off x="0" y="0"/>
                          <a:ext cx="1257300" cy="444500"/>
                        </a:xfrm>
                        <a:prstGeom prst="roundRect">
                          <a:avLst>
                            <a:gd name="adj" fmla="val 12495"/>
                          </a:avLst>
                        </a:prstGeom>
                        <a:solidFill>
                          <a:srgbClr val="99CCFF"/>
                        </a:solidFill>
                        <a:ln w="12700" cap="flat" cmpd="sng">
                          <a:solidFill>
                            <a:srgbClr val="000000"/>
                          </a:solidFill>
                          <a:prstDash val="solid"/>
                          <a:headEnd type="none" w="med" len="med"/>
                          <a:tailEnd type="none" w="med" len="med"/>
                        </a:ln>
                        <a:effectLst>
                          <a:outerShdw dist="81320" dir="2319588" algn="ctr" rotWithShape="0">
                            <a:srgbClr val="B2B2B2"/>
                          </a:outerShdw>
                        </a:effectLst>
                      </wps:spPr>
                      <wps:txbx>
                        <w:txbxContent>
                          <w:p w14:paraId="1A2A6021">
                            <w:pPr>
                              <w:rPr>
                                <w:rFonts w:ascii="Arial" w:hAnsi="Arial"/>
                                <w:b/>
                                <w:lang w:val="zh-CN"/>
                              </w:rPr>
                            </w:pPr>
                            <w:r>
                              <w:rPr>
                                <w:rFonts w:hint="eastAsia"/>
                                <w:b/>
                              </w:rPr>
                              <w:t>强保养子系统</w:t>
                            </w:r>
                          </w:p>
                        </w:txbxContent>
                      </wps:txbx>
                      <wps:bodyPr wrap="square" lIns="92075" tIns="46037" rIns="92075" bIns="46037" anchor="ctr" anchorCtr="0" upright="1"/>
                    </wps:wsp>
                  </a:graphicData>
                </a:graphic>
              </wp:anchor>
            </w:drawing>
          </mc:Choice>
          <mc:Fallback>
            <w:pict>
              <v:roundrect id="_x0000_s1026" o:spid="_x0000_s1026" o:spt="2" style="position:absolute;left:0pt;margin-left:72pt;margin-top:7.8pt;height:35pt;width:99pt;z-index:251756544;v-text-anchor:middle;mso-width-relative:page;mso-height-relative:page;" fillcolor="#99CCFF" filled="t" stroked="t" coordsize="21600,21600" arcsize="0.124953703703704" o:gfxdata="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afVV1dYA&#10;AAAJAQAADwAAAAAAAAABACAAAAAiAAAAZHJzL2Rvd25yZXYueG1sUEsBAhQAFAAAAAgAh07iQGWV&#10;NxSTAgAAPgUAAA4AAAAAAAAAAQAgAAAAJQEAAGRycy9lMm9Eb2MueG1sUEsFBgAAAAAGAAYAWQEA&#10;ACoGAAAAAA==&#10;">
                <v:fill on="t" focussize="0,0"/>
                <v:stroke weight="1pt" color="#000000" joinstyle="round"/>
                <v:imagedata o:title=""/>
                <o:lock v:ext="edit" aspectratio="f"/>
                <v:shadow on="t" color="#B2B2B2" offset="5pt,4pt" origin="0f,0f" matrix="65536f,0f,0f,65536f"/>
                <v:textbox inset="7.25pt,3.62496062992126pt,7.25pt,3.62496062992126pt">
                  <w:txbxContent>
                    <w:p w14:paraId="1A2A6021">
                      <w:pPr>
                        <w:rPr>
                          <w:rFonts w:ascii="Arial" w:hAnsi="Arial"/>
                          <w:b/>
                          <w:lang w:val="zh-CN"/>
                        </w:rPr>
                      </w:pPr>
                      <w:r>
                        <w:rPr>
                          <w:rFonts w:hint="eastAsia"/>
                          <w:b/>
                        </w:rPr>
                        <w:t>强保养子系统</w:t>
                      </w:r>
                    </w:p>
                  </w:txbxContent>
                </v:textbox>
              </v:roundrect>
            </w:pict>
          </mc:Fallback>
        </mc:AlternateContent>
      </w:r>
      <w:r>
        <w:rPr>
          <w:rFonts w:ascii="宋体" w:hAnsi="宋体"/>
          <w:color w:val="008000"/>
          <w:sz w:val="20"/>
          <w:szCs w:val="28"/>
        </w:rPr>
        <mc:AlternateContent>
          <mc:Choice Requires="wps">
            <w:drawing>
              <wp:anchor distT="0" distB="0" distL="114300" distR="114300" simplePos="0" relativeHeight="251757568" behindDoc="0" locked="0" layoutInCell="1" allowOverlap="1">
                <wp:simplePos x="0" y="0"/>
                <wp:positionH relativeFrom="column">
                  <wp:posOffset>2171700</wp:posOffset>
                </wp:positionH>
                <wp:positionV relativeFrom="paragraph">
                  <wp:posOffset>99060</wp:posOffset>
                </wp:positionV>
                <wp:extent cx="342900" cy="396240"/>
                <wp:effectExtent l="5080" t="3810" r="13970" b="38100"/>
                <wp:wrapNone/>
                <wp:docPr id="285" name="左箭头 285"/>
                <wp:cNvGraphicFramePr/>
                <a:graphic xmlns:a="http://schemas.openxmlformats.org/drawingml/2006/main">
                  <a:graphicData uri="http://schemas.microsoft.com/office/word/2010/wordprocessingShape">
                    <wps:wsp>
                      <wps:cNvSpPr/>
                      <wps:spPr>
                        <a:xfrm>
                          <a:off x="0" y="0"/>
                          <a:ext cx="342900" cy="396240"/>
                        </a:xfrm>
                        <a:prstGeom prst="leftArrow">
                          <a:avLst>
                            <a:gd name="adj1" fmla="val 50000"/>
                            <a:gd name="adj2" fmla="val 25000"/>
                          </a:avLst>
                        </a:prstGeom>
                        <a:solidFill>
                          <a:srgbClr val="CC99FF"/>
                        </a:solidFill>
                        <a:ln w="9525" cap="rnd" cmpd="sng">
                          <a:solidFill>
                            <a:srgbClr val="000000"/>
                          </a:solidFill>
                          <a:prstDash val="sysDot"/>
                          <a:miter/>
                          <a:headEnd type="none" w="med" len="med"/>
                          <a:tailEnd type="none" w="med" len="med"/>
                        </a:ln>
                        <a:effectLst/>
                      </wps:spPr>
                      <wps:bodyPr wrap="square" upright="1"/>
                    </wps:wsp>
                  </a:graphicData>
                </a:graphic>
              </wp:anchor>
            </w:drawing>
          </mc:Choice>
          <mc:Fallback>
            <w:pict>
              <v:shape id="_x0000_s1026" o:spid="_x0000_s1026" o:spt="66" type="#_x0000_t66" style="position:absolute;left:0pt;margin-left:171pt;margin-top:7.8pt;height:31.2pt;width:27pt;z-index:251757568;mso-width-relative:page;mso-height-relative:page;" fillcolor="#CC99FF" filled="t" stroked="t" coordsize="21600,21600" o:gfxdata="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M9SUu2QAAAAkBAAAPAAAAAAAAAAEAIAAAACIAAABkcnMv&#10;ZG93bnJldi54bWxQSwECFAAUAAAACACHTuJArqgWmjsCAACWBAAADgAAAAAAAAABACAAAAAoAQAA&#10;ZHJzL2Uyb0RvYy54bWxQSwUGAAAAAAYABgBZAQAA1QUAAAAA&#10;" adj="5400,5400">
                <v:fill on="t" focussize="0,0"/>
                <v:stroke color="#000000" joinstyle="miter" dashstyle="1 1" endcap="round"/>
                <v:imagedata o:title=""/>
                <o:lock v:ext="edit" aspectratio="f"/>
              </v:shape>
            </w:pict>
          </mc:Fallback>
        </mc:AlternateContent>
      </w:r>
    </w:p>
    <w:p w14:paraId="657F7BCE">
      <w:pPr>
        <w:pStyle w:val="10"/>
        <w:rPr>
          <w:rFonts w:ascii="宋体" w:hAnsi="宋体"/>
          <w:color w:val="008000"/>
          <w:szCs w:val="28"/>
        </w:rPr>
      </w:pPr>
      <w:r>
        <w:rPr>
          <w:rFonts w:ascii="宋体" w:hAnsi="宋体"/>
          <w:color w:val="008000"/>
          <w:sz w:val="20"/>
          <w:szCs w:val="28"/>
        </w:rPr>
        <mc:AlternateContent>
          <mc:Choice Requires="wps">
            <w:drawing>
              <wp:anchor distT="0" distB="0" distL="114300" distR="114300" simplePos="0" relativeHeight="251758592" behindDoc="0" locked="0" layoutInCell="1" allowOverlap="1">
                <wp:simplePos x="0" y="0"/>
                <wp:positionH relativeFrom="column">
                  <wp:posOffset>685800</wp:posOffset>
                </wp:positionH>
                <wp:positionV relativeFrom="paragraph">
                  <wp:posOffset>99060</wp:posOffset>
                </wp:positionV>
                <wp:extent cx="10160" cy="3970020"/>
                <wp:effectExtent l="4445" t="0" r="23495" b="11430"/>
                <wp:wrapNone/>
                <wp:docPr id="286" name="直接连接符 286"/>
                <wp:cNvGraphicFramePr/>
                <a:graphic xmlns:a="http://schemas.openxmlformats.org/drawingml/2006/main">
                  <a:graphicData uri="http://schemas.microsoft.com/office/word/2010/wordprocessingShape">
                    <wps:wsp>
                      <wps:cNvCnPr/>
                      <wps:spPr>
                        <a:xfrm>
                          <a:off x="0" y="0"/>
                          <a:ext cx="10160" cy="397002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54pt;margin-top:7.8pt;height:312.6pt;width:0.8pt;z-index:251758592;mso-width-relative:page;mso-height-relative:page;" filled="f" stroked="t" coordsize="21600,21600" o:gfxdata="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zDVwn1gAAAAoBAAAPAAAAAAAAAAEAIAAAACIAAABkcnMvZG93bnJldi54bWxQ&#10;SwECFAAUAAAACACHTuJAzAv9TfkBAADuAwAADgAAAAAAAAABACAAAAAlAQAAZHJzL2Uyb0RvYy54&#10;bWxQSwUGAAAAAAYABgBZAQAAkAUAAAAA&#10;">
                <v:fill on="f" focussize="0,0"/>
                <v:stroke color="#000000" joinstyle="round"/>
                <v:imagedata o:title=""/>
                <o:lock v:ext="edit" aspectratio="f"/>
              </v:line>
            </w:pict>
          </mc:Fallback>
        </mc:AlternateContent>
      </w:r>
      <w:r>
        <w:rPr>
          <w:rFonts w:ascii="宋体" w:hAnsi="宋体"/>
          <w:color w:val="008000"/>
          <w:sz w:val="20"/>
          <w:szCs w:val="28"/>
        </w:rPr>
        <mc:AlternateContent>
          <mc:Choice Requires="wps">
            <w:drawing>
              <wp:anchor distT="0" distB="0" distL="114300" distR="114300" simplePos="0" relativeHeight="251759616" behindDoc="0" locked="0" layoutInCell="1" allowOverlap="1">
                <wp:simplePos x="0" y="0"/>
                <wp:positionH relativeFrom="column">
                  <wp:posOffset>685800</wp:posOffset>
                </wp:positionH>
                <wp:positionV relativeFrom="paragraph">
                  <wp:posOffset>99060</wp:posOffset>
                </wp:positionV>
                <wp:extent cx="228600" cy="0"/>
                <wp:effectExtent l="0" t="4445" r="0" b="5080"/>
                <wp:wrapNone/>
                <wp:docPr id="287" name="直接连接符 287"/>
                <wp:cNvGraphicFramePr/>
                <a:graphic xmlns:a="http://schemas.openxmlformats.org/drawingml/2006/main">
                  <a:graphicData uri="http://schemas.microsoft.com/office/word/2010/wordprocessingShape">
                    <wps:wsp>
                      <wps:cNvCnPr/>
                      <wps:spPr>
                        <a:xfrm>
                          <a:off x="0" y="0"/>
                          <a:ext cx="2286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54pt;margin-top:7.8pt;height:0pt;width:18pt;z-index:251759616;mso-width-relative:page;mso-height-relative:page;" filled="f" stroked="t" coordsize="21600,21600" o:gfxdata="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wqg7R1AAAAAkBAAAPAAAAAAAAAAEAIAAAACIAAABkcnMvZG93bnJldi54bWxQSwECFAAUAAAA&#10;CACHTuJAgUftNPIBAADpAwAADgAAAAAAAAABACAAAAAjAQAAZHJzL2Uyb0RvYy54bWxQSwUGAAAA&#10;AAYABgBZAQAAhwUAAAAA&#10;">
                <v:fill on="f" focussize="0,0"/>
                <v:stroke color="#000000" joinstyle="round"/>
                <v:imagedata o:title=""/>
                <o:lock v:ext="edit" aspectratio="f"/>
              </v:line>
            </w:pict>
          </mc:Fallback>
        </mc:AlternateContent>
      </w:r>
    </w:p>
    <w:p w14:paraId="66BD85CB">
      <w:pPr>
        <w:pStyle w:val="10"/>
        <w:rPr>
          <w:rFonts w:ascii="宋体" w:hAnsi="宋体"/>
          <w:color w:val="008000"/>
          <w:szCs w:val="28"/>
        </w:rPr>
      </w:pPr>
      <w:r>
        <w:rPr>
          <w:rFonts w:ascii="宋体" w:hAnsi="宋体"/>
          <w:color w:val="008000"/>
          <w:sz w:val="20"/>
          <w:szCs w:val="28"/>
        </w:rPr>
        <mc:AlternateContent>
          <mc:Choice Requires="wps">
            <w:drawing>
              <wp:anchor distT="0" distB="0" distL="114300" distR="114300" simplePos="0" relativeHeight="251760640" behindDoc="0" locked="0" layoutInCell="1" allowOverlap="1">
                <wp:simplePos x="0" y="0"/>
                <wp:positionH relativeFrom="column">
                  <wp:posOffset>914400</wp:posOffset>
                </wp:positionH>
                <wp:positionV relativeFrom="paragraph">
                  <wp:posOffset>323850</wp:posOffset>
                </wp:positionV>
                <wp:extent cx="1371600" cy="495300"/>
                <wp:effectExtent l="6350" t="6350" r="69850" b="69850"/>
                <wp:wrapNone/>
                <wp:docPr id="288" name="圆角矩形 288"/>
                <wp:cNvGraphicFramePr/>
                <a:graphic xmlns:a="http://schemas.openxmlformats.org/drawingml/2006/main">
                  <a:graphicData uri="http://schemas.microsoft.com/office/word/2010/wordprocessingShape">
                    <wps:wsp>
                      <wps:cNvSpPr/>
                      <wps:spPr>
                        <a:xfrm>
                          <a:off x="0" y="0"/>
                          <a:ext cx="1371600" cy="495300"/>
                        </a:xfrm>
                        <a:prstGeom prst="roundRect">
                          <a:avLst>
                            <a:gd name="adj" fmla="val 12495"/>
                          </a:avLst>
                        </a:prstGeom>
                        <a:solidFill>
                          <a:srgbClr val="99CCFF"/>
                        </a:solidFill>
                        <a:ln w="12700" cap="flat" cmpd="sng">
                          <a:solidFill>
                            <a:srgbClr val="000000"/>
                          </a:solidFill>
                          <a:prstDash val="solid"/>
                          <a:headEnd type="none" w="med" len="med"/>
                          <a:tailEnd type="none" w="med" len="med"/>
                        </a:ln>
                        <a:effectLst>
                          <a:outerShdw dist="81320" dir="2319588" algn="ctr" rotWithShape="0">
                            <a:srgbClr val="B2B2B2"/>
                          </a:outerShdw>
                        </a:effectLst>
                      </wps:spPr>
                      <wps:txbx>
                        <w:txbxContent>
                          <w:p w14:paraId="0236A2E6">
                            <w:pPr>
                              <w:rPr>
                                <w:rFonts w:ascii="Arial" w:hAnsi="Arial"/>
                                <w:b/>
                                <w:lang w:val="zh-CN"/>
                              </w:rPr>
                            </w:pPr>
                            <w:r>
                              <w:rPr>
                                <w:rFonts w:hint="eastAsia"/>
                                <w:b/>
                              </w:rPr>
                              <w:t>等候维修人员时间为零子系统</w:t>
                            </w:r>
                          </w:p>
                        </w:txbxContent>
                      </wps:txbx>
                      <wps:bodyPr wrap="square" lIns="92075" tIns="46037" rIns="92075" bIns="46037" anchor="ctr" anchorCtr="0" upright="1"/>
                    </wps:wsp>
                  </a:graphicData>
                </a:graphic>
              </wp:anchor>
            </w:drawing>
          </mc:Choice>
          <mc:Fallback>
            <w:pict>
              <v:roundrect id="_x0000_s1026" o:spid="_x0000_s1026" o:spt="2" style="position:absolute;left:0pt;margin-left:72pt;margin-top:25.5pt;height:39pt;width:108pt;z-index:251760640;v-text-anchor:middle;mso-width-relative:page;mso-height-relative:page;" fillcolor="#99CCFF" filled="t" stroked="t" coordsize="21600,21600" arcsize="0.124953703703704" o:gfxdata="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AEFR4n1wAA&#10;AAoBAAAPAAAAAAAAAAEAIAAAACIAAABkcnMvZG93bnJldi54bWxQSwECFAAUAAAACACHTuJAO3VT&#10;LpECAAA+BQAADgAAAAAAAAABACAAAAAmAQAAZHJzL2Uyb0RvYy54bWxQSwUGAAAAAAYABgBZAQAA&#10;KQYAAAAA&#10;">
                <v:fill on="t" focussize="0,0"/>
                <v:stroke weight="1pt" color="#000000" joinstyle="round"/>
                <v:imagedata o:title=""/>
                <o:lock v:ext="edit" aspectratio="f"/>
                <v:shadow on="t" color="#B2B2B2" offset="5pt,4pt" origin="0f,0f" matrix="65536f,0f,0f,65536f"/>
                <v:textbox inset="7.25pt,3.62496062992126pt,7.25pt,3.62496062992126pt">
                  <w:txbxContent>
                    <w:p w14:paraId="0236A2E6">
                      <w:pPr>
                        <w:rPr>
                          <w:rFonts w:ascii="Arial" w:hAnsi="Arial"/>
                          <w:b/>
                          <w:lang w:val="zh-CN"/>
                        </w:rPr>
                      </w:pPr>
                      <w:r>
                        <w:rPr>
                          <w:rFonts w:hint="eastAsia"/>
                          <w:b/>
                        </w:rPr>
                        <w:t>等候维修人员时间为零子系统</w:t>
                      </w:r>
                    </w:p>
                  </w:txbxContent>
                </v:textbox>
              </v:roundrect>
            </w:pict>
          </mc:Fallback>
        </mc:AlternateContent>
      </w:r>
      <w:r>
        <w:rPr>
          <w:rFonts w:ascii="宋体" w:hAnsi="宋体"/>
          <w:color w:val="008000"/>
          <w:sz w:val="20"/>
          <w:szCs w:val="28"/>
        </w:rPr>
        <mc:AlternateContent>
          <mc:Choice Requires="wps">
            <w:drawing>
              <wp:anchor distT="0" distB="0" distL="114300" distR="114300" simplePos="0" relativeHeight="251761664" behindDoc="0" locked="0" layoutInCell="1" allowOverlap="1">
                <wp:simplePos x="0" y="0"/>
                <wp:positionH relativeFrom="column">
                  <wp:posOffset>2590800</wp:posOffset>
                </wp:positionH>
                <wp:positionV relativeFrom="paragraph">
                  <wp:posOffset>342900</wp:posOffset>
                </wp:positionV>
                <wp:extent cx="3429000" cy="495300"/>
                <wp:effectExtent l="0" t="0" r="76200" b="76200"/>
                <wp:wrapNone/>
                <wp:docPr id="289" name="文本框 289"/>
                <wp:cNvGraphicFramePr/>
                <a:graphic xmlns:a="http://schemas.openxmlformats.org/drawingml/2006/main">
                  <a:graphicData uri="http://schemas.microsoft.com/office/word/2010/wordprocessingShape">
                    <wps:wsp>
                      <wps:cNvSpPr txBox="1"/>
                      <wps:spPr>
                        <a:xfrm>
                          <a:off x="0" y="0"/>
                          <a:ext cx="3429000" cy="495300"/>
                        </a:xfrm>
                        <a:prstGeom prst="rect">
                          <a:avLst/>
                        </a:prstGeom>
                        <a:solidFill>
                          <a:srgbClr val="CCECFF"/>
                        </a:solidFill>
                        <a:ln w="12700">
                          <a:noFill/>
                        </a:ln>
                        <a:effectLst>
                          <a:outerShdw dist="107763" dir="2699999" algn="ctr" rotWithShape="0">
                            <a:srgbClr val="C0C0C0"/>
                          </a:outerShdw>
                        </a:effectLst>
                      </wps:spPr>
                      <wps:txbx>
                        <w:txbxContent>
                          <w:p w14:paraId="6CC12DB0">
                            <w:pPr>
                              <w:numPr>
                                <w:ilvl w:val="0"/>
                                <w:numId w:val="3"/>
                              </w:numPr>
                              <w:rPr>
                                <w:rFonts w:ascii="宋体" w:hAnsi="宋体"/>
                                <w:color w:val="000000"/>
                                <w:szCs w:val="28"/>
                              </w:rPr>
                            </w:pPr>
                            <w:r>
                              <w:rPr>
                                <w:rFonts w:hint="eastAsia" w:ascii="宋体" w:hAnsi="宋体"/>
                                <w:color w:val="000000"/>
                                <w:szCs w:val="28"/>
                              </w:rPr>
                              <w:t>采取送出去、请进来、师带徒等方式造就维修人才，合理使用维修人才。</w:t>
                            </w:r>
                          </w:p>
                        </w:txbxContent>
                      </wps:txbx>
                      <wps:bodyPr wrap="square" upright="1"/>
                    </wps:wsp>
                  </a:graphicData>
                </a:graphic>
              </wp:anchor>
            </w:drawing>
          </mc:Choice>
          <mc:Fallback>
            <w:pict>
              <v:shape id="_x0000_s1026" o:spid="_x0000_s1026" o:spt="202" type="#_x0000_t202" style="position:absolute;left:0pt;margin-left:204pt;margin-top:27pt;height:39pt;width:270pt;z-index:251761664;mso-width-relative:page;mso-height-relative:page;" fillcolor="#CCECFF" filled="t" stroked="f" coordsize="21600,21600" o:gfxdata="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J032m7YAAAACgEAAA8AAAAA&#10;AAAAAQAgAAAAIgAAAGRycy9kb3ducmV2LnhtbFBLAQIUABQAAAAIAIdO4kCWtbBpFAIAABoEAAAO&#10;AAAAAAAAAAEAIAAAACcBAABkcnMvZTJvRG9jLnhtbFBLBQYAAAAABgAGAFkBAACtBQAAAAA=&#10;">
                <v:fill on="t" focussize="0,0"/>
                <v:stroke on="f" weight="1pt"/>
                <v:imagedata o:title=""/>
                <o:lock v:ext="edit" aspectratio="f"/>
                <v:shadow on="t" color="#C0C0C0" offset="6pt,6pt" origin="0f,0f" matrix="65536f,0f,0f,65536f"/>
                <v:textbox>
                  <w:txbxContent>
                    <w:p w14:paraId="6CC12DB0">
                      <w:pPr>
                        <w:numPr>
                          <w:ilvl w:val="0"/>
                          <w:numId w:val="3"/>
                        </w:numPr>
                        <w:rPr>
                          <w:rFonts w:ascii="宋体" w:hAnsi="宋体"/>
                          <w:color w:val="000000"/>
                          <w:szCs w:val="28"/>
                        </w:rPr>
                      </w:pPr>
                      <w:r>
                        <w:rPr>
                          <w:rFonts w:hint="eastAsia" w:ascii="宋体" w:hAnsi="宋体"/>
                          <w:color w:val="000000"/>
                          <w:szCs w:val="28"/>
                        </w:rPr>
                        <w:t>采取送出去、请进来、师带徒等方式造就维修人才，合理使用维修人才。</w:t>
                      </w:r>
                    </w:p>
                  </w:txbxContent>
                </v:textbox>
              </v:shape>
            </w:pict>
          </mc:Fallback>
        </mc:AlternateContent>
      </w:r>
      <w:r>
        <w:rPr>
          <w:rFonts w:ascii="宋体" w:hAnsi="宋体"/>
          <w:color w:val="008000"/>
          <w:sz w:val="20"/>
          <w:szCs w:val="28"/>
        </w:rPr>
        <mc:AlternateContent>
          <mc:Choice Requires="wps">
            <w:drawing>
              <wp:anchor distT="0" distB="0" distL="114300" distR="114300" simplePos="0" relativeHeight="251762688" behindDoc="0" locked="0" layoutInCell="1" allowOverlap="1">
                <wp:simplePos x="0" y="0"/>
                <wp:positionH relativeFrom="column">
                  <wp:posOffset>2266950</wp:posOffset>
                </wp:positionH>
                <wp:positionV relativeFrom="paragraph">
                  <wp:posOffset>361950</wp:posOffset>
                </wp:positionV>
                <wp:extent cx="342900" cy="441960"/>
                <wp:effectExtent l="5080" t="6350" r="13970" b="27940"/>
                <wp:wrapNone/>
                <wp:docPr id="290" name="左箭头 290"/>
                <wp:cNvGraphicFramePr/>
                <a:graphic xmlns:a="http://schemas.openxmlformats.org/drawingml/2006/main">
                  <a:graphicData uri="http://schemas.microsoft.com/office/word/2010/wordprocessingShape">
                    <wps:wsp>
                      <wps:cNvSpPr/>
                      <wps:spPr>
                        <a:xfrm>
                          <a:off x="0" y="0"/>
                          <a:ext cx="342900" cy="441960"/>
                        </a:xfrm>
                        <a:prstGeom prst="leftArrow">
                          <a:avLst>
                            <a:gd name="adj1" fmla="val 50000"/>
                            <a:gd name="adj2" fmla="val 25000"/>
                          </a:avLst>
                        </a:prstGeom>
                        <a:solidFill>
                          <a:srgbClr val="CC99FF"/>
                        </a:solidFill>
                        <a:ln w="9525" cap="rnd" cmpd="sng">
                          <a:solidFill>
                            <a:srgbClr val="000000"/>
                          </a:solidFill>
                          <a:prstDash val="sysDot"/>
                          <a:miter/>
                          <a:headEnd type="none" w="med" len="med"/>
                          <a:tailEnd type="none" w="med" len="med"/>
                        </a:ln>
                        <a:effectLst/>
                      </wps:spPr>
                      <wps:bodyPr wrap="square" upright="1"/>
                    </wps:wsp>
                  </a:graphicData>
                </a:graphic>
              </wp:anchor>
            </w:drawing>
          </mc:Choice>
          <mc:Fallback>
            <w:pict>
              <v:shape id="_x0000_s1026" o:spid="_x0000_s1026" o:spt="66" type="#_x0000_t66" style="position:absolute;left:0pt;margin-left:178.5pt;margin-top:28.5pt;height:34.8pt;width:27pt;z-index:251762688;mso-width-relative:page;mso-height-relative:page;" fillcolor="#CC99FF" filled="t" stroked="t" coordsize="21600,21600" o:gfxdata="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BgUj+2QAAAAoBAAAPAAAAAAAAAAEAIAAAACIAAABkcnMvZG93&#10;bnJldi54bWxQSwECFAAUAAAACACHTuJAQvbVwjgCAACWBAAADgAAAAAAAAABACAAAAAoAQAAZHJz&#10;L2Uyb0RvYy54bWxQSwUGAAAAAAYABgBZAQAA0gUAAAAA&#10;" adj="5400,5400">
                <v:fill on="t" focussize="0,0"/>
                <v:stroke color="#000000" joinstyle="miter" dashstyle="1 1" endcap="round"/>
                <v:imagedata o:title=""/>
                <o:lock v:ext="edit" aspectratio="f"/>
              </v:shape>
            </w:pict>
          </mc:Fallback>
        </mc:AlternateContent>
      </w:r>
    </w:p>
    <w:p w14:paraId="0FC2B589">
      <w:pPr>
        <w:pStyle w:val="10"/>
        <w:rPr>
          <w:rFonts w:ascii="宋体" w:hAnsi="宋体"/>
          <w:color w:val="008000"/>
          <w:szCs w:val="28"/>
        </w:rPr>
      </w:pPr>
      <w:r>
        <w:rPr>
          <w:rFonts w:ascii="宋体" w:hAnsi="宋体"/>
          <w:color w:val="008000"/>
          <w:sz w:val="20"/>
          <w:szCs w:val="28"/>
        </w:rPr>
        <mc:AlternateContent>
          <mc:Choice Requires="wps">
            <w:drawing>
              <wp:anchor distT="0" distB="0" distL="114300" distR="114300" simplePos="0" relativeHeight="251763712" behindDoc="0" locked="0" layoutInCell="1" allowOverlap="1">
                <wp:simplePos x="0" y="0"/>
                <wp:positionH relativeFrom="column">
                  <wp:posOffset>0</wp:posOffset>
                </wp:positionH>
                <wp:positionV relativeFrom="paragraph">
                  <wp:posOffset>57150</wp:posOffset>
                </wp:positionV>
                <wp:extent cx="457200" cy="2179320"/>
                <wp:effectExtent l="5080" t="4445" r="90170" b="83185"/>
                <wp:wrapNone/>
                <wp:docPr id="291" name="矩形 291"/>
                <wp:cNvGraphicFramePr/>
                <a:graphic xmlns:a="http://schemas.openxmlformats.org/drawingml/2006/main">
                  <a:graphicData uri="http://schemas.microsoft.com/office/word/2010/wordprocessingShape">
                    <wps:wsp>
                      <wps:cNvSpPr/>
                      <wps:spPr>
                        <a:xfrm>
                          <a:off x="0" y="0"/>
                          <a:ext cx="457200" cy="2179320"/>
                        </a:xfrm>
                        <a:prstGeom prst="rect">
                          <a:avLst/>
                        </a:prstGeom>
                        <a:solidFill>
                          <a:srgbClr val="99CCFF"/>
                        </a:solidFill>
                        <a:ln w="9525" cap="flat" cmpd="sng">
                          <a:solidFill>
                            <a:srgbClr val="000000"/>
                          </a:solidFill>
                          <a:prstDash val="solid"/>
                          <a:miter/>
                          <a:headEnd type="none" w="med" len="med"/>
                          <a:tailEnd type="none" w="med" len="med"/>
                        </a:ln>
                        <a:effectLst>
                          <a:outerShdw dist="107763" dir="2699999" algn="ctr" rotWithShape="0">
                            <a:srgbClr val="C0C0C0"/>
                          </a:outerShdw>
                        </a:effectLst>
                      </wps:spPr>
                      <wps:txbx>
                        <w:txbxContent>
                          <w:p w14:paraId="65B8CD7C">
                            <w:pPr>
                              <w:rPr>
                                <w:b/>
                              </w:rPr>
                            </w:pPr>
                            <w:r>
                              <w:rPr>
                                <w:rFonts w:hint="eastAsia"/>
                                <w:b/>
                              </w:rPr>
                              <w:t>强保养   零等候系统</w:t>
                            </w:r>
                            <w:r>
                              <w:rPr>
                                <w:rFonts w:hint="eastAsia" w:ascii="宋体"/>
                                <w:b/>
                              </w:rPr>
                              <w:t>工程</w:t>
                            </w:r>
                          </w:p>
                        </w:txbxContent>
                      </wps:txbx>
                      <wps:bodyPr wrap="square" upright="1"/>
                    </wps:wsp>
                  </a:graphicData>
                </a:graphic>
              </wp:anchor>
            </w:drawing>
          </mc:Choice>
          <mc:Fallback>
            <w:pict>
              <v:rect id="_x0000_s1026" o:spid="_x0000_s1026" o:spt="1" style="position:absolute;left:0pt;margin-left:0pt;margin-top:4.5pt;height:171.6pt;width:36pt;z-index:251763712;mso-width-relative:page;mso-height-relative:page;" fillcolor="#99CCFF" filled="t" stroked="t" coordsize="21600,21600" o:gfxdata="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LlrKGfVAAAABQEAAA8AAAAA&#10;AAAAAQAgAAAAIgAAAGRycy9kb3ducmV2LnhtbFBLAQIUABQAAAAIAIdO4kD7rHmlUAIAAMIEAAAO&#10;AAAAAAAAAAEAIAAAACQBAABkcnMvZTJvRG9jLnhtbFBLBQYAAAAABgAGAFkBAADmBQAAAAA=&#10;">
                <v:fill on="t" focussize="0,0"/>
                <v:stroke color="#000000" joinstyle="miter"/>
                <v:imagedata o:title=""/>
                <o:lock v:ext="edit" aspectratio="f"/>
                <v:shadow on="t" color="#C0C0C0" offset="6pt,6pt" origin="0f,0f" matrix="65536f,0f,0f,65536f"/>
                <v:textbox>
                  <w:txbxContent>
                    <w:p w14:paraId="65B8CD7C">
                      <w:pPr>
                        <w:rPr>
                          <w:b/>
                        </w:rPr>
                      </w:pPr>
                      <w:r>
                        <w:rPr>
                          <w:rFonts w:hint="eastAsia"/>
                          <w:b/>
                        </w:rPr>
                        <w:t>强保养   零等候系统</w:t>
                      </w:r>
                      <w:r>
                        <w:rPr>
                          <w:rFonts w:hint="eastAsia" w:ascii="宋体"/>
                          <w:b/>
                        </w:rPr>
                        <w:t>工程</w:t>
                      </w:r>
                    </w:p>
                  </w:txbxContent>
                </v:textbox>
              </v:rect>
            </w:pict>
          </mc:Fallback>
        </mc:AlternateContent>
      </w:r>
      <w:r>
        <w:rPr>
          <w:rFonts w:ascii="宋体" w:hAnsi="宋体"/>
          <w:color w:val="008000"/>
          <w:sz w:val="20"/>
          <w:szCs w:val="28"/>
        </w:rPr>
        <mc:AlternateContent>
          <mc:Choice Requires="wps">
            <w:drawing>
              <wp:anchor distT="0" distB="0" distL="114300" distR="114300" simplePos="0" relativeHeight="251764736" behindDoc="0" locked="0" layoutInCell="1" allowOverlap="1">
                <wp:simplePos x="0" y="0"/>
                <wp:positionH relativeFrom="column">
                  <wp:posOffset>685800</wp:posOffset>
                </wp:positionH>
                <wp:positionV relativeFrom="paragraph">
                  <wp:posOffset>209550</wp:posOffset>
                </wp:positionV>
                <wp:extent cx="228600" cy="0"/>
                <wp:effectExtent l="0" t="4445" r="0" b="5080"/>
                <wp:wrapNone/>
                <wp:docPr id="292" name="直接连接符 292"/>
                <wp:cNvGraphicFramePr/>
                <a:graphic xmlns:a="http://schemas.openxmlformats.org/drawingml/2006/main">
                  <a:graphicData uri="http://schemas.microsoft.com/office/word/2010/wordprocessingShape">
                    <wps:wsp>
                      <wps:cNvCnPr/>
                      <wps:spPr>
                        <a:xfrm>
                          <a:off x="0" y="0"/>
                          <a:ext cx="2286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54pt;margin-top:16.5pt;height:0pt;width:18pt;z-index:251764736;mso-width-relative:page;mso-height-relative:page;" filled="f" stroked="t" coordsize="21600,21600" o:gfxdata="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JJV5HTAAAACQEAAA8AAAAAAAAAAQAgAAAAIgAAAGRycy9kb3ducmV2LnhtbFBLAQIUABQAAAAI&#10;AIdO4kDtKmRU8gEAAOkDAAAOAAAAAAAAAAEAIAAAACIBAABkcnMvZTJvRG9jLnhtbFBLBQYAAAAA&#10;BgAGAFkBAACGBQAAAAA=&#10;">
                <v:fill on="f" focussize="0,0"/>
                <v:stroke color="#000000" joinstyle="round"/>
                <v:imagedata o:title=""/>
                <o:lock v:ext="edit" aspectratio="f"/>
              </v:line>
            </w:pict>
          </mc:Fallback>
        </mc:AlternateContent>
      </w:r>
    </w:p>
    <w:p w14:paraId="3BBAF4C1">
      <w:pPr>
        <w:pStyle w:val="10"/>
        <w:rPr>
          <w:rFonts w:ascii="宋体" w:hAnsi="宋体"/>
          <w:color w:val="008000"/>
          <w:szCs w:val="28"/>
        </w:rPr>
      </w:pPr>
      <w:r>
        <w:rPr>
          <w:rFonts w:ascii="宋体" w:hAnsi="宋体"/>
          <w:color w:val="008000"/>
          <w:sz w:val="20"/>
          <w:szCs w:val="28"/>
        </w:rPr>
        <mc:AlternateContent>
          <mc:Choice Requires="wps">
            <w:drawing>
              <wp:anchor distT="0" distB="0" distL="114300" distR="114300" simplePos="0" relativeHeight="251765760" behindDoc="0" locked="0" layoutInCell="1" allowOverlap="1">
                <wp:simplePos x="0" y="0"/>
                <wp:positionH relativeFrom="column">
                  <wp:posOffset>2657475</wp:posOffset>
                </wp:positionH>
                <wp:positionV relativeFrom="paragraph">
                  <wp:posOffset>280035</wp:posOffset>
                </wp:positionV>
                <wp:extent cx="3429000" cy="1089660"/>
                <wp:effectExtent l="0" t="0" r="76200" b="91440"/>
                <wp:wrapNone/>
                <wp:docPr id="293" name="文本框 293"/>
                <wp:cNvGraphicFramePr/>
                <a:graphic xmlns:a="http://schemas.openxmlformats.org/drawingml/2006/main">
                  <a:graphicData uri="http://schemas.microsoft.com/office/word/2010/wordprocessingShape">
                    <wps:wsp>
                      <wps:cNvSpPr txBox="1"/>
                      <wps:spPr>
                        <a:xfrm>
                          <a:off x="0" y="0"/>
                          <a:ext cx="3429000" cy="1089660"/>
                        </a:xfrm>
                        <a:prstGeom prst="rect">
                          <a:avLst/>
                        </a:prstGeom>
                        <a:solidFill>
                          <a:srgbClr val="CCECFF"/>
                        </a:solidFill>
                        <a:ln w="12700">
                          <a:noFill/>
                        </a:ln>
                        <a:effectLst>
                          <a:outerShdw dist="107763" dir="2699999" algn="ctr" rotWithShape="0">
                            <a:srgbClr val="C0C0C0"/>
                          </a:outerShdw>
                        </a:effectLst>
                      </wps:spPr>
                      <wps:txbx>
                        <w:txbxContent>
                          <w:p w14:paraId="616B151C">
                            <w:pPr>
                              <w:pStyle w:val="10"/>
                              <w:numPr>
                                <w:ilvl w:val="0"/>
                                <w:numId w:val="4"/>
                              </w:numPr>
                              <w:tabs>
                                <w:tab w:val="left" w:pos="720"/>
                              </w:tabs>
                              <w:ind w:left="0" w:firstLine="0"/>
                              <w:rPr>
                                <w:sz w:val="21"/>
                              </w:rPr>
                            </w:pPr>
                            <w:r>
                              <w:rPr>
                                <w:rFonts w:hint="eastAsia" w:ascii="宋体" w:hAnsi="宋体"/>
                                <w:sz w:val="21"/>
                                <w:szCs w:val="28"/>
                              </w:rPr>
                              <w:t>应用</w:t>
                            </w:r>
                            <w:r>
                              <w:rPr>
                                <w:rFonts w:hint="eastAsia" w:ascii="宋体" w:hAnsi="宋体"/>
                                <w:sz w:val="21"/>
                                <w:szCs w:val="28"/>
                                <w:lang w:eastAsia="zh-CN"/>
                              </w:rPr>
                              <w:t>财物管理</w:t>
                            </w:r>
                            <w:r>
                              <w:rPr>
                                <w:rFonts w:hint="eastAsia"/>
                                <w:sz w:val="21"/>
                              </w:rPr>
                              <w:t>备</w:t>
                            </w:r>
                            <w:r>
                              <w:rPr>
                                <w:rFonts w:hint="eastAsia" w:ascii="宋体" w:hAnsi="宋体"/>
                                <w:sz w:val="21"/>
                                <w:szCs w:val="28"/>
                              </w:rPr>
                              <w:t>件管理软进行备件管理，实现了备件计划采购、供应商评价、备件价格、库存的集成管理，达到减少等候维修备件时间，控制备件储备额，节约备件占用资金。</w:t>
                            </w:r>
                            <w:r>
                              <w:rPr>
                                <w:rFonts w:hint="eastAsia"/>
                                <w:sz w:val="21"/>
                              </w:rPr>
                              <w:t>应用</w:t>
                            </w:r>
                            <w:r>
                              <w:rPr>
                                <w:rFonts w:hint="eastAsia" w:ascii="宋体" w:hAnsi="宋体"/>
                                <w:sz w:val="21"/>
                                <w:szCs w:val="28"/>
                                <w:lang w:eastAsia="zh-CN"/>
                              </w:rPr>
                              <w:t>财物管理</w:t>
                            </w:r>
                            <w:r>
                              <w:rPr>
                                <w:rFonts w:hint="eastAsia"/>
                                <w:sz w:val="21"/>
                              </w:rPr>
                              <w:t>备件管理软件后，降低设备维修成本。</w:t>
                            </w:r>
                          </w:p>
                        </w:txbxContent>
                      </wps:txbx>
                      <wps:bodyPr wrap="square" upright="1"/>
                    </wps:wsp>
                  </a:graphicData>
                </a:graphic>
              </wp:anchor>
            </w:drawing>
          </mc:Choice>
          <mc:Fallback>
            <w:pict>
              <v:shape id="_x0000_s1026" o:spid="_x0000_s1026" o:spt="202" type="#_x0000_t202" style="position:absolute;left:0pt;margin-left:209.25pt;margin-top:22.05pt;height:85.8pt;width:270pt;z-index:251765760;mso-width-relative:page;mso-height-relative:page;" fillcolor="#CCECFF" filled="t" stroked="f" coordsize="21600,21600" o:gfxdata="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HXIQ8TXAAAACgEAAA8A&#10;AAAAAAAAAQAgAAAAIgAAAGRycy9kb3ducmV2LnhtbFBLAQIUABQAAAAIAIdO4kAo0m3rGAIAABsE&#10;AAAOAAAAAAAAAAEAIAAAACYBAABkcnMvZTJvRG9jLnhtbFBLBQYAAAAABgAGAFkBAACwBQAAAAA=&#10;">
                <v:fill on="t" focussize="0,0"/>
                <v:stroke on="f" weight="1pt"/>
                <v:imagedata o:title=""/>
                <o:lock v:ext="edit" aspectratio="f"/>
                <v:shadow on="t" color="#C0C0C0" offset="6pt,6pt" origin="0f,0f" matrix="65536f,0f,0f,65536f"/>
                <v:textbox>
                  <w:txbxContent>
                    <w:p w14:paraId="616B151C">
                      <w:pPr>
                        <w:pStyle w:val="10"/>
                        <w:numPr>
                          <w:ilvl w:val="0"/>
                          <w:numId w:val="4"/>
                        </w:numPr>
                        <w:tabs>
                          <w:tab w:val="left" w:pos="720"/>
                        </w:tabs>
                        <w:ind w:left="0" w:firstLine="0"/>
                        <w:rPr>
                          <w:sz w:val="21"/>
                        </w:rPr>
                      </w:pPr>
                      <w:r>
                        <w:rPr>
                          <w:rFonts w:hint="eastAsia" w:ascii="宋体" w:hAnsi="宋体"/>
                          <w:sz w:val="21"/>
                          <w:szCs w:val="28"/>
                        </w:rPr>
                        <w:t>应用</w:t>
                      </w:r>
                      <w:r>
                        <w:rPr>
                          <w:rFonts w:hint="eastAsia" w:ascii="宋体" w:hAnsi="宋体"/>
                          <w:sz w:val="21"/>
                          <w:szCs w:val="28"/>
                          <w:lang w:eastAsia="zh-CN"/>
                        </w:rPr>
                        <w:t>财物管理</w:t>
                      </w:r>
                      <w:r>
                        <w:rPr>
                          <w:rFonts w:hint="eastAsia"/>
                          <w:sz w:val="21"/>
                        </w:rPr>
                        <w:t>备</w:t>
                      </w:r>
                      <w:r>
                        <w:rPr>
                          <w:rFonts w:hint="eastAsia" w:ascii="宋体" w:hAnsi="宋体"/>
                          <w:sz w:val="21"/>
                          <w:szCs w:val="28"/>
                        </w:rPr>
                        <w:t>件管理软进行备件管理，实现了备件计划采购、供应商评价、备件价格、库存的集成管理，达到减少等候维修备件时间，控制备件储备额，节约备件占用资金。</w:t>
                      </w:r>
                      <w:r>
                        <w:rPr>
                          <w:rFonts w:hint="eastAsia"/>
                          <w:sz w:val="21"/>
                        </w:rPr>
                        <w:t>应用</w:t>
                      </w:r>
                      <w:r>
                        <w:rPr>
                          <w:rFonts w:hint="eastAsia" w:ascii="宋体" w:hAnsi="宋体"/>
                          <w:sz w:val="21"/>
                          <w:szCs w:val="28"/>
                          <w:lang w:eastAsia="zh-CN"/>
                        </w:rPr>
                        <w:t>财物管理</w:t>
                      </w:r>
                      <w:r>
                        <w:rPr>
                          <w:rFonts w:hint="eastAsia"/>
                          <w:sz w:val="21"/>
                        </w:rPr>
                        <w:t>备件管理软件后，降低设备维修成本。</w:t>
                      </w:r>
                    </w:p>
                  </w:txbxContent>
                </v:textbox>
              </v:shape>
            </w:pict>
          </mc:Fallback>
        </mc:AlternateContent>
      </w:r>
    </w:p>
    <w:p w14:paraId="0E4C5B7F">
      <w:pPr>
        <w:pStyle w:val="10"/>
        <w:rPr>
          <w:rFonts w:ascii="宋体" w:hAnsi="宋体"/>
          <w:color w:val="008000"/>
          <w:szCs w:val="28"/>
        </w:rPr>
      </w:pPr>
      <w:r>
        <w:rPr>
          <w:rFonts w:ascii="宋体" w:hAnsi="宋体"/>
          <w:color w:val="008000"/>
          <w:sz w:val="20"/>
          <w:szCs w:val="28"/>
        </w:rPr>
        <mc:AlternateContent>
          <mc:Choice Requires="wps">
            <w:drawing>
              <wp:anchor distT="0" distB="0" distL="114300" distR="114300" simplePos="0" relativeHeight="251766784" behindDoc="0" locked="0" layoutInCell="1" allowOverlap="1">
                <wp:simplePos x="0" y="0"/>
                <wp:positionH relativeFrom="column">
                  <wp:posOffset>457200</wp:posOffset>
                </wp:positionH>
                <wp:positionV relativeFrom="paragraph">
                  <wp:posOffset>350520</wp:posOffset>
                </wp:positionV>
                <wp:extent cx="228600" cy="0"/>
                <wp:effectExtent l="0" t="4445" r="0" b="5080"/>
                <wp:wrapNone/>
                <wp:docPr id="294" name="直接连接符 294"/>
                <wp:cNvGraphicFramePr/>
                <a:graphic xmlns:a="http://schemas.openxmlformats.org/drawingml/2006/main">
                  <a:graphicData uri="http://schemas.microsoft.com/office/word/2010/wordprocessingShape">
                    <wps:wsp>
                      <wps:cNvCnPr/>
                      <wps:spPr>
                        <a:xfrm>
                          <a:off x="0" y="0"/>
                          <a:ext cx="2286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6pt;margin-top:27.6pt;height:0pt;width:18pt;z-index:251766784;mso-width-relative:page;mso-height-relative:page;" filled="f" stroked="t" coordsize="21600,21600" o:gfxdata="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PTn817VAAAACAEAAA8AAAAAAAAAAQAgAAAAIgAAAGRycy9kb3ducmV2LnhtbFBLAQIUABQA&#10;AAAIAIdO4kBbF9rF8wEAAOkDAAAOAAAAAAAAAAEAIAAAACQBAABkcnMvZTJvRG9jLnhtbFBLBQYA&#10;AAAABgAGAFkBAACJBQAAAAA=&#10;">
                <v:fill on="f" focussize="0,0"/>
                <v:stroke color="#000000" joinstyle="round"/>
                <v:imagedata o:title=""/>
                <o:lock v:ext="edit" aspectratio="f"/>
              </v:line>
            </w:pict>
          </mc:Fallback>
        </mc:AlternateContent>
      </w:r>
      <w:r>
        <w:rPr>
          <w:rFonts w:ascii="宋体" w:hAnsi="宋体"/>
          <w:color w:val="008000"/>
          <w:sz w:val="20"/>
          <w:szCs w:val="28"/>
        </w:rPr>
        <mc:AlternateContent>
          <mc:Choice Requires="wps">
            <w:drawing>
              <wp:anchor distT="0" distB="0" distL="114300" distR="114300" simplePos="0" relativeHeight="251767808" behindDoc="0" locked="0" layoutInCell="1" allowOverlap="1">
                <wp:simplePos x="0" y="0"/>
                <wp:positionH relativeFrom="column">
                  <wp:posOffset>685800</wp:posOffset>
                </wp:positionH>
                <wp:positionV relativeFrom="paragraph">
                  <wp:posOffset>354330</wp:posOffset>
                </wp:positionV>
                <wp:extent cx="228600" cy="0"/>
                <wp:effectExtent l="0" t="4445" r="0" b="5080"/>
                <wp:wrapNone/>
                <wp:docPr id="295" name="直接连接符 295"/>
                <wp:cNvGraphicFramePr/>
                <a:graphic xmlns:a="http://schemas.openxmlformats.org/drawingml/2006/main">
                  <a:graphicData uri="http://schemas.microsoft.com/office/word/2010/wordprocessingShape">
                    <wps:wsp>
                      <wps:cNvCnPr/>
                      <wps:spPr>
                        <a:xfrm>
                          <a:off x="0" y="0"/>
                          <a:ext cx="2286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54pt;margin-top:27.9pt;height:0pt;width:18pt;z-index:251767808;mso-width-relative:page;mso-height-relative:page;" filled="f" stroked="t" coordsize="21600,21600" o:gfxdata="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hANatdUAAAAJAQAADwAAAAAAAAABACAAAAAiAAAAZHJzL2Rvd25yZXYueG1sUEsBAhQAFAAA&#10;AAgAh07iQC0fQEvyAQAA6QMAAA4AAAAAAAAAAQAgAAAAJAEAAGRycy9lMm9Eb2MueG1sUEsFBgAA&#10;AAAGAAYAWQEAAIgFAAAAAA==&#10;">
                <v:fill on="f" focussize="0,0"/>
                <v:stroke color="#000000" joinstyle="round"/>
                <v:imagedata o:title=""/>
                <o:lock v:ext="edit" aspectratio="f"/>
              </v:line>
            </w:pict>
          </mc:Fallback>
        </mc:AlternateContent>
      </w:r>
      <w:r>
        <w:rPr>
          <w:rFonts w:ascii="宋体" w:hAnsi="宋体"/>
          <w:color w:val="008000"/>
          <w:sz w:val="20"/>
          <w:szCs w:val="28"/>
        </w:rPr>
        <mc:AlternateContent>
          <mc:Choice Requires="wps">
            <w:drawing>
              <wp:anchor distT="0" distB="0" distL="114300" distR="114300" simplePos="0" relativeHeight="251768832" behindDoc="0" locked="0" layoutInCell="1" allowOverlap="1">
                <wp:simplePos x="0" y="0"/>
                <wp:positionH relativeFrom="column">
                  <wp:posOffset>2305050</wp:posOffset>
                </wp:positionH>
                <wp:positionV relativeFrom="paragraph">
                  <wp:posOffset>104775</wp:posOffset>
                </wp:positionV>
                <wp:extent cx="342900" cy="495300"/>
                <wp:effectExtent l="5080" t="9525" r="13970" b="28575"/>
                <wp:wrapNone/>
                <wp:docPr id="296" name="左箭头 296"/>
                <wp:cNvGraphicFramePr/>
                <a:graphic xmlns:a="http://schemas.openxmlformats.org/drawingml/2006/main">
                  <a:graphicData uri="http://schemas.microsoft.com/office/word/2010/wordprocessingShape">
                    <wps:wsp>
                      <wps:cNvSpPr/>
                      <wps:spPr>
                        <a:xfrm flipV="1">
                          <a:off x="0" y="0"/>
                          <a:ext cx="342900" cy="495300"/>
                        </a:xfrm>
                        <a:prstGeom prst="leftArrow">
                          <a:avLst>
                            <a:gd name="adj1" fmla="val 50000"/>
                            <a:gd name="adj2" fmla="val 25000"/>
                          </a:avLst>
                        </a:prstGeom>
                        <a:solidFill>
                          <a:srgbClr val="CC99FF"/>
                        </a:solidFill>
                        <a:ln w="9525" cap="rnd" cmpd="sng">
                          <a:solidFill>
                            <a:srgbClr val="000000"/>
                          </a:solidFill>
                          <a:prstDash val="sysDot"/>
                          <a:miter/>
                          <a:headEnd type="none" w="med" len="med"/>
                          <a:tailEnd type="none" w="med" len="med"/>
                        </a:ln>
                        <a:effectLst/>
                      </wps:spPr>
                      <wps:bodyPr wrap="square" upright="1"/>
                    </wps:wsp>
                  </a:graphicData>
                </a:graphic>
              </wp:anchor>
            </w:drawing>
          </mc:Choice>
          <mc:Fallback>
            <w:pict>
              <v:shape id="_x0000_s1026" o:spid="_x0000_s1026" o:spt="66" type="#_x0000_t66" style="position:absolute;left:0pt;flip:y;margin-left:181.5pt;margin-top:8.25pt;height:39pt;width:27pt;z-index:251768832;mso-width-relative:page;mso-height-relative:page;" fillcolor="#CC99FF" filled="t" stroked="t" coordsize="21600,21600" o:gfxdata="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ASUO3bYAAAACQEAAA8AAAAAAAAAAQAgAAAAIgAA&#10;AGRycy9kb3ducmV2LnhtbFBLAQIUABQAAAAIAIdO4kCfRFfEQQIAAKAEAAAOAAAAAAAAAAEAIAAA&#10;ACcBAABkcnMvZTJvRG9jLnhtbFBLBQYAAAAABgAGAFkBAADaBQAAAAA=&#10;" adj="5400,5400">
                <v:fill on="t" focussize="0,0"/>
                <v:stroke color="#000000" joinstyle="miter" dashstyle="1 1" endcap="round"/>
                <v:imagedata o:title=""/>
                <o:lock v:ext="edit" aspectratio="f"/>
              </v:shape>
            </w:pict>
          </mc:Fallback>
        </mc:AlternateContent>
      </w:r>
      <w:r>
        <w:rPr>
          <w:rFonts w:ascii="宋体" w:hAnsi="宋体"/>
          <w:color w:val="008000"/>
          <w:sz w:val="20"/>
          <w:szCs w:val="28"/>
        </w:rPr>
        <mc:AlternateContent>
          <mc:Choice Requires="wps">
            <w:drawing>
              <wp:anchor distT="0" distB="0" distL="114300" distR="114300" simplePos="0" relativeHeight="251769856" behindDoc="0" locked="0" layoutInCell="1" allowOverlap="1">
                <wp:simplePos x="0" y="0"/>
                <wp:positionH relativeFrom="column">
                  <wp:posOffset>914400</wp:posOffset>
                </wp:positionH>
                <wp:positionV relativeFrom="paragraph">
                  <wp:posOffset>110490</wp:posOffset>
                </wp:positionV>
                <wp:extent cx="1371600" cy="495300"/>
                <wp:effectExtent l="6350" t="6350" r="69850" b="69850"/>
                <wp:wrapNone/>
                <wp:docPr id="297" name="圆角矩形 297"/>
                <wp:cNvGraphicFramePr/>
                <a:graphic xmlns:a="http://schemas.openxmlformats.org/drawingml/2006/main">
                  <a:graphicData uri="http://schemas.microsoft.com/office/word/2010/wordprocessingShape">
                    <wps:wsp>
                      <wps:cNvSpPr/>
                      <wps:spPr>
                        <a:xfrm>
                          <a:off x="0" y="0"/>
                          <a:ext cx="1371600" cy="495300"/>
                        </a:xfrm>
                        <a:prstGeom prst="roundRect">
                          <a:avLst>
                            <a:gd name="adj" fmla="val 12495"/>
                          </a:avLst>
                        </a:prstGeom>
                        <a:solidFill>
                          <a:srgbClr val="99CCFF"/>
                        </a:solidFill>
                        <a:ln w="12700" cap="flat" cmpd="sng">
                          <a:solidFill>
                            <a:srgbClr val="000000"/>
                          </a:solidFill>
                          <a:prstDash val="solid"/>
                          <a:headEnd type="none" w="med" len="med"/>
                          <a:tailEnd type="none" w="med" len="med"/>
                        </a:ln>
                        <a:effectLst>
                          <a:outerShdw dist="81320" dir="2319588" algn="ctr" rotWithShape="0">
                            <a:srgbClr val="B2B2B2"/>
                          </a:outerShdw>
                        </a:effectLst>
                      </wps:spPr>
                      <wps:txbx>
                        <w:txbxContent>
                          <w:p w14:paraId="2E9B1DC3">
                            <w:pPr>
                              <w:rPr>
                                <w:rFonts w:ascii="Arial" w:hAnsi="Arial"/>
                                <w:b/>
                                <w:lang w:val="zh-CN"/>
                              </w:rPr>
                            </w:pPr>
                            <w:r>
                              <w:rPr>
                                <w:rFonts w:hint="eastAsia"/>
                                <w:b/>
                              </w:rPr>
                              <w:t>等候维修备件时间为零子系统</w:t>
                            </w:r>
                          </w:p>
                        </w:txbxContent>
                      </wps:txbx>
                      <wps:bodyPr wrap="square" lIns="92075" tIns="46037" rIns="92075" bIns="46037" anchor="ctr" anchorCtr="0" upright="1"/>
                    </wps:wsp>
                  </a:graphicData>
                </a:graphic>
              </wp:anchor>
            </w:drawing>
          </mc:Choice>
          <mc:Fallback>
            <w:pict>
              <v:roundrect id="_x0000_s1026" o:spid="_x0000_s1026" o:spt="2" style="position:absolute;left:0pt;margin-left:72pt;margin-top:8.7pt;height:39pt;width:108pt;z-index:251769856;v-text-anchor:middle;mso-width-relative:page;mso-height-relative:page;" fillcolor="#99CCFF" filled="t" stroked="t" coordsize="21600,21600" arcsize="0.124953703703704" o:gfxdata="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Bgv17Q&#10;2AAAAAkBAAAPAAAAAAAAAAEAIAAAACIAAABkcnMvZG93bnJldi54bWxQSwECFAAUAAAACACHTuJA&#10;M6UyIJMCAAA+BQAADgAAAAAAAAABACAAAAAnAQAAZHJzL2Uyb0RvYy54bWxQSwUGAAAAAAYABgBZ&#10;AQAALAYAAAAA&#10;">
                <v:fill on="t" focussize="0,0"/>
                <v:stroke weight="1pt" color="#000000" joinstyle="round"/>
                <v:imagedata o:title=""/>
                <o:lock v:ext="edit" aspectratio="f"/>
                <v:shadow on="t" color="#B2B2B2" offset="5pt,4pt" origin="0f,0f" matrix="65536f,0f,0f,65536f"/>
                <v:textbox inset="7.25pt,3.62496062992126pt,7.25pt,3.62496062992126pt">
                  <w:txbxContent>
                    <w:p w14:paraId="2E9B1DC3">
                      <w:pPr>
                        <w:rPr>
                          <w:rFonts w:ascii="Arial" w:hAnsi="Arial"/>
                          <w:b/>
                          <w:lang w:val="zh-CN"/>
                        </w:rPr>
                      </w:pPr>
                      <w:r>
                        <w:rPr>
                          <w:rFonts w:hint="eastAsia"/>
                          <w:b/>
                        </w:rPr>
                        <w:t>等候维修备件时间为零子系统</w:t>
                      </w:r>
                    </w:p>
                  </w:txbxContent>
                </v:textbox>
              </v:roundrect>
            </w:pict>
          </mc:Fallback>
        </mc:AlternateContent>
      </w:r>
    </w:p>
    <w:p w14:paraId="225EC046">
      <w:pPr>
        <w:pStyle w:val="10"/>
        <w:rPr>
          <w:rFonts w:ascii="宋体" w:hAnsi="宋体"/>
          <w:color w:val="008000"/>
          <w:szCs w:val="28"/>
        </w:rPr>
      </w:pPr>
    </w:p>
    <w:p w14:paraId="28030C8E">
      <w:pPr>
        <w:pStyle w:val="10"/>
        <w:rPr>
          <w:rFonts w:ascii="宋体" w:hAnsi="宋体"/>
          <w:color w:val="008000"/>
          <w:szCs w:val="28"/>
        </w:rPr>
      </w:pPr>
    </w:p>
    <w:p w14:paraId="1805763C">
      <w:pPr>
        <w:pStyle w:val="10"/>
        <w:rPr>
          <w:rFonts w:ascii="宋体" w:hAnsi="宋体"/>
          <w:color w:val="008000"/>
          <w:szCs w:val="28"/>
        </w:rPr>
      </w:pPr>
      <w:r>
        <w:rPr>
          <w:rFonts w:ascii="宋体" w:hAnsi="宋体"/>
          <w:color w:val="008000"/>
          <w:sz w:val="20"/>
          <w:szCs w:val="28"/>
        </w:rPr>
        <mc:AlternateContent>
          <mc:Choice Requires="wps">
            <w:drawing>
              <wp:anchor distT="0" distB="0" distL="114300" distR="114300" simplePos="0" relativeHeight="251770880" behindDoc="0" locked="0" layoutInCell="1" allowOverlap="1">
                <wp:simplePos x="0" y="0"/>
                <wp:positionH relativeFrom="column">
                  <wp:posOffset>685800</wp:posOffset>
                </wp:positionH>
                <wp:positionV relativeFrom="paragraph">
                  <wp:posOffset>358140</wp:posOffset>
                </wp:positionV>
                <wp:extent cx="228600" cy="0"/>
                <wp:effectExtent l="0" t="4445" r="0" b="5080"/>
                <wp:wrapNone/>
                <wp:docPr id="298" name="直接连接符 298"/>
                <wp:cNvGraphicFramePr/>
                <a:graphic xmlns:a="http://schemas.openxmlformats.org/drawingml/2006/main">
                  <a:graphicData uri="http://schemas.microsoft.com/office/word/2010/wordprocessingShape">
                    <wps:wsp>
                      <wps:cNvCnPr/>
                      <wps:spPr>
                        <a:xfrm>
                          <a:off x="0" y="0"/>
                          <a:ext cx="2286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54pt;margin-top:28.2pt;height:0pt;width:18pt;z-index:251770880;mso-width-relative:page;mso-height-relative:page;" filled="f" stroked="t" coordsize="21600,21600" o:gfxdata="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8Iir6NUAAAAJAQAADwAAAAAAAAABACAAAAAiAAAAZHJzL2Rvd25yZXYueG1sUEsBAhQAFAAA&#10;AAgAh07iQHZq1z3yAQAA6QMAAA4AAAAAAAAAAQAgAAAAJAEAAGRycy9lMm9Eb2MueG1sUEsFBgAA&#10;AAAGAAYAWQEAAIgFAAAAAA==&#10;">
                <v:fill on="f" focussize="0,0"/>
                <v:stroke color="#000000" joinstyle="round"/>
                <v:imagedata o:title=""/>
                <o:lock v:ext="edit" aspectratio="f"/>
              </v:line>
            </w:pict>
          </mc:Fallback>
        </mc:AlternateContent>
      </w:r>
      <w:r>
        <w:rPr>
          <w:rFonts w:ascii="宋体" w:hAnsi="宋体"/>
          <w:color w:val="008000"/>
          <w:sz w:val="20"/>
          <w:szCs w:val="28"/>
        </w:rPr>
        <mc:AlternateContent>
          <mc:Choice Requires="wps">
            <w:drawing>
              <wp:anchor distT="0" distB="0" distL="114300" distR="114300" simplePos="0" relativeHeight="251771904" behindDoc="0" locked="0" layoutInCell="1" allowOverlap="1">
                <wp:simplePos x="0" y="0"/>
                <wp:positionH relativeFrom="column">
                  <wp:posOffset>914400</wp:posOffset>
                </wp:positionH>
                <wp:positionV relativeFrom="paragraph">
                  <wp:posOffset>114300</wp:posOffset>
                </wp:positionV>
                <wp:extent cx="1371600" cy="495300"/>
                <wp:effectExtent l="6350" t="6350" r="69850" b="69850"/>
                <wp:wrapNone/>
                <wp:docPr id="299" name="圆角矩形 299"/>
                <wp:cNvGraphicFramePr/>
                <a:graphic xmlns:a="http://schemas.openxmlformats.org/drawingml/2006/main">
                  <a:graphicData uri="http://schemas.microsoft.com/office/word/2010/wordprocessingShape">
                    <wps:wsp>
                      <wps:cNvSpPr/>
                      <wps:spPr>
                        <a:xfrm>
                          <a:off x="0" y="0"/>
                          <a:ext cx="1371600" cy="495300"/>
                        </a:xfrm>
                        <a:prstGeom prst="roundRect">
                          <a:avLst>
                            <a:gd name="adj" fmla="val 12495"/>
                          </a:avLst>
                        </a:prstGeom>
                        <a:solidFill>
                          <a:srgbClr val="99CCFF"/>
                        </a:solidFill>
                        <a:ln w="12700" cap="flat" cmpd="sng">
                          <a:solidFill>
                            <a:srgbClr val="000000"/>
                          </a:solidFill>
                          <a:prstDash val="solid"/>
                          <a:headEnd type="none" w="med" len="med"/>
                          <a:tailEnd type="none" w="med" len="med"/>
                        </a:ln>
                        <a:effectLst>
                          <a:outerShdw dist="81320" dir="2319588" algn="ctr" rotWithShape="0">
                            <a:srgbClr val="B2B2B2"/>
                          </a:outerShdw>
                        </a:effectLst>
                      </wps:spPr>
                      <wps:txbx>
                        <w:txbxContent>
                          <w:p w14:paraId="773CF4A8">
                            <w:pPr>
                              <w:rPr>
                                <w:rFonts w:ascii="Arial" w:hAnsi="Arial"/>
                                <w:b/>
                                <w:lang w:val="zh-CN"/>
                              </w:rPr>
                            </w:pPr>
                            <w:r>
                              <w:rPr>
                                <w:rFonts w:hint="eastAsia"/>
                                <w:b/>
                              </w:rPr>
                              <w:t>等候维修工具为零子系统</w:t>
                            </w:r>
                          </w:p>
                        </w:txbxContent>
                      </wps:txbx>
                      <wps:bodyPr wrap="square" lIns="92075" tIns="46037" rIns="92075" bIns="46037" anchor="ctr" anchorCtr="0" upright="1"/>
                    </wps:wsp>
                  </a:graphicData>
                </a:graphic>
              </wp:anchor>
            </w:drawing>
          </mc:Choice>
          <mc:Fallback>
            <w:pict>
              <v:roundrect id="_x0000_s1026" o:spid="_x0000_s1026" o:spt="2" style="position:absolute;left:0pt;margin-left:72pt;margin-top:9pt;height:39pt;width:108pt;z-index:251771904;v-text-anchor:middle;mso-width-relative:page;mso-height-relative:page;" fillcolor="#99CCFF" filled="t" stroked="t" coordsize="21600,21600" arcsize="0.124953703703704" o:gfxdata="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fmNbRtYA&#10;AAAJAQAADwAAAAAAAAABACAAAAAiAAAAZHJzL2Rvd25yZXYueG1sUEsBAhQAFAAAAAgAh07iQNeq&#10;KHmTAgAAPgUAAA4AAAAAAAAAAQAgAAAAJQEAAGRycy9lMm9Eb2MueG1sUEsFBgAAAAAGAAYAWQEA&#10;ACoGAAAAAA==&#10;">
                <v:fill on="t" focussize="0,0"/>
                <v:stroke weight="1pt" color="#000000" joinstyle="round"/>
                <v:imagedata o:title=""/>
                <o:lock v:ext="edit" aspectratio="f"/>
                <v:shadow on="t" color="#B2B2B2" offset="5pt,4pt" origin="0f,0f" matrix="65536f,0f,0f,65536f"/>
                <v:textbox inset="7.25pt,3.62496062992126pt,7.25pt,3.62496062992126pt">
                  <w:txbxContent>
                    <w:p w14:paraId="773CF4A8">
                      <w:pPr>
                        <w:rPr>
                          <w:rFonts w:ascii="Arial" w:hAnsi="Arial"/>
                          <w:b/>
                          <w:lang w:val="zh-CN"/>
                        </w:rPr>
                      </w:pPr>
                      <w:r>
                        <w:rPr>
                          <w:rFonts w:hint="eastAsia"/>
                          <w:b/>
                        </w:rPr>
                        <w:t>等候维修工具为零子系统</w:t>
                      </w:r>
                    </w:p>
                  </w:txbxContent>
                </v:textbox>
              </v:roundrect>
            </w:pict>
          </mc:Fallback>
        </mc:AlternateContent>
      </w:r>
      <w:r>
        <w:rPr>
          <w:rFonts w:ascii="宋体" w:hAnsi="宋体"/>
          <w:color w:val="008000"/>
          <w:sz w:val="20"/>
          <w:szCs w:val="28"/>
        </w:rPr>
        <mc:AlternateContent>
          <mc:Choice Requires="wps">
            <w:drawing>
              <wp:anchor distT="0" distB="0" distL="114300" distR="114300" simplePos="0" relativeHeight="251772928" behindDoc="0" locked="0" layoutInCell="1" allowOverlap="1">
                <wp:simplePos x="0" y="0"/>
                <wp:positionH relativeFrom="column">
                  <wp:posOffset>2295525</wp:posOffset>
                </wp:positionH>
                <wp:positionV relativeFrom="paragraph">
                  <wp:posOffset>114300</wp:posOffset>
                </wp:positionV>
                <wp:extent cx="342900" cy="495300"/>
                <wp:effectExtent l="5080" t="9525" r="13970" b="28575"/>
                <wp:wrapNone/>
                <wp:docPr id="300" name="左箭头 300"/>
                <wp:cNvGraphicFramePr/>
                <a:graphic xmlns:a="http://schemas.openxmlformats.org/drawingml/2006/main">
                  <a:graphicData uri="http://schemas.microsoft.com/office/word/2010/wordprocessingShape">
                    <wps:wsp>
                      <wps:cNvSpPr/>
                      <wps:spPr>
                        <a:xfrm flipV="1">
                          <a:off x="0" y="0"/>
                          <a:ext cx="342900" cy="495300"/>
                        </a:xfrm>
                        <a:prstGeom prst="leftArrow">
                          <a:avLst>
                            <a:gd name="adj1" fmla="val 50000"/>
                            <a:gd name="adj2" fmla="val 25000"/>
                          </a:avLst>
                        </a:prstGeom>
                        <a:solidFill>
                          <a:srgbClr val="CC99FF"/>
                        </a:solidFill>
                        <a:ln w="9525" cap="rnd" cmpd="sng">
                          <a:solidFill>
                            <a:srgbClr val="000000"/>
                          </a:solidFill>
                          <a:prstDash val="sysDot"/>
                          <a:miter/>
                          <a:headEnd type="none" w="med" len="med"/>
                          <a:tailEnd type="none" w="med" len="med"/>
                        </a:ln>
                        <a:effectLst/>
                      </wps:spPr>
                      <wps:bodyPr wrap="square" upright="1"/>
                    </wps:wsp>
                  </a:graphicData>
                </a:graphic>
              </wp:anchor>
            </w:drawing>
          </mc:Choice>
          <mc:Fallback>
            <w:pict>
              <v:shape id="_x0000_s1026" o:spid="_x0000_s1026" o:spt="66" type="#_x0000_t66" style="position:absolute;left:0pt;flip:y;margin-left:180.75pt;margin-top:9pt;height:39pt;width:27pt;z-index:251772928;mso-width-relative:page;mso-height-relative:page;" fillcolor="#CC99FF" filled="t" stroked="t" coordsize="21600,21600" o:gfxdata="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gzVIVdYAAAAJAQAADwAAAAAAAAABACAAAAAiAAAAZHJz&#10;L2Rvd25yZXYueG1sUEsBAhQAFAAAAAgAh07iQN8kvKw/AgAAoAQAAA4AAAAAAAAAAQAgAAAAJQEA&#10;AGRycy9lMm9Eb2MueG1sUEsFBgAAAAAGAAYAWQEAANYFAAAAAA==&#10;" adj="5400,5400">
                <v:fill on="t" focussize="0,0"/>
                <v:stroke color="#000000" joinstyle="miter" dashstyle="1 1" endcap="round"/>
                <v:imagedata o:title=""/>
                <o:lock v:ext="edit" aspectratio="f"/>
              </v:shape>
            </w:pict>
          </mc:Fallback>
        </mc:AlternateContent>
      </w:r>
      <w:r>
        <w:rPr>
          <w:rFonts w:ascii="宋体" w:hAnsi="宋体"/>
          <w:color w:val="008000"/>
          <w:sz w:val="20"/>
          <w:szCs w:val="28"/>
        </w:rPr>
        <mc:AlternateContent>
          <mc:Choice Requires="wps">
            <w:drawing>
              <wp:anchor distT="0" distB="0" distL="114300" distR="114300" simplePos="0" relativeHeight="251773952" behindDoc="0" locked="0" layoutInCell="1" allowOverlap="1">
                <wp:simplePos x="0" y="0"/>
                <wp:positionH relativeFrom="column">
                  <wp:posOffset>2647950</wp:posOffset>
                </wp:positionH>
                <wp:positionV relativeFrom="paragraph">
                  <wp:posOffset>66675</wp:posOffset>
                </wp:positionV>
                <wp:extent cx="3429000" cy="530860"/>
                <wp:effectExtent l="0" t="0" r="76200" b="78740"/>
                <wp:wrapNone/>
                <wp:docPr id="301" name="文本框 301"/>
                <wp:cNvGraphicFramePr/>
                <a:graphic xmlns:a="http://schemas.openxmlformats.org/drawingml/2006/main">
                  <a:graphicData uri="http://schemas.microsoft.com/office/word/2010/wordprocessingShape">
                    <wps:wsp>
                      <wps:cNvSpPr txBox="1"/>
                      <wps:spPr>
                        <a:xfrm>
                          <a:off x="0" y="0"/>
                          <a:ext cx="3429000" cy="530860"/>
                        </a:xfrm>
                        <a:prstGeom prst="rect">
                          <a:avLst/>
                        </a:prstGeom>
                        <a:solidFill>
                          <a:srgbClr val="CCECFF"/>
                        </a:solidFill>
                        <a:ln w="12700">
                          <a:noFill/>
                        </a:ln>
                        <a:effectLst>
                          <a:outerShdw dist="107763" dir="2699999" algn="ctr" rotWithShape="0">
                            <a:srgbClr val="C0C0C0"/>
                          </a:outerShdw>
                        </a:effectLst>
                      </wps:spPr>
                      <wps:txbx>
                        <w:txbxContent>
                          <w:p w14:paraId="4B8554DB">
                            <w:pPr>
                              <w:numPr>
                                <w:ilvl w:val="0"/>
                                <w:numId w:val="5"/>
                              </w:numPr>
                              <w:tabs>
                                <w:tab w:val="left" w:pos="0"/>
                                <w:tab w:val="clear" w:pos="420"/>
                              </w:tabs>
                              <w:ind w:left="0" w:firstLine="0"/>
                              <w:rPr>
                                <w:szCs w:val="14"/>
                              </w:rPr>
                            </w:pPr>
                            <w:r>
                              <w:rPr>
                                <w:rFonts w:hint="eastAsia" w:ascii="宋体" w:hAnsi="宋体"/>
                              </w:rPr>
                              <w:t>应用先进技术，提高检测手段，高新维修技术对设备进行精密修理。</w:t>
                            </w:r>
                          </w:p>
                        </w:txbxContent>
                      </wps:txbx>
                      <wps:bodyPr wrap="square" upright="1"/>
                    </wps:wsp>
                  </a:graphicData>
                </a:graphic>
              </wp:anchor>
            </w:drawing>
          </mc:Choice>
          <mc:Fallback>
            <w:pict>
              <v:shape id="_x0000_s1026" o:spid="_x0000_s1026" o:spt="202" type="#_x0000_t202" style="position:absolute;left:0pt;margin-left:208.5pt;margin-top:5.25pt;height:41.8pt;width:270pt;z-index:251773952;mso-width-relative:page;mso-height-relative:page;" fillcolor="#CCECFF" filled="t" stroked="f" coordsize="21600,21600" o:gfxdata="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3XClz1gAAAAkBAAAPAAAA&#10;AAAAAAEAIAAAACIAAABkcnMvZG93bnJldi54bWxQSwECFAAUAAAACACHTuJAHNtbIRcCAAAaBAAA&#10;DgAAAAAAAAABACAAAAAlAQAAZHJzL2Uyb0RvYy54bWxQSwUGAAAAAAYABgBZAQAArgUAAAAA&#10;">
                <v:fill on="t" focussize="0,0"/>
                <v:stroke on="f" weight="1pt"/>
                <v:imagedata o:title=""/>
                <o:lock v:ext="edit" aspectratio="f"/>
                <v:shadow on="t" color="#C0C0C0" offset="6pt,6pt" origin="0f,0f" matrix="65536f,0f,0f,65536f"/>
                <v:textbox>
                  <w:txbxContent>
                    <w:p w14:paraId="4B8554DB">
                      <w:pPr>
                        <w:numPr>
                          <w:ilvl w:val="0"/>
                          <w:numId w:val="5"/>
                        </w:numPr>
                        <w:tabs>
                          <w:tab w:val="left" w:pos="0"/>
                          <w:tab w:val="clear" w:pos="420"/>
                        </w:tabs>
                        <w:ind w:left="0" w:firstLine="0"/>
                        <w:rPr>
                          <w:szCs w:val="14"/>
                        </w:rPr>
                      </w:pPr>
                      <w:r>
                        <w:rPr>
                          <w:rFonts w:hint="eastAsia" w:ascii="宋体" w:hAnsi="宋体"/>
                        </w:rPr>
                        <w:t>应用先进技术，提高检测手段，高新维修技术对设备进行精密修理。</w:t>
                      </w:r>
                    </w:p>
                  </w:txbxContent>
                </v:textbox>
              </v:shape>
            </w:pict>
          </mc:Fallback>
        </mc:AlternateContent>
      </w:r>
    </w:p>
    <w:p w14:paraId="24959CB0">
      <w:pPr>
        <w:pStyle w:val="10"/>
        <w:rPr>
          <w:rFonts w:ascii="宋体" w:hAnsi="宋体"/>
          <w:color w:val="008000"/>
          <w:szCs w:val="28"/>
        </w:rPr>
      </w:pPr>
    </w:p>
    <w:p w14:paraId="1AA8CAF4">
      <w:pPr>
        <w:pStyle w:val="10"/>
        <w:rPr>
          <w:rFonts w:ascii="宋体" w:hAnsi="宋体"/>
          <w:color w:val="008000"/>
          <w:szCs w:val="28"/>
        </w:rPr>
      </w:pPr>
      <w:r>
        <w:rPr>
          <w:rFonts w:ascii="宋体" w:hAnsi="宋体"/>
          <w:color w:val="008000"/>
          <w:sz w:val="20"/>
          <w:szCs w:val="28"/>
        </w:rPr>
        <mc:AlternateContent>
          <mc:Choice Requires="wps">
            <w:drawing>
              <wp:anchor distT="0" distB="0" distL="114300" distR="114300" simplePos="0" relativeHeight="251778048" behindDoc="0" locked="0" layoutInCell="1" allowOverlap="1">
                <wp:simplePos x="0" y="0"/>
                <wp:positionH relativeFrom="column">
                  <wp:posOffset>695960</wp:posOffset>
                </wp:positionH>
                <wp:positionV relativeFrom="paragraph">
                  <wp:posOffset>502920</wp:posOffset>
                </wp:positionV>
                <wp:extent cx="228600" cy="0"/>
                <wp:effectExtent l="0" t="4445" r="0" b="5080"/>
                <wp:wrapNone/>
                <wp:docPr id="305" name="直接连接符 305"/>
                <wp:cNvGraphicFramePr/>
                <a:graphic xmlns:a="http://schemas.openxmlformats.org/drawingml/2006/main">
                  <a:graphicData uri="http://schemas.microsoft.com/office/word/2010/wordprocessingShape">
                    <wps:wsp>
                      <wps:cNvCnPr/>
                      <wps:spPr>
                        <a:xfrm>
                          <a:off x="0" y="0"/>
                          <a:ext cx="2286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54.8pt;margin-top:39.6pt;height:0pt;width:18pt;z-index:251778048;mso-width-relative:page;mso-height-relative:page;" filled="f" stroked="t" coordsize="21600,21600" o:gfxdata="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vSWS7tUAAAAJAQAADwAAAAAAAAABACAAAAAiAAAAZHJzL2Rvd25yZXYueG1sUEsBAhQAFAAA&#10;AAgAh07iQDvqA0ryAQAA6QMAAA4AAAAAAAAAAQAgAAAAJAEAAGRycy9lMm9Eb2MueG1sUEsFBgAA&#10;AAAGAAYAWQEAAIgFAAAAAA==&#10;">
                <v:fill on="f" focussize="0,0"/>
                <v:stroke color="#000000" joinstyle="round"/>
                <v:imagedata o:title=""/>
                <o:lock v:ext="edit" aspectratio="f"/>
              </v:line>
            </w:pict>
          </mc:Fallback>
        </mc:AlternateContent>
      </w:r>
      <w:r>
        <w:rPr>
          <w:rFonts w:ascii="宋体" w:hAnsi="宋体"/>
          <w:color w:val="008000"/>
          <w:sz w:val="20"/>
          <w:szCs w:val="28"/>
        </w:rPr>
        <mc:AlternateContent>
          <mc:Choice Requires="wps">
            <w:drawing>
              <wp:anchor distT="0" distB="0" distL="114300" distR="114300" simplePos="0" relativeHeight="251774976" behindDoc="0" locked="0" layoutInCell="1" allowOverlap="1">
                <wp:simplePos x="0" y="0"/>
                <wp:positionH relativeFrom="column">
                  <wp:posOffset>2638425</wp:posOffset>
                </wp:positionH>
                <wp:positionV relativeFrom="paragraph">
                  <wp:posOffset>245745</wp:posOffset>
                </wp:positionV>
                <wp:extent cx="3429000" cy="686435"/>
                <wp:effectExtent l="0" t="0" r="76200" b="94615"/>
                <wp:wrapNone/>
                <wp:docPr id="302" name="文本框 302"/>
                <wp:cNvGraphicFramePr/>
                <a:graphic xmlns:a="http://schemas.openxmlformats.org/drawingml/2006/main">
                  <a:graphicData uri="http://schemas.microsoft.com/office/word/2010/wordprocessingShape">
                    <wps:wsp>
                      <wps:cNvSpPr txBox="1"/>
                      <wps:spPr>
                        <a:xfrm>
                          <a:off x="0" y="0"/>
                          <a:ext cx="3429000" cy="448310"/>
                        </a:xfrm>
                        <a:prstGeom prst="rect">
                          <a:avLst/>
                        </a:prstGeom>
                        <a:solidFill>
                          <a:srgbClr val="CCECFF"/>
                        </a:solidFill>
                        <a:ln w="12700">
                          <a:noFill/>
                        </a:ln>
                        <a:effectLst>
                          <a:outerShdw dist="107763" dir="2699999" algn="ctr" rotWithShape="0">
                            <a:srgbClr val="C0C0C0"/>
                          </a:outerShdw>
                        </a:effectLst>
                      </wps:spPr>
                      <wps:txbx>
                        <w:txbxContent>
                          <w:p w14:paraId="2AE4956A">
                            <w:pPr>
                              <w:numPr>
                                <w:ilvl w:val="0"/>
                                <w:numId w:val="6"/>
                              </w:numPr>
                              <w:spacing w:line="400" w:lineRule="exact"/>
                              <w:rPr>
                                <w:szCs w:val="14"/>
                              </w:rPr>
                            </w:pPr>
                            <w:r>
                              <w:rPr>
                                <w:rFonts w:hint="eastAsia" w:ascii="宋体" w:hAnsi="宋体"/>
                              </w:rPr>
                              <w:t>应用</w:t>
                            </w:r>
                            <w:r>
                              <w:rPr>
                                <w:rFonts w:hint="eastAsia" w:ascii="宋体" w:hAnsi="宋体"/>
                                <w:sz w:val="21"/>
                                <w:szCs w:val="28"/>
                                <w:lang w:eastAsia="zh-CN"/>
                              </w:rPr>
                              <w:t>财物管理</w:t>
                            </w:r>
                            <w:r>
                              <w:rPr>
                                <w:rFonts w:hint="eastAsia" w:ascii="宋体" w:hAnsi="宋体"/>
                              </w:rPr>
                              <w:t>健全设备技术档案资料，实现了资料共享。</w:t>
                            </w:r>
                          </w:p>
                        </w:txbxContent>
                      </wps:txbx>
                      <wps:bodyPr wrap="square" upright="1"/>
                    </wps:wsp>
                  </a:graphicData>
                </a:graphic>
              </wp:anchor>
            </w:drawing>
          </mc:Choice>
          <mc:Fallback>
            <w:pict>
              <v:shape id="_x0000_s1026" o:spid="_x0000_s1026" o:spt="202" type="#_x0000_t202" style="position:absolute;left:0pt;margin-left:207.75pt;margin-top:19.35pt;height:54.05pt;width:270pt;z-index:251774976;mso-width-relative:page;mso-height-relative:page;" fillcolor="#CCECFF" filled="t" stroked="f" coordsize="21600,21600" o:gfxdata="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xCl2f9cAAAAKAQAADwAA&#10;AAAAAAABACAAAAAiAAAAZHJzL2Rvd25yZXYueG1sUEsBAhQAFAAAAAgAh07iQGxi5rIXAgAAGgQA&#10;AA4AAAAAAAAAAQAgAAAAJgEAAGRycy9lMm9Eb2MueG1sUEsFBgAAAAAGAAYAWQEAAK8FAAAAAA==&#10;">
                <v:fill on="t" focussize="0,0"/>
                <v:stroke on="f" weight="1pt"/>
                <v:imagedata o:title=""/>
                <o:lock v:ext="edit" aspectratio="f"/>
                <v:shadow on="t" color="#C0C0C0" offset="6pt,6pt" origin="0f,0f" matrix="65536f,0f,0f,65536f"/>
                <v:textbox>
                  <w:txbxContent>
                    <w:p w14:paraId="2AE4956A">
                      <w:pPr>
                        <w:numPr>
                          <w:ilvl w:val="0"/>
                          <w:numId w:val="6"/>
                        </w:numPr>
                        <w:spacing w:line="400" w:lineRule="exact"/>
                        <w:rPr>
                          <w:szCs w:val="14"/>
                        </w:rPr>
                      </w:pPr>
                      <w:r>
                        <w:rPr>
                          <w:rFonts w:hint="eastAsia" w:ascii="宋体" w:hAnsi="宋体"/>
                        </w:rPr>
                        <w:t>应用</w:t>
                      </w:r>
                      <w:r>
                        <w:rPr>
                          <w:rFonts w:hint="eastAsia" w:ascii="宋体" w:hAnsi="宋体"/>
                          <w:sz w:val="21"/>
                          <w:szCs w:val="28"/>
                          <w:lang w:eastAsia="zh-CN"/>
                        </w:rPr>
                        <w:t>财物管理</w:t>
                      </w:r>
                      <w:r>
                        <w:rPr>
                          <w:rFonts w:hint="eastAsia" w:ascii="宋体" w:hAnsi="宋体"/>
                        </w:rPr>
                        <w:t>健全设备技术档案资料，实现了资料共享。</w:t>
                      </w:r>
                    </w:p>
                  </w:txbxContent>
                </v:textbox>
              </v:shape>
            </w:pict>
          </mc:Fallback>
        </mc:AlternateContent>
      </w:r>
      <w:r>
        <w:rPr>
          <w:rFonts w:ascii="宋体" w:hAnsi="宋体"/>
          <w:color w:val="008000"/>
          <w:sz w:val="20"/>
          <w:szCs w:val="28"/>
        </w:rPr>
        <mc:AlternateContent>
          <mc:Choice Requires="wps">
            <w:drawing>
              <wp:anchor distT="0" distB="0" distL="114300" distR="114300" simplePos="0" relativeHeight="251776000" behindDoc="0" locked="0" layoutInCell="1" allowOverlap="1">
                <wp:simplePos x="0" y="0"/>
                <wp:positionH relativeFrom="column">
                  <wp:posOffset>2295525</wp:posOffset>
                </wp:positionH>
                <wp:positionV relativeFrom="paragraph">
                  <wp:posOffset>226695</wp:posOffset>
                </wp:positionV>
                <wp:extent cx="342900" cy="495300"/>
                <wp:effectExtent l="5080" t="9525" r="13970" b="28575"/>
                <wp:wrapNone/>
                <wp:docPr id="303" name="左箭头 303"/>
                <wp:cNvGraphicFramePr/>
                <a:graphic xmlns:a="http://schemas.openxmlformats.org/drawingml/2006/main">
                  <a:graphicData uri="http://schemas.microsoft.com/office/word/2010/wordprocessingShape">
                    <wps:wsp>
                      <wps:cNvSpPr/>
                      <wps:spPr>
                        <a:xfrm flipV="1">
                          <a:off x="0" y="0"/>
                          <a:ext cx="342900" cy="495300"/>
                        </a:xfrm>
                        <a:prstGeom prst="leftArrow">
                          <a:avLst>
                            <a:gd name="adj1" fmla="val 50000"/>
                            <a:gd name="adj2" fmla="val 25000"/>
                          </a:avLst>
                        </a:prstGeom>
                        <a:solidFill>
                          <a:srgbClr val="CC99FF"/>
                        </a:solidFill>
                        <a:ln w="9525" cap="rnd" cmpd="sng">
                          <a:solidFill>
                            <a:srgbClr val="000000"/>
                          </a:solidFill>
                          <a:prstDash val="sysDot"/>
                          <a:miter/>
                          <a:headEnd type="none" w="med" len="med"/>
                          <a:tailEnd type="none" w="med" len="med"/>
                        </a:ln>
                        <a:effectLst/>
                      </wps:spPr>
                      <wps:bodyPr wrap="square" upright="1"/>
                    </wps:wsp>
                  </a:graphicData>
                </a:graphic>
              </wp:anchor>
            </w:drawing>
          </mc:Choice>
          <mc:Fallback>
            <w:pict>
              <v:shape id="_x0000_s1026" o:spid="_x0000_s1026" o:spt="66" type="#_x0000_t66" style="position:absolute;left:0pt;flip:y;margin-left:180.75pt;margin-top:17.85pt;height:39pt;width:27pt;z-index:251776000;mso-width-relative:page;mso-height-relative:page;" fillcolor="#CC99FF" filled="t" stroked="t" coordsize="21600,21600" o:gfxdata="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RorxkdgAAAAKAQAADwAAAAAAAAABACAAAAAiAAAA&#10;ZHJzL2Rvd25yZXYueG1sUEsBAhQAFAAAAAgAh07iQAVO0yZAAgAAoAQAAA4AAAAAAAAAAQAgAAAA&#10;JwEAAGRycy9lMm9Eb2MueG1sUEsFBgAAAAAGAAYAWQEAANkFAAAAAA==&#10;" adj="5400,5400">
                <v:fill on="t" focussize="0,0"/>
                <v:stroke color="#000000" joinstyle="miter" dashstyle="1 1" endcap="round"/>
                <v:imagedata o:title=""/>
                <o:lock v:ext="edit" aspectratio="f"/>
              </v:shape>
            </w:pict>
          </mc:Fallback>
        </mc:AlternateContent>
      </w:r>
      <w:r>
        <w:rPr>
          <w:rFonts w:ascii="宋体" w:hAnsi="宋体"/>
          <w:color w:val="008000"/>
          <w:sz w:val="20"/>
          <w:szCs w:val="28"/>
        </w:rPr>
        <mc:AlternateContent>
          <mc:Choice Requires="wps">
            <w:drawing>
              <wp:anchor distT="0" distB="0" distL="114300" distR="114300" simplePos="0" relativeHeight="251777024" behindDoc="0" locked="0" layoutInCell="1" allowOverlap="1">
                <wp:simplePos x="0" y="0"/>
                <wp:positionH relativeFrom="column">
                  <wp:posOffset>914400</wp:posOffset>
                </wp:positionH>
                <wp:positionV relativeFrom="paragraph">
                  <wp:posOffset>236220</wp:posOffset>
                </wp:positionV>
                <wp:extent cx="1371600" cy="495300"/>
                <wp:effectExtent l="6350" t="6350" r="69850" b="69850"/>
                <wp:wrapNone/>
                <wp:docPr id="304" name="圆角矩形 304"/>
                <wp:cNvGraphicFramePr/>
                <a:graphic xmlns:a="http://schemas.openxmlformats.org/drawingml/2006/main">
                  <a:graphicData uri="http://schemas.microsoft.com/office/word/2010/wordprocessingShape">
                    <wps:wsp>
                      <wps:cNvSpPr/>
                      <wps:spPr>
                        <a:xfrm>
                          <a:off x="0" y="0"/>
                          <a:ext cx="1371600" cy="495300"/>
                        </a:xfrm>
                        <a:prstGeom prst="roundRect">
                          <a:avLst>
                            <a:gd name="adj" fmla="val 12495"/>
                          </a:avLst>
                        </a:prstGeom>
                        <a:solidFill>
                          <a:srgbClr val="99CCFF"/>
                        </a:solidFill>
                        <a:ln w="12700" cap="flat" cmpd="sng">
                          <a:solidFill>
                            <a:srgbClr val="000000"/>
                          </a:solidFill>
                          <a:prstDash val="solid"/>
                          <a:headEnd type="none" w="med" len="med"/>
                          <a:tailEnd type="none" w="med" len="med"/>
                        </a:ln>
                        <a:effectLst>
                          <a:outerShdw dist="81320" dir="2319588" algn="ctr" rotWithShape="0">
                            <a:srgbClr val="B2B2B2"/>
                          </a:outerShdw>
                        </a:effectLst>
                      </wps:spPr>
                      <wps:txbx>
                        <w:txbxContent>
                          <w:p w14:paraId="51BBBEB6">
                            <w:pPr>
                              <w:rPr>
                                <w:rFonts w:ascii="Arial" w:hAnsi="Arial"/>
                                <w:b/>
                                <w:lang w:val="zh-CN"/>
                              </w:rPr>
                            </w:pPr>
                            <w:r>
                              <w:rPr>
                                <w:rFonts w:hint="eastAsia"/>
                                <w:b/>
                              </w:rPr>
                              <w:t>等候维修料资时间为零子系统</w:t>
                            </w:r>
                          </w:p>
                        </w:txbxContent>
                      </wps:txbx>
                      <wps:bodyPr wrap="square" lIns="92075" tIns="46037" rIns="92075" bIns="46037" anchor="ctr" anchorCtr="0" upright="1"/>
                    </wps:wsp>
                  </a:graphicData>
                </a:graphic>
              </wp:anchor>
            </w:drawing>
          </mc:Choice>
          <mc:Fallback>
            <w:pict>
              <v:roundrect id="_x0000_s1026" o:spid="_x0000_s1026" o:spt="2" style="position:absolute;left:0pt;margin-left:72pt;margin-top:18.6pt;height:39pt;width:108pt;z-index:251777024;v-text-anchor:middle;mso-width-relative:page;mso-height-relative:page;" fillcolor="#99CCFF" filled="t" stroked="t" coordsize="21600,21600" arcsize="0.124953703703704" o:gfxdata="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7uE&#10;xtkAAAAKAQAADwAAAAAAAAABACAAAAAiAAAAZHJzL2Rvd25yZXYueG1sUEsBAhQAFAAAAAgAh07i&#10;QF1VoHGTAgAAPgUAAA4AAAAAAAAAAQAgAAAAKAEAAGRycy9lMm9Eb2MueG1sUEsFBgAAAAAGAAYA&#10;WQEAAC0GAAAAAA==&#10;">
                <v:fill on="t" focussize="0,0"/>
                <v:stroke weight="1pt" color="#000000" joinstyle="round"/>
                <v:imagedata o:title=""/>
                <o:lock v:ext="edit" aspectratio="f"/>
                <v:shadow on="t" color="#B2B2B2" offset="5pt,4pt" origin="0f,0f" matrix="65536f,0f,0f,65536f"/>
                <v:textbox inset="7.25pt,3.62496062992126pt,7.25pt,3.62496062992126pt">
                  <w:txbxContent>
                    <w:p w14:paraId="51BBBEB6">
                      <w:pPr>
                        <w:rPr>
                          <w:rFonts w:ascii="Arial" w:hAnsi="Arial"/>
                          <w:b/>
                          <w:lang w:val="zh-CN"/>
                        </w:rPr>
                      </w:pPr>
                      <w:r>
                        <w:rPr>
                          <w:rFonts w:hint="eastAsia"/>
                          <w:b/>
                        </w:rPr>
                        <w:t>等候维修料资时间为零子系统</w:t>
                      </w:r>
                    </w:p>
                  </w:txbxContent>
                </v:textbox>
              </v:roundrect>
            </w:pict>
          </mc:Fallback>
        </mc:AlternateContent>
      </w:r>
    </w:p>
    <w:p w14:paraId="587EC343">
      <w:pPr>
        <w:pStyle w:val="47"/>
        <w:spacing w:line="360" w:lineRule="auto"/>
        <w:rPr>
          <w:color w:val="000000"/>
        </w:rPr>
      </w:pPr>
    </w:p>
    <w:p w14:paraId="1215CC44">
      <w:pPr>
        <w:pStyle w:val="47"/>
        <w:spacing w:line="360" w:lineRule="auto"/>
        <w:rPr>
          <w:color w:val="000000"/>
        </w:rPr>
      </w:pPr>
    </w:p>
    <w:p w14:paraId="694A07E5">
      <w:pPr>
        <w:pStyle w:val="47"/>
        <w:spacing w:line="360" w:lineRule="auto"/>
        <w:rPr>
          <w:color w:val="000000"/>
        </w:rPr>
      </w:pPr>
      <w:r>
        <w:rPr>
          <w:rFonts w:hint="eastAsia"/>
          <w:color w:val="000000"/>
        </w:rPr>
        <w:t>(4) 信息管理的实施与改进</w:t>
      </w:r>
    </w:p>
    <w:p w14:paraId="581DC910">
      <w:pPr>
        <w:pStyle w:val="47"/>
        <w:spacing w:line="360" w:lineRule="auto"/>
        <w:ind w:firstLine="480" w:firstLineChars="200"/>
        <w:rPr>
          <w:color w:val="000000"/>
        </w:rPr>
      </w:pPr>
      <w:r>
        <w:rPr>
          <w:rFonts w:hint="eastAsia"/>
          <w:color w:val="000000"/>
        </w:rPr>
        <w:t>行政部从公司战略的高度，</w:t>
      </w:r>
      <w:r>
        <w:rPr>
          <w:rFonts w:hint="eastAsia" w:ascii="宋体" w:hAnsi="宋体"/>
          <w:color w:val="000000"/>
          <w:szCs w:val="28"/>
        </w:rPr>
        <w:t>按照“缩短时空，服务用户”的服务理念，构建高效、先进、可持续改进的信息管理平台，</w:t>
      </w:r>
      <w:r>
        <w:rPr>
          <w:rFonts w:hint="eastAsia"/>
          <w:color w:val="000000"/>
        </w:rPr>
        <w:t>组织实施信息管理工作：</w:t>
      </w:r>
    </w:p>
    <w:p w14:paraId="09B741BC">
      <w:pPr>
        <w:pStyle w:val="47"/>
        <w:spacing w:line="360" w:lineRule="auto"/>
        <w:ind w:firstLine="480" w:firstLineChars="200"/>
        <w:rPr>
          <w:color w:val="000000"/>
        </w:rPr>
      </w:pPr>
      <w:r>
        <w:rPr>
          <w:rFonts w:hint="eastAsia"/>
          <w:color w:val="000000"/>
        </w:rPr>
        <w:fldChar w:fldCharType="begin"/>
      </w:r>
      <w:r>
        <w:rPr>
          <w:rFonts w:hint="eastAsia"/>
          <w:color w:val="000000"/>
        </w:rPr>
        <w:instrText xml:space="preserve"> = 1 \* GB3 </w:instrText>
      </w:r>
      <w:r>
        <w:rPr>
          <w:rFonts w:hint="eastAsia"/>
          <w:color w:val="000000"/>
        </w:rPr>
        <w:fldChar w:fldCharType="separate"/>
      </w:r>
      <w:r>
        <w:rPr>
          <w:rFonts w:hint="eastAsia"/>
          <w:color w:val="000000"/>
        </w:rPr>
        <w:t>①</w:t>
      </w:r>
      <w:r>
        <w:rPr>
          <w:rFonts w:hint="eastAsia"/>
          <w:color w:val="000000"/>
        </w:rPr>
        <w:fldChar w:fldCharType="end"/>
      </w:r>
      <w:r>
        <w:rPr>
          <w:rFonts w:hint="eastAsia"/>
          <w:color w:val="000000"/>
        </w:rPr>
        <w:t xml:space="preserve"> 信息管理的实施</w:t>
      </w:r>
    </w:p>
    <w:p w14:paraId="56617162">
      <w:pPr>
        <w:pStyle w:val="47"/>
        <w:spacing w:line="360" w:lineRule="auto"/>
        <w:ind w:firstLine="480" w:firstLineChars="200"/>
        <w:rPr>
          <w:color w:val="000000"/>
        </w:rPr>
      </w:pPr>
      <w:r>
        <w:rPr>
          <w:rFonts w:hint="eastAsia"/>
          <w:color w:val="000000"/>
        </w:rPr>
        <w:t>● 构建各业务模块的业务规范、数据标准，重组规范业务流程操作。</w:t>
      </w:r>
    </w:p>
    <w:p w14:paraId="73479D42">
      <w:pPr>
        <w:pStyle w:val="47"/>
        <w:spacing w:line="360" w:lineRule="auto"/>
        <w:ind w:firstLine="480" w:firstLineChars="200"/>
        <w:rPr>
          <w:color w:val="000000"/>
        </w:rPr>
      </w:pPr>
      <w:r>
        <w:rPr>
          <w:rFonts w:hint="eastAsia"/>
          <w:color w:val="000000"/>
        </w:rPr>
        <w:t>● 利用软件的接口技术，开发系统集成程序，处理异构系统之间的业务信息传递。</w:t>
      </w:r>
    </w:p>
    <w:p w14:paraId="1D68D2F5">
      <w:pPr>
        <w:pStyle w:val="47"/>
        <w:spacing w:line="360" w:lineRule="auto"/>
        <w:ind w:firstLine="480" w:firstLineChars="200"/>
        <w:rPr>
          <w:color w:val="000000"/>
        </w:rPr>
      </w:pPr>
      <w:r>
        <w:rPr>
          <w:rFonts w:hint="eastAsia"/>
          <w:color w:val="000000"/>
        </w:rPr>
        <w:t>● 通改造硬件网络系统，进行扩容、增速，保证信息流畅；建立存储备份系统，规范备份策略，确保信息安全。</w:t>
      </w:r>
    </w:p>
    <w:p w14:paraId="5971BCB8">
      <w:pPr>
        <w:pStyle w:val="47"/>
        <w:spacing w:line="360" w:lineRule="auto"/>
        <w:ind w:firstLine="480" w:firstLineChars="200"/>
        <w:rPr>
          <w:color w:val="000000"/>
        </w:rPr>
      </w:pPr>
      <w:r>
        <w:rPr>
          <w:rFonts w:hint="eastAsia"/>
          <w:color w:val="000000"/>
        </w:rPr>
        <w:t>● 充分发挥INTERNET的优势，建立VPN，与全国经销商、供应商、客户实现联网对接和共享。</w:t>
      </w:r>
    </w:p>
    <w:p w14:paraId="7B61D620">
      <w:pPr>
        <w:pStyle w:val="47"/>
        <w:spacing w:line="360" w:lineRule="auto"/>
        <w:ind w:firstLine="480" w:firstLineChars="200"/>
        <w:rPr>
          <w:color w:val="000000"/>
        </w:rPr>
      </w:pPr>
      <w:r>
        <w:rPr>
          <w:rFonts w:hint="eastAsia"/>
          <w:color w:val="000000"/>
        </w:rPr>
        <w:fldChar w:fldCharType="begin"/>
      </w:r>
      <w:r>
        <w:rPr>
          <w:rFonts w:hint="eastAsia"/>
          <w:color w:val="000000"/>
        </w:rPr>
        <w:instrText xml:space="preserve"> = 2 \* GB3 </w:instrText>
      </w:r>
      <w:r>
        <w:rPr>
          <w:rFonts w:hint="eastAsia"/>
          <w:color w:val="000000"/>
        </w:rPr>
        <w:fldChar w:fldCharType="separate"/>
      </w:r>
      <w:r>
        <w:rPr>
          <w:rFonts w:hint="eastAsia"/>
          <w:color w:val="000000"/>
        </w:rPr>
        <w:t>②</w:t>
      </w:r>
      <w:r>
        <w:rPr>
          <w:rFonts w:hint="eastAsia"/>
          <w:color w:val="000000"/>
        </w:rPr>
        <w:fldChar w:fldCharType="end"/>
      </w:r>
      <w:r>
        <w:rPr>
          <w:rFonts w:hint="eastAsia"/>
          <w:color w:val="000000"/>
        </w:rPr>
        <w:t xml:space="preserve"> 过程评价与改进</w:t>
      </w:r>
    </w:p>
    <w:p w14:paraId="7360906B">
      <w:pPr>
        <w:pStyle w:val="47"/>
        <w:spacing w:line="360" w:lineRule="auto"/>
        <w:ind w:firstLine="480" w:firstLineChars="200"/>
        <w:rPr>
          <w:color w:val="000000"/>
        </w:rPr>
      </w:pPr>
      <w:r>
        <w:rPr>
          <w:rFonts w:hint="eastAsia"/>
          <w:color w:val="000000"/>
        </w:rPr>
        <w:t>基于信息管理的展开，确定信息管理的主要绩效测量指标和测量方法，并经过绩效管理平台分解至部门层面、操作层面。</w:t>
      </w:r>
    </w:p>
    <w:p w14:paraId="5A915061">
      <w:pPr>
        <w:pStyle w:val="47"/>
        <w:spacing w:line="360" w:lineRule="auto"/>
        <w:ind w:firstLine="480" w:firstLineChars="200"/>
        <w:rPr>
          <w:color w:val="000000"/>
        </w:rPr>
      </w:pPr>
      <w:r>
        <w:rPr>
          <w:rFonts w:hint="eastAsia"/>
          <w:color w:val="000000"/>
        </w:rPr>
        <w:t>结合业务需求进行分析，提出改进方案，利用系统的可配置功能改进业务执行效率、技术人员程序开发等方法实现流程改进，并将改进成果按公司知识管理的机制实现共享。</w:t>
      </w:r>
    </w:p>
    <w:p w14:paraId="13C58EA7">
      <w:pPr>
        <w:pStyle w:val="47"/>
        <w:spacing w:line="360" w:lineRule="auto"/>
        <w:ind w:firstLine="480" w:firstLineChars="200"/>
        <w:rPr>
          <w:color w:val="000000"/>
        </w:rPr>
      </w:pPr>
      <w:r>
        <w:rPr>
          <w:rFonts w:hint="eastAsia"/>
          <w:color w:val="000000"/>
        </w:rPr>
        <w:fldChar w:fldCharType="begin"/>
      </w:r>
      <w:r>
        <w:rPr>
          <w:rFonts w:hint="eastAsia"/>
          <w:color w:val="000000"/>
        </w:rPr>
        <w:instrText xml:space="preserve"> = 3 \* GB3 </w:instrText>
      </w:r>
      <w:r>
        <w:rPr>
          <w:rFonts w:hint="eastAsia"/>
          <w:color w:val="000000"/>
        </w:rPr>
        <w:fldChar w:fldCharType="separate"/>
      </w:r>
      <w:r>
        <w:rPr>
          <w:rFonts w:hint="eastAsia"/>
          <w:color w:val="000000"/>
        </w:rPr>
        <w:t>③</w:t>
      </w:r>
      <w:r>
        <w:rPr>
          <w:rFonts w:hint="eastAsia"/>
          <w:color w:val="000000"/>
        </w:rPr>
        <w:fldChar w:fldCharType="end"/>
      </w:r>
      <w:r>
        <w:rPr>
          <w:rFonts w:hint="eastAsia"/>
          <w:color w:val="000000"/>
        </w:rPr>
        <w:t xml:space="preserve"> 成本最小化</w:t>
      </w:r>
    </w:p>
    <w:p w14:paraId="1CFE6859">
      <w:pPr>
        <w:pStyle w:val="47"/>
        <w:spacing w:line="360" w:lineRule="auto"/>
        <w:ind w:firstLine="480" w:firstLineChars="200"/>
        <w:rPr>
          <w:color w:val="000000"/>
        </w:rPr>
      </w:pPr>
      <w:r>
        <w:rPr>
          <w:rFonts w:hint="eastAsia"/>
          <w:color w:val="000000"/>
        </w:rPr>
        <w:t>通过信息管理会议对整体成本进行了识别，主要包括：信息化（软、硬件）投资成本、信息系统使用和维护成本等，采取如下主要措施来实现成本最小化：</w:t>
      </w:r>
    </w:p>
    <w:p w14:paraId="66F5E357">
      <w:pPr>
        <w:pStyle w:val="47"/>
        <w:spacing w:line="360" w:lineRule="auto"/>
        <w:ind w:firstLine="480" w:firstLineChars="200"/>
        <w:rPr>
          <w:color w:val="000000"/>
        </w:rPr>
      </w:pPr>
      <w:r>
        <w:rPr>
          <w:rFonts w:hint="eastAsia"/>
          <w:color w:val="000000"/>
        </w:rPr>
        <w:t>● 严格评审信息化建设方案，控制投资成本；</w:t>
      </w:r>
    </w:p>
    <w:p w14:paraId="021F659D">
      <w:pPr>
        <w:pStyle w:val="47"/>
        <w:spacing w:line="360" w:lineRule="auto"/>
        <w:ind w:firstLine="480" w:firstLineChars="200"/>
        <w:rPr>
          <w:color w:val="000000"/>
        </w:rPr>
      </w:pPr>
      <w:r>
        <w:rPr>
          <w:rFonts w:hint="eastAsia"/>
          <w:color w:val="000000"/>
        </w:rPr>
        <w:t>● 出台公司信息管理的各种制度、流程规定，避免资源浪费；</w:t>
      </w:r>
    </w:p>
    <w:p w14:paraId="0989E5D2">
      <w:pPr>
        <w:pStyle w:val="47"/>
        <w:spacing w:line="360" w:lineRule="auto"/>
        <w:ind w:firstLine="480" w:firstLineChars="200"/>
        <w:rPr>
          <w:color w:val="000000"/>
        </w:rPr>
      </w:pPr>
      <w:r>
        <w:rPr>
          <w:rFonts w:hint="eastAsia"/>
          <w:color w:val="000000"/>
        </w:rPr>
        <w:t>● 建设专业维护队伍，降低信息系统</w:t>
      </w:r>
    </w:p>
    <w:p w14:paraId="0A425C19">
      <w:pPr>
        <w:pStyle w:val="35"/>
        <w:spacing w:before="156" w:beforeLines="50" w:after="156" w:afterLines="50"/>
        <w:rPr>
          <w:rFonts w:ascii="Cambria" w:hAnsi="Cambria"/>
        </w:rPr>
      </w:pPr>
      <w:r>
        <w:rPr>
          <w:rFonts w:hint="eastAsia" w:ascii="Cambria" w:hAnsi="Cambria"/>
        </w:rPr>
        <w:t>4.5.3.4 应急预案</w:t>
      </w:r>
    </w:p>
    <w:p w14:paraId="2ED3D509">
      <w:pPr>
        <w:pStyle w:val="47"/>
        <w:spacing w:line="360" w:lineRule="auto"/>
        <w:ind w:firstLine="480" w:firstLineChars="200"/>
        <w:rPr>
          <w:color w:val="000000"/>
        </w:rPr>
      </w:pPr>
      <w:r>
        <w:rPr>
          <w:rFonts w:hint="eastAsia"/>
          <w:color w:val="000000"/>
        </w:rPr>
        <w:t xml:space="preserve">公司贯彻落实“安全第一、预防为主、全员动手、综合治理”安全工作方针，强化消防安全管理，提高全员消防安全意识，掌握消防实战技能，制定有《应急准备和响应控制控制程序》，并定期组织实施应急演练。（详见图4.5.3-7） </w:t>
      </w:r>
    </w:p>
    <w:p w14:paraId="0FA07A11">
      <w:pPr>
        <w:pStyle w:val="47"/>
        <w:spacing w:line="360" w:lineRule="auto"/>
        <w:ind w:firstLine="480" w:firstLineChars="200"/>
        <w:rPr>
          <w:color w:val="000000"/>
        </w:rPr>
      </w:pPr>
    </w:p>
    <w:p w14:paraId="1A7788D0">
      <w:pPr>
        <w:pStyle w:val="47"/>
        <w:spacing w:line="360" w:lineRule="auto"/>
        <w:ind w:firstLine="480" w:firstLineChars="200"/>
        <w:rPr>
          <w:color w:val="000000"/>
        </w:rPr>
      </w:pPr>
    </w:p>
    <w:p w14:paraId="76C85499">
      <w:pPr>
        <w:pStyle w:val="47"/>
        <w:spacing w:line="360" w:lineRule="auto"/>
        <w:ind w:firstLine="480" w:firstLineChars="200"/>
        <w:rPr>
          <w:color w:val="000000"/>
        </w:rPr>
      </w:pPr>
    </w:p>
    <w:p w14:paraId="7E6264E5">
      <w:pPr>
        <w:pStyle w:val="47"/>
        <w:spacing w:line="360" w:lineRule="auto"/>
        <w:ind w:firstLine="480" w:firstLineChars="200"/>
        <w:rPr>
          <w:color w:val="000000"/>
        </w:rPr>
      </w:pPr>
    </w:p>
    <w:p w14:paraId="1FC59403">
      <w:pPr>
        <w:rPr>
          <w:color w:val="000000"/>
        </w:rPr>
      </w:pPr>
    </w:p>
    <w:p w14:paraId="79CC0370">
      <w:pPr>
        <w:pStyle w:val="10"/>
        <w:jc w:val="center"/>
        <w:rPr>
          <w:color w:val="000000"/>
        </w:rPr>
      </w:pPr>
      <w:r>
        <w:rPr>
          <w:rFonts w:hint="eastAsia" w:ascii="黑体" w:hAnsi="黑体" w:eastAsia="黑体"/>
          <w:b/>
          <w:bCs/>
          <w:color w:val="000000"/>
          <w:sz w:val="21"/>
        </w:rPr>
        <w:t xml:space="preserve">图4.5.3-7 </w:t>
      </w:r>
      <w:r>
        <w:rPr>
          <w:rFonts w:hint="eastAsia" w:ascii="黑体" w:hAnsi="黑体" w:eastAsia="黑体"/>
          <w:b/>
          <w:bCs/>
          <w:color w:val="000000"/>
          <w:sz w:val="21"/>
          <w:szCs w:val="28"/>
        </w:rPr>
        <w:t>应急预案</w:t>
      </w:r>
      <w:r>
        <w:rPr>
          <w:rFonts w:ascii="宋体" w:hAnsi="宋体" w:cs="宋体"/>
        </w:rPr>
        <w:drawing>
          <wp:inline distT="0" distB="0" distL="114300" distR="114300">
            <wp:extent cx="5733415" cy="6132830"/>
            <wp:effectExtent l="0" t="0" r="635" b="1270"/>
            <wp:docPr id="22" name="图片 34" descr="http://www.99zjw.cn/uploads/allimg/100312/1_10031210184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4" descr="http://www.99zjw.cn/uploads/allimg/100312/1_100312101847_1.JPG"/>
                    <pic:cNvPicPr>
                      <a:picLocks noChangeAspect="1"/>
                    </pic:cNvPicPr>
                  </pic:nvPicPr>
                  <pic:blipFill>
                    <a:blip r:embed="rId33" r:link="rId34"/>
                    <a:stretch>
                      <a:fillRect/>
                    </a:stretch>
                  </pic:blipFill>
                  <pic:spPr>
                    <a:xfrm>
                      <a:off x="0" y="0"/>
                      <a:ext cx="5733415" cy="6132830"/>
                    </a:xfrm>
                    <a:prstGeom prst="rect">
                      <a:avLst/>
                    </a:prstGeom>
                    <a:noFill/>
                    <a:ln>
                      <a:noFill/>
                    </a:ln>
                  </pic:spPr>
                </pic:pic>
              </a:graphicData>
            </a:graphic>
          </wp:inline>
        </w:drawing>
      </w:r>
    </w:p>
    <w:p w14:paraId="22ACE36A">
      <w:pPr>
        <w:pStyle w:val="3"/>
        <w:jc w:val="center"/>
      </w:pPr>
      <w:r>
        <w:rPr>
          <w:color w:val="000000"/>
        </w:rPr>
        <w:br w:type="page"/>
      </w:r>
      <w:bookmarkStart w:id="55" w:name="_Toc99720438"/>
      <w:r>
        <w:t>4.</w:t>
      </w:r>
      <w:r>
        <w:rPr>
          <w:rFonts w:hint="eastAsia"/>
        </w:rPr>
        <w:t>6测量、分析与改进</w:t>
      </w:r>
      <w:bookmarkEnd w:id="55"/>
    </w:p>
    <w:p w14:paraId="5D9D1992">
      <w:pPr>
        <w:pStyle w:val="32"/>
        <w:spacing w:before="312" w:beforeLines="100" w:after="312" w:afterLines="100" w:line="360" w:lineRule="auto"/>
        <w:rPr>
          <w:rFonts w:ascii="Times New Roman" w:eastAsia="宋体"/>
        </w:rPr>
      </w:pPr>
      <w:bookmarkStart w:id="56" w:name="_Toc99720439"/>
      <w:r>
        <w:rPr>
          <w:rFonts w:hint="eastAsia" w:ascii="Times New Roman" w:eastAsia="宋体"/>
        </w:rPr>
        <w:t>4.6.1总则</w:t>
      </w:r>
      <w:bookmarkEnd w:id="56"/>
    </w:p>
    <w:p w14:paraId="6EEADB7D">
      <w:pPr>
        <w:pStyle w:val="47"/>
        <w:spacing w:line="360" w:lineRule="auto"/>
        <w:ind w:firstLine="480" w:firstLineChars="200"/>
        <w:rPr>
          <w:color w:val="000000"/>
        </w:rPr>
      </w:pPr>
      <w:bookmarkStart w:id="57" w:name="_Toc401871393"/>
      <w:bookmarkStart w:id="58" w:name="_Toc339617483"/>
      <w:r>
        <w:rPr>
          <w:rFonts w:hint="eastAsia"/>
          <w:color w:val="000000"/>
        </w:rPr>
        <w:t>公司建立了以关键绩效指标（KPI）为主的绩效管理体系，进行数据和信息的选择、收集和分析，对公司、部门和岗位的绩效分别进行测量和分析，为战略制定和公司决策提供依据，及时响应政策、顾客与市场、相关方等外界环境的变化。</w:t>
      </w:r>
    </w:p>
    <w:p w14:paraId="42F3485D">
      <w:pPr>
        <w:pStyle w:val="47"/>
        <w:spacing w:line="360" w:lineRule="auto"/>
        <w:ind w:firstLine="480" w:firstLineChars="200"/>
        <w:rPr>
          <w:color w:val="000000"/>
        </w:rPr>
      </w:pPr>
      <w:r>
        <w:rPr>
          <w:rFonts w:hint="eastAsia"/>
          <w:color w:val="000000"/>
        </w:rPr>
        <w:t>公司建立健全信息和知识管理体系，通过以</w:t>
      </w:r>
      <w:r>
        <w:rPr>
          <w:rFonts w:hint="eastAsia"/>
          <w:color w:val="000000"/>
          <w:lang w:eastAsia="zh-CN"/>
        </w:rPr>
        <w:t>财物管理</w:t>
      </w:r>
      <w:r>
        <w:rPr>
          <w:rFonts w:hint="eastAsia"/>
          <w:color w:val="000000"/>
        </w:rPr>
        <w:t>及标准化体系为核心的知识管理体系，营造持续改进、创新和学习的氛围。</w:t>
      </w:r>
    </w:p>
    <w:p w14:paraId="0A2BFEAA">
      <w:pPr>
        <w:pStyle w:val="32"/>
        <w:spacing w:before="312" w:beforeLines="100" w:after="312" w:afterLines="100" w:line="360" w:lineRule="auto"/>
        <w:rPr>
          <w:rFonts w:ascii="Times New Roman" w:eastAsia="宋体"/>
        </w:rPr>
      </w:pPr>
      <w:bookmarkStart w:id="59" w:name="_Toc99720440"/>
      <w:r>
        <w:rPr>
          <w:rFonts w:ascii="Times New Roman" w:eastAsia="宋体"/>
        </w:rPr>
        <w:t>4.6.2</w:t>
      </w:r>
      <w:r>
        <w:rPr>
          <w:rFonts w:hint="eastAsia" w:ascii="Times New Roman" w:eastAsia="宋体"/>
        </w:rPr>
        <w:t>测量、分析和评价</w:t>
      </w:r>
      <w:bookmarkEnd w:id="57"/>
      <w:bookmarkEnd w:id="58"/>
      <w:bookmarkEnd w:id="59"/>
    </w:p>
    <w:p w14:paraId="54D5824B">
      <w:pPr>
        <w:rPr>
          <w:rFonts w:ascii="Cambria" w:hAnsi="Cambria"/>
          <w:b/>
          <w:bCs/>
          <w:sz w:val="28"/>
          <w:szCs w:val="28"/>
        </w:rPr>
      </w:pPr>
      <w:r>
        <w:rPr>
          <w:rFonts w:hint="eastAsia" w:ascii="Cambria" w:hAnsi="Cambria"/>
          <w:b/>
          <w:bCs/>
          <w:sz w:val="28"/>
          <w:szCs w:val="28"/>
        </w:rPr>
        <w:t>4.6.2.1提要</w:t>
      </w:r>
    </w:p>
    <w:p w14:paraId="1DF45C7A">
      <w:pPr>
        <w:spacing w:line="360" w:lineRule="auto"/>
        <w:ind w:firstLine="480" w:firstLineChars="200"/>
        <w:rPr>
          <w:szCs w:val="32"/>
        </w:rPr>
      </w:pPr>
      <w:r>
        <w:rPr>
          <w:rFonts w:hint="eastAsia"/>
          <w:szCs w:val="32"/>
        </w:rPr>
        <w:t>公司按照《年度目标分解》、《绩效管理制度》等规章制度，建立完善的绩效测量的分析系统。结合企业使命、愿景，以KPI为主线，围绕公司的发展战略发展方向，从产品和服务、顾客与市场绩效、财务绩效、人力资源绩效、内部过程绩效、组织的治理与社会责任绩效等六个方面来确定绩效测量指标。采用定性定量的方法进行测量、分析，按照PDCA改进模式，制定有效的改进或创新措施。配合各种管理系统有效实施，及时调整、改进各部门、各层次绩效指标，使公司得以持续发展，实现从量变到质变的跨越，实现从优秀到卓越的跨越。</w:t>
      </w:r>
    </w:p>
    <w:p w14:paraId="428C7702">
      <w:pPr>
        <w:pStyle w:val="5"/>
        <w:spacing w:after="0" w:line="377" w:lineRule="auto"/>
      </w:pPr>
      <w:r>
        <w:rPr>
          <w:rFonts w:hint="eastAsia"/>
        </w:rPr>
        <w:t>4.6.2.2 绩效测量</w:t>
      </w:r>
    </w:p>
    <w:p w14:paraId="21BE5488">
      <w:pPr>
        <w:pStyle w:val="6"/>
        <w:rPr>
          <w:sz w:val="24"/>
          <w:szCs w:val="24"/>
        </w:rPr>
      </w:pPr>
      <w:r>
        <w:rPr>
          <w:rFonts w:hint="eastAsia"/>
          <w:sz w:val="24"/>
          <w:szCs w:val="24"/>
        </w:rPr>
        <w:t>4.6.2.2.1选择、收集、整理数据和信息，监测日常运作及组织整体绩效</w:t>
      </w:r>
    </w:p>
    <w:p w14:paraId="1DBD9FDA">
      <w:pPr>
        <w:spacing w:line="360" w:lineRule="auto"/>
        <w:ind w:firstLine="480" w:firstLineChars="200"/>
        <w:rPr>
          <w:rFonts w:ascii="宋体" w:hAnsi="宋体" w:cs="宋体"/>
          <w:szCs w:val="32"/>
        </w:rPr>
      </w:pPr>
      <w:r>
        <w:rPr>
          <w:rFonts w:hint="eastAsia" w:ascii="宋体" w:hAnsi="宋体" w:cs="宋体"/>
          <w:szCs w:val="32"/>
        </w:rPr>
        <w:t>公司根据在</w:t>
      </w:r>
      <w:r>
        <w:rPr>
          <w:rFonts w:hint="eastAsia"/>
          <w:szCs w:val="32"/>
        </w:rPr>
        <w:t>战略规划</w:t>
      </w:r>
      <w:r>
        <w:rPr>
          <w:rFonts w:hint="eastAsia" w:ascii="宋体" w:hAnsi="宋体" w:cs="宋体"/>
          <w:szCs w:val="32"/>
        </w:rPr>
        <w:t>过程中确定的公司层次和部门层次的关键绩效指标体系以及测量频率来测量组织绩效，与绩效目标进行比较，支持改进。个人绩效的测量主要是通过人事行政部根据岗位要求制定相应的指标和目标，每月进行测量和评价，年底汇总形成年度员工绩效考核结果。</w:t>
      </w:r>
    </w:p>
    <w:p w14:paraId="0EAA3BC0">
      <w:pPr>
        <w:spacing w:line="360" w:lineRule="auto"/>
        <w:ind w:firstLine="480"/>
        <w:rPr>
          <w:rFonts w:ascii="宋体" w:hAnsi="宋体" w:cs="宋体"/>
          <w:szCs w:val="32"/>
        </w:rPr>
      </w:pPr>
      <w:r>
        <w:rPr>
          <w:rFonts w:hint="eastAsia" w:ascii="宋体" w:hAnsi="宋体" w:cs="宋体"/>
          <w:szCs w:val="32"/>
        </w:rPr>
        <w:t>公司的绩效测量是通过一套完整的综合管理信息系统来实现的，包括设计、采购、制造、销售、售后服务、质量、财务等若干子系统，从运营、服务、质量、收入、成本、利润等方面，监测经营绩效，提高管理水平。</w:t>
      </w:r>
    </w:p>
    <w:p w14:paraId="33C2E827">
      <w:pPr>
        <w:spacing w:line="360" w:lineRule="auto"/>
        <w:ind w:firstLine="480"/>
        <w:rPr>
          <w:rFonts w:ascii="黑体" w:hAnsi="黑体" w:eastAsia="黑体" w:cs="黑体"/>
          <w:b/>
          <w:bCs/>
        </w:rPr>
      </w:pPr>
      <w:r>
        <w:rPr>
          <w:rFonts w:hint="eastAsia" w:ascii="宋体" w:hAnsi="宋体" w:cs="宋体"/>
          <w:szCs w:val="32"/>
        </w:rPr>
        <w:t>公司对经营中产生的数据进行选择、整合，并对数据进行重组，进而实现多维分析、统计报表、即时查询、灵活报表等业务决策支持功能，产生对生产运营情况深层认识的分析报表，从而构造出基于数据库基础上的经营分析系统。经营分析系统主要涉及到对设计、生产、客户、营销等方面的数据，以便于各业务部门更好地了解生产能力及利用状况、客户需求和发展趋势，发现新的业务机会。公司在数据的选择、收集、整合数据和信息有系统、规范、严密的流程、方法和途径。见图4.6.2-1</w:t>
      </w:r>
    </w:p>
    <w:p w14:paraId="5750EADF">
      <w:pPr>
        <w:spacing w:line="360" w:lineRule="auto"/>
        <w:jc w:val="center"/>
        <w:rPr>
          <w:rFonts w:ascii="黑体" w:hAnsi="黑体" w:eastAsia="黑体" w:cs="黑体"/>
          <w:b/>
          <w:bCs/>
        </w:rPr>
      </w:pPr>
      <w:r>
        <w:rPr>
          <w:rFonts w:hint="eastAsia" w:ascii="黑体" w:hAnsi="黑体" w:eastAsia="黑体"/>
          <w:b/>
          <w:sz w:val="21"/>
          <w:szCs w:val="21"/>
        </w:rPr>
        <w:t>图4.6.2-1 数据的选择、收集、整合</w:t>
      </w:r>
    </w:p>
    <w:p w14:paraId="564F4A85">
      <w:pPr>
        <w:spacing w:line="360" w:lineRule="auto"/>
        <w:rPr>
          <w:rFonts w:ascii="宋体" w:hAnsi="宋体" w:cs="宋体"/>
        </w:rPr>
      </w:pPr>
      <w:r>
        <w:rPr>
          <w:rFonts w:ascii="宋体" w:hAnsi="宋体" w:cs="宋体"/>
        </w:rPr>
        <w:drawing>
          <wp:inline distT="0" distB="0" distL="114300" distR="114300">
            <wp:extent cx="5572125" cy="3876675"/>
            <wp:effectExtent l="0" t="0" r="9525" b="9525"/>
            <wp:docPr id="23"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32"/>
                    <pic:cNvPicPr>
                      <a:picLocks noChangeAspect="1"/>
                    </pic:cNvPicPr>
                  </pic:nvPicPr>
                  <pic:blipFill>
                    <a:blip r:embed="rId35"/>
                    <a:stretch>
                      <a:fillRect/>
                    </a:stretch>
                  </pic:blipFill>
                  <pic:spPr>
                    <a:xfrm>
                      <a:off x="0" y="0"/>
                      <a:ext cx="5572125" cy="3876675"/>
                    </a:xfrm>
                    <a:prstGeom prst="rect">
                      <a:avLst/>
                    </a:prstGeom>
                    <a:noFill/>
                    <a:ln>
                      <a:noFill/>
                    </a:ln>
                  </pic:spPr>
                </pic:pic>
              </a:graphicData>
            </a:graphic>
          </wp:inline>
        </w:drawing>
      </w:r>
    </w:p>
    <w:p w14:paraId="3AEAC488">
      <w:pPr>
        <w:spacing w:line="360" w:lineRule="auto"/>
        <w:ind w:firstLine="480" w:firstLineChars="200"/>
        <w:rPr>
          <w:szCs w:val="32"/>
        </w:rPr>
      </w:pPr>
      <w:r>
        <w:rPr>
          <w:rFonts w:hint="eastAsia"/>
          <w:szCs w:val="32"/>
        </w:rPr>
        <w:t>公司根据战略规划和发展方向，构建绩效评价指标体系，运用各种科学、有效的方法，测量、分析 、整理各部门及所有层次、过程的绩效数据和信息，对公司整体运营情况进行有效监测</w:t>
      </w:r>
      <w:r>
        <w:rPr>
          <w:rFonts w:hint="eastAsia" w:ascii="宋体" w:hAnsi="宋体"/>
          <w:szCs w:val="32"/>
        </w:rPr>
        <w:t>。见表4.6.2-1和表4.6.2-2。</w:t>
      </w:r>
    </w:p>
    <w:p w14:paraId="5B8264AE">
      <w:pPr>
        <w:autoSpaceDE w:val="0"/>
        <w:autoSpaceDN w:val="0"/>
        <w:spacing w:line="360" w:lineRule="auto"/>
        <w:jc w:val="center"/>
        <w:rPr>
          <w:rFonts w:ascii="黑体" w:hAnsi="黑体" w:eastAsia="黑体"/>
          <w:b/>
          <w:sz w:val="21"/>
          <w:szCs w:val="21"/>
        </w:rPr>
      </w:pPr>
    </w:p>
    <w:p w14:paraId="345D47CB">
      <w:pPr>
        <w:autoSpaceDE w:val="0"/>
        <w:autoSpaceDN w:val="0"/>
        <w:spacing w:line="360" w:lineRule="auto"/>
        <w:jc w:val="center"/>
        <w:rPr>
          <w:rFonts w:ascii="黑体" w:hAnsi="黑体" w:eastAsia="黑体"/>
          <w:b/>
          <w:sz w:val="21"/>
          <w:szCs w:val="21"/>
        </w:rPr>
      </w:pPr>
    </w:p>
    <w:p w14:paraId="799815C1">
      <w:pPr>
        <w:autoSpaceDE w:val="0"/>
        <w:autoSpaceDN w:val="0"/>
        <w:spacing w:line="360" w:lineRule="auto"/>
        <w:rPr>
          <w:rFonts w:ascii="黑体" w:hAnsi="黑体" w:eastAsia="黑体"/>
          <w:b/>
          <w:sz w:val="21"/>
          <w:szCs w:val="21"/>
        </w:rPr>
      </w:pPr>
    </w:p>
    <w:p w14:paraId="5A87733D">
      <w:pPr>
        <w:autoSpaceDE w:val="0"/>
        <w:autoSpaceDN w:val="0"/>
        <w:spacing w:line="360" w:lineRule="auto"/>
        <w:jc w:val="center"/>
        <w:rPr>
          <w:rFonts w:ascii="黑体" w:hAnsi="黑体" w:eastAsia="黑体"/>
          <w:b/>
          <w:sz w:val="21"/>
          <w:szCs w:val="21"/>
        </w:rPr>
      </w:pPr>
      <w:r>
        <w:rPr>
          <w:rFonts w:hint="eastAsia" w:ascii="黑体" w:hAnsi="黑体" w:eastAsia="黑体"/>
          <w:b/>
          <w:sz w:val="21"/>
          <w:szCs w:val="21"/>
        </w:rPr>
        <w:t>表4.6.2-1 公司绩效信息测量一览表</w:t>
      </w:r>
    </w:p>
    <w:tbl>
      <w:tblPr>
        <w:tblStyle w:val="22"/>
        <w:tblW w:w="946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31"/>
        <w:gridCol w:w="2188"/>
        <w:gridCol w:w="1559"/>
        <w:gridCol w:w="871"/>
        <w:gridCol w:w="711"/>
        <w:gridCol w:w="686"/>
        <w:gridCol w:w="709"/>
        <w:gridCol w:w="896"/>
        <w:gridCol w:w="1109"/>
      </w:tblGrid>
      <w:tr w14:paraId="47C091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7" w:hRule="atLeast"/>
          <w:tblHeader/>
          <w:jc w:val="center"/>
        </w:trPr>
        <w:tc>
          <w:tcPr>
            <w:tcW w:w="731" w:type="dxa"/>
            <w:vMerge w:val="restart"/>
            <w:tcBorders>
              <w:top w:val="double" w:color="auto" w:sz="4" w:space="0"/>
              <w:bottom w:val="single" w:color="auto" w:sz="6" w:space="0"/>
            </w:tcBorders>
            <w:shd w:val="clear" w:color="auto" w:fill="948A54"/>
            <w:vAlign w:val="center"/>
          </w:tcPr>
          <w:p w14:paraId="195CDB2E">
            <w:pPr>
              <w:jc w:val="center"/>
              <w:rPr>
                <w:rFonts w:ascii="宋体" w:hAnsi="宋体"/>
                <w:b/>
                <w:color w:val="FFFFFF"/>
                <w:kern w:val="2"/>
                <w:sz w:val="21"/>
                <w:szCs w:val="21"/>
              </w:rPr>
            </w:pPr>
            <w:r>
              <w:rPr>
                <w:rFonts w:hint="eastAsia" w:ascii="宋体" w:hAnsi="宋体"/>
                <w:b/>
                <w:color w:val="FFFFFF"/>
                <w:kern w:val="2"/>
                <w:sz w:val="21"/>
                <w:szCs w:val="21"/>
              </w:rPr>
              <w:t>类别</w:t>
            </w:r>
          </w:p>
        </w:tc>
        <w:tc>
          <w:tcPr>
            <w:tcW w:w="2188" w:type="dxa"/>
            <w:vMerge w:val="restart"/>
            <w:tcBorders>
              <w:top w:val="double" w:color="auto" w:sz="4" w:space="0"/>
              <w:bottom w:val="single" w:color="auto" w:sz="6" w:space="0"/>
            </w:tcBorders>
            <w:shd w:val="clear" w:color="auto" w:fill="948A54"/>
            <w:vAlign w:val="center"/>
          </w:tcPr>
          <w:p w14:paraId="1A513C65">
            <w:pPr>
              <w:jc w:val="center"/>
              <w:rPr>
                <w:rFonts w:ascii="宋体" w:hAnsi="宋体"/>
                <w:b/>
                <w:color w:val="FFFFFF"/>
                <w:kern w:val="2"/>
                <w:sz w:val="21"/>
                <w:szCs w:val="21"/>
              </w:rPr>
            </w:pPr>
            <w:r>
              <w:rPr>
                <w:rFonts w:hint="eastAsia" w:ascii="宋体" w:hAnsi="宋体"/>
                <w:b/>
                <w:color w:val="FFFFFF"/>
                <w:kern w:val="2"/>
                <w:sz w:val="21"/>
                <w:szCs w:val="21"/>
              </w:rPr>
              <w:t>测量指标</w:t>
            </w:r>
          </w:p>
        </w:tc>
        <w:tc>
          <w:tcPr>
            <w:tcW w:w="1559" w:type="dxa"/>
            <w:vMerge w:val="restart"/>
            <w:tcBorders>
              <w:top w:val="double" w:color="auto" w:sz="4" w:space="0"/>
              <w:bottom w:val="single" w:color="auto" w:sz="6" w:space="0"/>
            </w:tcBorders>
            <w:shd w:val="clear" w:color="auto" w:fill="948A54"/>
            <w:vAlign w:val="center"/>
          </w:tcPr>
          <w:p w14:paraId="3986A983">
            <w:pPr>
              <w:jc w:val="center"/>
              <w:rPr>
                <w:rFonts w:ascii="宋体" w:hAnsi="宋体"/>
                <w:b/>
                <w:color w:val="FFFFFF"/>
                <w:kern w:val="2"/>
                <w:sz w:val="21"/>
                <w:szCs w:val="21"/>
              </w:rPr>
            </w:pPr>
            <w:r>
              <w:rPr>
                <w:rFonts w:hint="eastAsia" w:ascii="宋体" w:hAnsi="宋体"/>
                <w:b/>
                <w:color w:val="FFFFFF"/>
                <w:kern w:val="2"/>
                <w:sz w:val="21"/>
                <w:szCs w:val="21"/>
              </w:rPr>
              <w:t>数据来源</w:t>
            </w:r>
          </w:p>
        </w:tc>
        <w:tc>
          <w:tcPr>
            <w:tcW w:w="2268" w:type="dxa"/>
            <w:gridSpan w:val="3"/>
            <w:tcBorders>
              <w:top w:val="double" w:color="auto" w:sz="4" w:space="0"/>
              <w:bottom w:val="single" w:color="auto" w:sz="6" w:space="0"/>
            </w:tcBorders>
            <w:shd w:val="clear" w:color="auto" w:fill="948A54"/>
            <w:vAlign w:val="center"/>
          </w:tcPr>
          <w:p w14:paraId="7E21D09E">
            <w:pPr>
              <w:jc w:val="center"/>
              <w:rPr>
                <w:rFonts w:ascii="宋体" w:hAnsi="宋体"/>
                <w:b/>
                <w:color w:val="FFFFFF"/>
                <w:kern w:val="2"/>
                <w:sz w:val="21"/>
                <w:szCs w:val="21"/>
              </w:rPr>
            </w:pPr>
            <w:r>
              <w:rPr>
                <w:rFonts w:hint="eastAsia" w:ascii="宋体" w:hAnsi="宋体"/>
                <w:b/>
                <w:color w:val="FFFFFF"/>
                <w:kern w:val="2"/>
                <w:sz w:val="21"/>
                <w:szCs w:val="21"/>
              </w:rPr>
              <w:t>数据收集</w:t>
            </w:r>
          </w:p>
        </w:tc>
        <w:tc>
          <w:tcPr>
            <w:tcW w:w="709" w:type="dxa"/>
            <w:vMerge w:val="restart"/>
            <w:tcBorders>
              <w:top w:val="double" w:color="auto" w:sz="4" w:space="0"/>
              <w:bottom w:val="single" w:color="auto" w:sz="6" w:space="0"/>
            </w:tcBorders>
            <w:shd w:val="clear" w:color="auto" w:fill="948A54"/>
            <w:vAlign w:val="center"/>
          </w:tcPr>
          <w:p w14:paraId="724D28EB">
            <w:pPr>
              <w:jc w:val="center"/>
              <w:rPr>
                <w:rFonts w:ascii="宋体" w:hAnsi="宋体"/>
                <w:b/>
                <w:color w:val="FFFFFF"/>
                <w:kern w:val="2"/>
                <w:sz w:val="21"/>
                <w:szCs w:val="21"/>
              </w:rPr>
            </w:pPr>
            <w:r>
              <w:rPr>
                <w:rFonts w:hint="eastAsia" w:ascii="宋体" w:hAnsi="宋体"/>
                <w:b/>
                <w:color w:val="FFFFFF"/>
                <w:kern w:val="2"/>
                <w:sz w:val="21"/>
                <w:szCs w:val="21"/>
              </w:rPr>
              <w:t>校准平台</w:t>
            </w:r>
          </w:p>
        </w:tc>
        <w:tc>
          <w:tcPr>
            <w:tcW w:w="896" w:type="dxa"/>
            <w:vMerge w:val="restart"/>
            <w:tcBorders>
              <w:top w:val="double" w:color="auto" w:sz="4" w:space="0"/>
              <w:bottom w:val="single" w:color="auto" w:sz="6" w:space="0"/>
            </w:tcBorders>
            <w:shd w:val="clear" w:color="auto" w:fill="948A54"/>
            <w:vAlign w:val="center"/>
          </w:tcPr>
          <w:p w14:paraId="1527B264">
            <w:pPr>
              <w:jc w:val="center"/>
              <w:rPr>
                <w:rFonts w:ascii="宋体" w:hAnsi="宋体"/>
                <w:b/>
                <w:color w:val="FFFFFF"/>
                <w:kern w:val="2"/>
                <w:sz w:val="21"/>
                <w:szCs w:val="21"/>
              </w:rPr>
            </w:pPr>
            <w:r>
              <w:rPr>
                <w:rFonts w:hint="eastAsia" w:ascii="宋体" w:hAnsi="宋体"/>
                <w:b/>
                <w:color w:val="FFFFFF"/>
                <w:kern w:val="2"/>
                <w:sz w:val="21"/>
                <w:szCs w:val="21"/>
              </w:rPr>
              <w:t>整合方式</w:t>
            </w:r>
          </w:p>
        </w:tc>
        <w:tc>
          <w:tcPr>
            <w:tcW w:w="1109" w:type="dxa"/>
            <w:vMerge w:val="restart"/>
            <w:tcBorders>
              <w:top w:val="double" w:color="auto" w:sz="4" w:space="0"/>
              <w:bottom w:val="single" w:color="auto" w:sz="6" w:space="0"/>
            </w:tcBorders>
            <w:shd w:val="clear" w:color="auto" w:fill="948A54"/>
            <w:vAlign w:val="center"/>
          </w:tcPr>
          <w:p w14:paraId="2EF352E9">
            <w:pPr>
              <w:jc w:val="center"/>
              <w:rPr>
                <w:rFonts w:ascii="宋体" w:hAnsi="宋体"/>
                <w:b/>
                <w:color w:val="FFFFFF"/>
                <w:kern w:val="2"/>
                <w:sz w:val="21"/>
                <w:szCs w:val="21"/>
              </w:rPr>
            </w:pPr>
            <w:r>
              <w:rPr>
                <w:rFonts w:hint="eastAsia" w:ascii="宋体" w:hAnsi="宋体"/>
                <w:b/>
                <w:color w:val="FFFFFF"/>
                <w:kern w:val="2"/>
                <w:sz w:val="21"/>
                <w:szCs w:val="21"/>
              </w:rPr>
              <w:t>综合整理部门</w:t>
            </w:r>
          </w:p>
        </w:tc>
      </w:tr>
      <w:tr w14:paraId="591C84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5" w:hRule="atLeast"/>
          <w:tblHeader/>
          <w:jc w:val="center"/>
        </w:trPr>
        <w:tc>
          <w:tcPr>
            <w:tcW w:w="731" w:type="dxa"/>
            <w:vMerge w:val="continue"/>
            <w:tcBorders>
              <w:top w:val="single" w:color="auto" w:sz="6" w:space="0"/>
            </w:tcBorders>
            <w:shd w:val="clear" w:color="auto" w:fill="auto"/>
            <w:vAlign w:val="center"/>
          </w:tcPr>
          <w:p w14:paraId="419717AD">
            <w:pPr>
              <w:rPr>
                <w:rFonts w:ascii="宋体" w:hAnsi="宋体" w:cs="宋体"/>
                <w:b/>
                <w:bCs/>
                <w:color w:val="FFFFFF"/>
                <w:kern w:val="2"/>
                <w:sz w:val="21"/>
                <w:szCs w:val="21"/>
              </w:rPr>
            </w:pPr>
          </w:p>
        </w:tc>
        <w:tc>
          <w:tcPr>
            <w:tcW w:w="2188" w:type="dxa"/>
            <w:vMerge w:val="continue"/>
            <w:tcBorders>
              <w:top w:val="single" w:color="auto" w:sz="6" w:space="0"/>
            </w:tcBorders>
            <w:shd w:val="clear" w:color="auto" w:fill="auto"/>
            <w:vAlign w:val="center"/>
          </w:tcPr>
          <w:p w14:paraId="5C7419F8">
            <w:pPr>
              <w:rPr>
                <w:rFonts w:ascii="宋体" w:hAnsi="宋体" w:cs="宋体"/>
                <w:b/>
                <w:bCs/>
                <w:color w:val="FFFFFF"/>
                <w:kern w:val="2"/>
                <w:sz w:val="21"/>
                <w:szCs w:val="21"/>
              </w:rPr>
            </w:pPr>
          </w:p>
        </w:tc>
        <w:tc>
          <w:tcPr>
            <w:tcW w:w="1559" w:type="dxa"/>
            <w:vMerge w:val="continue"/>
            <w:tcBorders>
              <w:top w:val="single" w:color="auto" w:sz="6" w:space="0"/>
            </w:tcBorders>
            <w:shd w:val="clear" w:color="auto" w:fill="auto"/>
            <w:vAlign w:val="center"/>
          </w:tcPr>
          <w:p w14:paraId="6D151BED">
            <w:pPr>
              <w:rPr>
                <w:rFonts w:ascii="宋体" w:hAnsi="宋体" w:cs="宋体"/>
                <w:b/>
                <w:bCs/>
                <w:color w:val="FFFFFF"/>
                <w:kern w:val="2"/>
                <w:sz w:val="21"/>
                <w:szCs w:val="21"/>
              </w:rPr>
            </w:pPr>
          </w:p>
        </w:tc>
        <w:tc>
          <w:tcPr>
            <w:tcW w:w="871" w:type="dxa"/>
            <w:tcBorders>
              <w:top w:val="single" w:color="auto" w:sz="6" w:space="0"/>
              <w:bottom w:val="single" w:color="auto" w:sz="6" w:space="0"/>
            </w:tcBorders>
            <w:shd w:val="clear" w:color="auto" w:fill="948A54"/>
            <w:vAlign w:val="center"/>
          </w:tcPr>
          <w:p w14:paraId="5DDD5552">
            <w:pPr>
              <w:jc w:val="center"/>
              <w:rPr>
                <w:rFonts w:ascii="宋体" w:hAnsi="宋体"/>
                <w:b/>
                <w:color w:val="FFFFFF"/>
                <w:kern w:val="2"/>
                <w:sz w:val="21"/>
                <w:szCs w:val="21"/>
              </w:rPr>
            </w:pPr>
            <w:r>
              <w:rPr>
                <w:rFonts w:hint="eastAsia" w:ascii="宋体" w:hAnsi="宋体"/>
                <w:b/>
                <w:color w:val="FFFFFF"/>
                <w:kern w:val="2"/>
                <w:sz w:val="21"/>
                <w:szCs w:val="21"/>
              </w:rPr>
              <w:t>收集部门</w:t>
            </w:r>
          </w:p>
        </w:tc>
        <w:tc>
          <w:tcPr>
            <w:tcW w:w="711" w:type="dxa"/>
            <w:tcBorders>
              <w:top w:val="single" w:color="auto" w:sz="6" w:space="0"/>
              <w:bottom w:val="single" w:color="auto" w:sz="6" w:space="0"/>
            </w:tcBorders>
            <w:shd w:val="clear" w:color="auto" w:fill="948A54"/>
            <w:vAlign w:val="center"/>
          </w:tcPr>
          <w:p w14:paraId="0F1F1F4E">
            <w:pPr>
              <w:jc w:val="center"/>
              <w:rPr>
                <w:rFonts w:ascii="宋体" w:hAnsi="宋体"/>
                <w:b/>
                <w:color w:val="FFFFFF"/>
                <w:kern w:val="2"/>
                <w:sz w:val="21"/>
                <w:szCs w:val="21"/>
              </w:rPr>
            </w:pPr>
            <w:r>
              <w:rPr>
                <w:rFonts w:hint="eastAsia" w:ascii="宋体" w:hAnsi="宋体"/>
                <w:b/>
                <w:color w:val="FFFFFF"/>
                <w:kern w:val="2"/>
                <w:sz w:val="21"/>
                <w:szCs w:val="21"/>
              </w:rPr>
              <w:t>测量周期</w:t>
            </w:r>
          </w:p>
        </w:tc>
        <w:tc>
          <w:tcPr>
            <w:tcW w:w="686" w:type="dxa"/>
            <w:tcBorders>
              <w:top w:val="single" w:color="auto" w:sz="6" w:space="0"/>
              <w:bottom w:val="single" w:color="auto" w:sz="6" w:space="0"/>
            </w:tcBorders>
            <w:shd w:val="clear" w:color="auto" w:fill="948A54"/>
            <w:vAlign w:val="center"/>
          </w:tcPr>
          <w:p w14:paraId="3800B81F">
            <w:pPr>
              <w:jc w:val="center"/>
              <w:rPr>
                <w:rFonts w:ascii="宋体" w:hAnsi="宋体"/>
                <w:b/>
                <w:color w:val="FFFFFF"/>
                <w:kern w:val="2"/>
                <w:sz w:val="21"/>
                <w:szCs w:val="21"/>
              </w:rPr>
            </w:pPr>
            <w:r>
              <w:rPr>
                <w:rFonts w:hint="eastAsia" w:ascii="宋体" w:hAnsi="宋体"/>
                <w:b/>
                <w:color w:val="FFFFFF"/>
                <w:kern w:val="2"/>
                <w:sz w:val="21"/>
                <w:szCs w:val="21"/>
              </w:rPr>
              <w:t>分析评审</w:t>
            </w:r>
          </w:p>
        </w:tc>
        <w:tc>
          <w:tcPr>
            <w:tcW w:w="709" w:type="dxa"/>
            <w:vMerge w:val="continue"/>
            <w:tcBorders>
              <w:top w:val="single" w:color="auto" w:sz="6" w:space="0"/>
            </w:tcBorders>
            <w:vAlign w:val="center"/>
          </w:tcPr>
          <w:p w14:paraId="0EA44D5D">
            <w:pPr>
              <w:rPr>
                <w:rFonts w:ascii="宋体" w:hAnsi="宋体" w:cs="宋体"/>
                <w:b/>
                <w:bCs/>
                <w:color w:val="FFFFFF"/>
                <w:kern w:val="2"/>
                <w:sz w:val="21"/>
                <w:szCs w:val="21"/>
              </w:rPr>
            </w:pPr>
          </w:p>
        </w:tc>
        <w:tc>
          <w:tcPr>
            <w:tcW w:w="896" w:type="dxa"/>
            <w:vMerge w:val="continue"/>
            <w:tcBorders>
              <w:top w:val="single" w:color="auto" w:sz="6" w:space="0"/>
            </w:tcBorders>
            <w:vAlign w:val="center"/>
          </w:tcPr>
          <w:p w14:paraId="5038A2EE">
            <w:pPr>
              <w:rPr>
                <w:rFonts w:ascii="宋体" w:hAnsi="宋体" w:cs="宋体"/>
                <w:b/>
                <w:bCs/>
                <w:color w:val="FFFFFF"/>
                <w:kern w:val="2"/>
                <w:sz w:val="21"/>
                <w:szCs w:val="21"/>
              </w:rPr>
            </w:pPr>
          </w:p>
        </w:tc>
        <w:tc>
          <w:tcPr>
            <w:tcW w:w="1109" w:type="dxa"/>
            <w:vMerge w:val="continue"/>
            <w:tcBorders>
              <w:top w:val="single" w:color="auto" w:sz="6" w:space="0"/>
            </w:tcBorders>
            <w:vAlign w:val="center"/>
          </w:tcPr>
          <w:p w14:paraId="27CF5C81">
            <w:pPr>
              <w:rPr>
                <w:rFonts w:ascii="宋体" w:hAnsi="宋体" w:cs="宋体"/>
                <w:b/>
                <w:bCs/>
                <w:color w:val="FFFFFF"/>
                <w:kern w:val="2"/>
                <w:sz w:val="21"/>
                <w:szCs w:val="21"/>
              </w:rPr>
            </w:pPr>
          </w:p>
        </w:tc>
      </w:tr>
      <w:tr w14:paraId="3952BB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6" w:hRule="atLeast"/>
          <w:jc w:val="center"/>
        </w:trPr>
        <w:tc>
          <w:tcPr>
            <w:tcW w:w="731" w:type="dxa"/>
            <w:vMerge w:val="restart"/>
            <w:shd w:val="clear" w:color="auto" w:fill="FFFFFF"/>
            <w:vAlign w:val="center"/>
          </w:tcPr>
          <w:p w14:paraId="361D82F5">
            <w:pPr>
              <w:jc w:val="center"/>
              <w:rPr>
                <w:rFonts w:ascii="宋体" w:hAnsi="宋体" w:cs="宋体"/>
                <w:kern w:val="2"/>
                <w:sz w:val="21"/>
                <w:szCs w:val="21"/>
              </w:rPr>
            </w:pPr>
            <w:r>
              <w:rPr>
                <w:rFonts w:hint="eastAsia" w:ascii="宋体" w:hAnsi="宋体" w:cs="宋体"/>
                <w:kern w:val="2"/>
                <w:sz w:val="21"/>
                <w:szCs w:val="21"/>
              </w:rPr>
              <w:t>产品和服务</w:t>
            </w:r>
          </w:p>
        </w:tc>
        <w:tc>
          <w:tcPr>
            <w:tcW w:w="2188" w:type="dxa"/>
            <w:shd w:val="clear" w:color="auto" w:fill="FFFFFF"/>
            <w:vAlign w:val="center"/>
          </w:tcPr>
          <w:p w14:paraId="2535B63D">
            <w:pPr>
              <w:rPr>
                <w:rFonts w:ascii="宋体" w:hAnsi="宋体" w:cs="宋体"/>
                <w:kern w:val="2"/>
                <w:sz w:val="21"/>
                <w:szCs w:val="21"/>
              </w:rPr>
            </w:pPr>
            <w:r>
              <w:rPr>
                <w:rFonts w:hint="eastAsia" w:ascii="宋体" w:hAnsi="宋体" w:cs="宋体"/>
                <w:kern w:val="2"/>
                <w:sz w:val="21"/>
                <w:szCs w:val="21"/>
              </w:rPr>
              <w:t>销售量、售量增长率、产品准时交付率</w:t>
            </w:r>
          </w:p>
        </w:tc>
        <w:tc>
          <w:tcPr>
            <w:tcW w:w="1559" w:type="dxa"/>
            <w:shd w:val="clear" w:color="auto" w:fill="FFFFFF"/>
            <w:vAlign w:val="center"/>
          </w:tcPr>
          <w:p w14:paraId="189D15B5">
            <w:pPr>
              <w:rPr>
                <w:rFonts w:ascii="宋体" w:hAnsi="宋体" w:cs="宋体"/>
                <w:kern w:val="2"/>
                <w:sz w:val="21"/>
                <w:szCs w:val="21"/>
              </w:rPr>
            </w:pPr>
            <w:r>
              <w:rPr>
                <w:rFonts w:hint="eastAsia" w:ascii="宋体" w:hAnsi="宋体" w:cs="宋体"/>
                <w:kern w:val="2"/>
                <w:sz w:val="21"/>
                <w:szCs w:val="21"/>
              </w:rPr>
              <w:t>顾客数据平台、统计月表</w:t>
            </w:r>
          </w:p>
        </w:tc>
        <w:tc>
          <w:tcPr>
            <w:tcW w:w="871" w:type="dxa"/>
            <w:tcBorders>
              <w:top w:val="single" w:color="auto" w:sz="6" w:space="0"/>
            </w:tcBorders>
            <w:shd w:val="clear" w:color="auto" w:fill="FFFFFF"/>
            <w:vAlign w:val="center"/>
          </w:tcPr>
          <w:p w14:paraId="5D568889">
            <w:pPr>
              <w:jc w:val="center"/>
              <w:rPr>
                <w:rFonts w:ascii="宋体" w:hAnsi="宋体" w:cs="宋体"/>
                <w:kern w:val="2"/>
                <w:sz w:val="21"/>
                <w:szCs w:val="21"/>
              </w:rPr>
            </w:pPr>
            <w:r>
              <w:rPr>
                <w:rFonts w:hint="eastAsia" w:ascii="宋体" w:hAnsi="宋体" w:cs="宋体"/>
                <w:kern w:val="2"/>
                <w:sz w:val="21"/>
                <w:szCs w:val="21"/>
              </w:rPr>
              <w:t>销售部</w:t>
            </w:r>
          </w:p>
        </w:tc>
        <w:tc>
          <w:tcPr>
            <w:tcW w:w="711" w:type="dxa"/>
            <w:tcBorders>
              <w:top w:val="single" w:color="auto" w:sz="6" w:space="0"/>
            </w:tcBorders>
            <w:shd w:val="clear" w:color="auto" w:fill="FFFFFF"/>
            <w:noWrap/>
            <w:vAlign w:val="center"/>
          </w:tcPr>
          <w:p w14:paraId="5BC0CA0F">
            <w:pPr>
              <w:jc w:val="center"/>
              <w:rPr>
                <w:rFonts w:ascii="宋体" w:hAnsi="宋体" w:cs="宋体"/>
                <w:kern w:val="2"/>
                <w:sz w:val="21"/>
                <w:szCs w:val="21"/>
              </w:rPr>
            </w:pPr>
            <w:r>
              <w:rPr>
                <w:rFonts w:hint="eastAsia" w:ascii="宋体" w:hAnsi="宋体" w:cs="宋体"/>
                <w:kern w:val="2"/>
                <w:sz w:val="21"/>
                <w:szCs w:val="21"/>
              </w:rPr>
              <w:t>月</w:t>
            </w:r>
          </w:p>
        </w:tc>
        <w:tc>
          <w:tcPr>
            <w:tcW w:w="686" w:type="dxa"/>
            <w:tcBorders>
              <w:top w:val="single" w:color="auto" w:sz="6" w:space="0"/>
            </w:tcBorders>
            <w:shd w:val="clear" w:color="auto" w:fill="FFFFFF"/>
            <w:noWrap/>
            <w:vAlign w:val="center"/>
          </w:tcPr>
          <w:p w14:paraId="0E147692">
            <w:pPr>
              <w:jc w:val="center"/>
              <w:rPr>
                <w:rFonts w:ascii="宋体" w:hAnsi="宋体" w:cs="宋体"/>
                <w:kern w:val="2"/>
                <w:sz w:val="21"/>
                <w:szCs w:val="21"/>
              </w:rPr>
            </w:pPr>
            <w:r>
              <w:rPr>
                <w:rFonts w:hint="eastAsia" w:ascii="宋体" w:hAnsi="宋体" w:cs="宋体"/>
                <w:kern w:val="2"/>
                <w:sz w:val="21"/>
                <w:szCs w:val="21"/>
              </w:rPr>
              <w:t>月</w:t>
            </w:r>
          </w:p>
        </w:tc>
        <w:tc>
          <w:tcPr>
            <w:tcW w:w="709" w:type="dxa"/>
            <w:vMerge w:val="restart"/>
            <w:shd w:val="clear" w:color="auto" w:fill="FFFFFF"/>
            <w:vAlign w:val="center"/>
          </w:tcPr>
          <w:p w14:paraId="42157FB4">
            <w:pPr>
              <w:rPr>
                <w:rFonts w:ascii="宋体" w:hAnsi="宋体" w:cs="宋体"/>
                <w:kern w:val="2"/>
                <w:sz w:val="21"/>
                <w:szCs w:val="21"/>
              </w:rPr>
            </w:pPr>
            <w:r>
              <w:rPr>
                <w:rFonts w:hint="eastAsia" w:ascii="宋体" w:hAnsi="宋体" w:cs="宋体"/>
                <w:kern w:val="2"/>
                <w:sz w:val="21"/>
                <w:szCs w:val="21"/>
              </w:rPr>
              <w:t>各级绩效评审</w:t>
            </w:r>
          </w:p>
        </w:tc>
        <w:tc>
          <w:tcPr>
            <w:tcW w:w="896" w:type="dxa"/>
            <w:vMerge w:val="restart"/>
            <w:shd w:val="clear" w:color="auto" w:fill="FFFFFF"/>
            <w:vAlign w:val="center"/>
          </w:tcPr>
          <w:p w14:paraId="4DD0ECDD">
            <w:pPr>
              <w:rPr>
                <w:rFonts w:ascii="宋体" w:hAnsi="宋体" w:cs="宋体"/>
                <w:kern w:val="2"/>
                <w:sz w:val="21"/>
                <w:szCs w:val="21"/>
              </w:rPr>
            </w:pPr>
            <w:r>
              <w:rPr>
                <w:rFonts w:hint="eastAsia" w:ascii="宋体" w:hAnsi="宋体" w:cs="宋体"/>
                <w:kern w:val="2"/>
                <w:sz w:val="21"/>
                <w:szCs w:val="21"/>
              </w:rPr>
              <w:t>会议、研讨、内部联络单等</w:t>
            </w:r>
          </w:p>
        </w:tc>
        <w:tc>
          <w:tcPr>
            <w:tcW w:w="1109" w:type="dxa"/>
            <w:shd w:val="clear" w:color="auto" w:fill="FFFFFF"/>
            <w:vAlign w:val="center"/>
          </w:tcPr>
          <w:p w14:paraId="631BB745">
            <w:pPr>
              <w:rPr>
                <w:rFonts w:ascii="宋体" w:hAnsi="宋体" w:cs="宋体"/>
                <w:kern w:val="2"/>
                <w:sz w:val="21"/>
                <w:szCs w:val="21"/>
              </w:rPr>
            </w:pPr>
            <w:r>
              <w:rPr>
                <w:rFonts w:hint="eastAsia" w:ascii="宋体" w:hAnsi="宋体" w:cs="宋体"/>
                <w:kern w:val="2"/>
                <w:sz w:val="21"/>
                <w:szCs w:val="21"/>
              </w:rPr>
              <w:t>销售部</w:t>
            </w:r>
          </w:p>
        </w:tc>
      </w:tr>
      <w:tr w14:paraId="37D3A7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31" w:type="dxa"/>
            <w:vMerge w:val="continue"/>
            <w:shd w:val="clear" w:color="auto" w:fill="FFFFFF"/>
            <w:vAlign w:val="center"/>
          </w:tcPr>
          <w:p w14:paraId="35FDF968">
            <w:pPr>
              <w:jc w:val="center"/>
              <w:rPr>
                <w:rFonts w:ascii="宋体" w:hAnsi="宋体" w:cs="宋体"/>
                <w:kern w:val="2"/>
                <w:sz w:val="21"/>
                <w:szCs w:val="21"/>
              </w:rPr>
            </w:pPr>
          </w:p>
        </w:tc>
        <w:tc>
          <w:tcPr>
            <w:tcW w:w="2188" w:type="dxa"/>
            <w:shd w:val="clear" w:color="auto" w:fill="FFFFFF"/>
            <w:vAlign w:val="center"/>
          </w:tcPr>
          <w:p w14:paraId="6B55E8BD">
            <w:pPr>
              <w:rPr>
                <w:rFonts w:ascii="宋体" w:hAnsi="宋体" w:cs="宋体"/>
                <w:kern w:val="2"/>
                <w:sz w:val="21"/>
                <w:szCs w:val="21"/>
              </w:rPr>
            </w:pPr>
            <w:r>
              <w:rPr>
                <w:rFonts w:hint="eastAsia" w:ascii="宋体" w:hAnsi="宋体" w:cs="宋体"/>
                <w:kern w:val="2"/>
                <w:sz w:val="21"/>
                <w:szCs w:val="21"/>
              </w:rPr>
              <w:t>顾客投诉及时响应率、售后响应速度的满意度</w:t>
            </w:r>
          </w:p>
        </w:tc>
        <w:tc>
          <w:tcPr>
            <w:tcW w:w="1559" w:type="dxa"/>
            <w:shd w:val="clear" w:color="auto" w:fill="FFFFFF"/>
            <w:vAlign w:val="center"/>
          </w:tcPr>
          <w:p w14:paraId="59CE9252">
            <w:pPr>
              <w:rPr>
                <w:rFonts w:ascii="宋体" w:hAnsi="宋体" w:cs="宋体"/>
                <w:kern w:val="2"/>
                <w:sz w:val="21"/>
                <w:szCs w:val="21"/>
              </w:rPr>
            </w:pPr>
            <w:r>
              <w:rPr>
                <w:rFonts w:hint="eastAsia" w:ascii="宋体" w:hAnsi="宋体" w:cs="宋体"/>
                <w:kern w:val="2"/>
                <w:sz w:val="21"/>
                <w:szCs w:val="21"/>
              </w:rPr>
              <w:t>统计月表</w:t>
            </w:r>
          </w:p>
        </w:tc>
        <w:tc>
          <w:tcPr>
            <w:tcW w:w="871" w:type="dxa"/>
            <w:shd w:val="clear" w:color="auto" w:fill="FFFFFF"/>
            <w:vAlign w:val="center"/>
          </w:tcPr>
          <w:p w14:paraId="64D030C6">
            <w:pPr>
              <w:jc w:val="center"/>
              <w:rPr>
                <w:rFonts w:ascii="宋体" w:hAnsi="宋体" w:cs="宋体"/>
                <w:kern w:val="2"/>
                <w:sz w:val="21"/>
                <w:szCs w:val="21"/>
              </w:rPr>
            </w:pPr>
            <w:r>
              <w:rPr>
                <w:rFonts w:hint="eastAsia" w:ascii="宋体" w:hAnsi="宋体" w:cs="宋体"/>
                <w:kern w:val="2"/>
                <w:sz w:val="21"/>
                <w:szCs w:val="21"/>
              </w:rPr>
              <w:t>销售部</w:t>
            </w:r>
          </w:p>
        </w:tc>
        <w:tc>
          <w:tcPr>
            <w:tcW w:w="711" w:type="dxa"/>
            <w:shd w:val="clear" w:color="auto" w:fill="FFFFFF"/>
            <w:noWrap/>
            <w:vAlign w:val="center"/>
          </w:tcPr>
          <w:p w14:paraId="21EC05BB">
            <w:pPr>
              <w:jc w:val="center"/>
              <w:rPr>
                <w:rFonts w:ascii="宋体" w:hAnsi="宋体" w:cs="宋体"/>
                <w:kern w:val="2"/>
                <w:sz w:val="21"/>
                <w:szCs w:val="21"/>
              </w:rPr>
            </w:pPr>
            <w:r>
              <w:rPr>
                <w:rFonts w:hint="eastAsia" w:ascii="宋体" w:hAnsi="宋体" w:cs="宋体"/>
                <w:kern w:val="2"/>
                <w:sz w:val="21"/>
                <w:szCs w:val="21"/>
              </w:rPr>
              <w:t>月</w:t>
            </w:r>
          </w:p>
        </w:tc>
        <w:tc>
          <w:tcPr>
            <w:tcW w:w="686" w:type="dxa"/>
            <w:shd w:val="clear" w:color="auto" w:fill="FFFFFF"/>
            <w:noWrap/>
            <w:vAlign w:val="center"/>
          </w:tcPr>
          <w:p w14:paraId="76A49CB0">
            <w:pPr>
              <w:jc w:val="center"/>
              <w:rPr>
                <w:rFonts w:ascii="宋体" w:hAnsi="宋体" w:cs="宋体"/>
                <w:kern w:val="2"/>
                <w:sz w:val="21"/>
                <w:szCs w:val="21"/>
              </w:rPr>
            </w:pPr>
            <w:r>
              <w:rPr>
                <w:rFonts w:hint="eastAsia" w:ascii="宋体" w:hAnsi="宋体" w:cs="宋体"/>
                <w:kern w:val="2"/>
                <w:sz w:val="21"/>
                <w:szCs w:val="21"/>
              </w:rPr>
              <w:t>月</w:t>
            </w:r>
          </w:p>
        </w:tc>
        <w:tc>
          <w:tcPr>
            <w:tcW w:w="709" w:type="dxa"/>
            <w:vMerge w:val="continue"/>
            <w:shd w:val="clear" w:color="auto" w:fill="FFFFFF"/>
            <w:vAlign w:val="center"/>
          </w:tcPr>
          <w:p w14:paraId="241C1043">
            <w:pPr>
              <w:rPr>
                <w:rFonts w:ascii="宋体" w:hAnsi="宋体" w:cs="宋体"/>
                <w:kern w:val="2"/>
                <w:sz w:val="21"/>
                <w:szCs w:val="21"/>
              </w:rPr>
            </w:pPr>
          </w:p>
        </w:tc>
        <w:tc>
          <w:tcPr>
            <w:tcW w:w="896" w:type="dxa"/>
            <w:vMerge w:val="continue"/>
            <w:shd w:val="clear" w:color="auto" w:fill="FFFFFF"/>
            <w:vAlign w:val="center"/>
          </w:tcPr>
          <w:p w14:paraId="63A8ABC9">
            <w:pPr>
              <w:rPr>
                <w:rFonts w:ascii="宋体" w:hAnsi="宋体" w:cs="宋体"/>
                <w:kern w:val="2"/>
                <w:sz w:val="21"/>
                <w:szCs w:val="21"/>
              </w:rPr>
            </w:pPr>
          </w:p>
        </w:tc>
        <w:tc>
          <w:tcPr>
            <w:tcW w:w="1109" w:type="dxa"/>
            <w:shd w:val="clear" w:color="auto" w:fill="FFFFFF"/>
            <w:vAlign w:val="center"/>
          </w:tcPr>
          <w:p w14:paraId="58D328DE">
            <w:pPr>
              <w:rPr>
                <w:rFonts w:ascii="宋体" w:hAnsi="宋体" w:cs="宋体"/>
                <w:kern w:val="2"/>
                <w:sz w:val="21"/>
                <w:szCs w:val="21"/>
              </w:rPr>
            </w:pPr>
            <w:r>
              <w:rPr>
                <w:rFonts w:hint="eastAsia" w:ascii="宋体" w:hAnsi="宋体" w:cs="宋体"/>
                <w:kern w:val="2"/>
                <w:sz w:val="21"/>
                <w:szCs w:val="21"/>
              </w:rPr>
              <w:t>销售部</w:t>
            </w:r>
          </w:p>
        </w:tc>
      </w:tr>
      <w:tr w14:paraId="30D2C4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36" w:hRule="atLeast"/>
          <w:jc w:val="center"/>
        </w:trPr>
        <w:tc>
          <w:tcPr>
            <w:tcW w:w="731" w:type="dxa"/>
            <w:vMerge w:val="restart"/>
            <w:shd w:val="clear" w:color="auto" w:fill="FFFFFF"/>
            <w:vAlign w:val="center"/>
          </w:tcPr>
          <w:p w14:paraId="4DC399CA">
            <w:pPr>
              <w:jc w:val="center"/>
              <w:rPr>
                <w:rFonts w:ascii="宋体" w:hAnsi="宋体" w:cs="宋体"/>
                <w:kern w:val="2"/>
                <w:sz w:val="21"/>
                <w:szCs w:val="21"/>
              </w:rPr>
            </w:pPr>
            <w:r>
              <w:rPr>
                <w:rFonts w:hint="eastAsia" w:ascii="宋体" w:hAnsi="宋体" w:cs="宋体"/>
                <w:kern w:val="2"/>
                <w:sz w:val="21"/>
                <w:szCs w:val="21"/>
              </w:rPr>
              <w:t>顾客与市场</w:t>
            </w:r>
          </w:p>
        </w:tc>
        <w:tc>
          <w:tcPr>
            <w:tcW w:w="2188" w:type="dxa"/>
            <w:shd w:val="clear" w:color="auto" w:fill="FFFFFF"/>
            <w:vAlign w:val="center"/>
          </w:tcPr>
          <w:p w14:paraId="63EFB0EC">
            <w:pPr>
              <w:rPr>
                <w:rFonts w:ascii="宋体" w:hAnsi="宋体" w:cs="宋体"/>
                <w:kern w:val="2"/>
                <w:sz w:val="21"/>
                <w:szCs w:val="21"/>
              </w:rPr>
            </w:pPr>
            <w:r>
              <w:rPr>
                <w:rFonts w:hint="eastAsia" w:ascii="宋体" w:hAnsi="宋体" w:cs="宋体"/>
                <w:kern w:val="2"/>
                <w:sz w:val="21"/>
                <w:szCs w:val="21"/>
              </w:rPr>
              <w:t>顾客满意度、顾客忠诚度</w:t>
            </w:r>
          </w:p>
        </w:tc>
        <w:tc>
          <w:tcPr>
            <w:tcW w:w="1559" w:type="dxa"/>
            <w:shd w:val="clear" w:color="auto" w:fill="FFFFFF"/>
            <w:vAlign w:val="center"/>
          </w:tcPr>
          <w:p w14:paraId="7D634611">
            <w:pPr>
              <w:rPr>
                <w:rFonts w:ascii="宋体" w:hAnsi="宋体" w:cs="宋体"/>
                <w:kern w:val="2"/>
                <w:sz w:val="21"/>
                <w:szCs w:val="21"/>
              </w:rPr>
            </w:pPr>
            <w:r>
              <w:rPr>
                <w:rFonts w:hint="eastAsia" w:ascii="宋体" w:hAnsi="宋体" w:cs="宋体"/>
                <w:kern w:val="2"/>
                <w:sz w:val="21"/>
                <w:szCs w:val="21"/>
              </w:rPr>
              <w:t>调查问卷、满意度统计表</w:t>
            </w:r>
          </w:p>
        </w:tc>
        <w:tc>
          <w:tcPr>
            <w:tcW w:w="871" w:type="dxa"/>
            <w:shd w:val="clear" w:color="auto" w:fill="FFFFFF"/>
            <w:vAlign w:val="center"/>
          </w:tcPr>
          <w:p w14:paraId="6483EF70">
            <w:pPr>
              <w:jc w:val="center"/>
              <w:rPr>
                <w:rFonts w:ascii="宋体" w:hAnsi="宋体" w:cs="宋体"/>
                <w:kern w:val="2"/>
                <w:sz w:val="21"/>
                <w:szCs w:val="21"/>
              </w:rPr>
            </w:pPr>
            <w:r>
              <w:rPr>
                <w:rFonts w:hint="eastAsia" w:ascii="宋体" w:hAnsi="宋体" w:cs="宋体"/>
                <w:kern w:val="2"/>
                <w:sz w:val="21"/>
                <w:szCs w:val="21"/>
              </w:rPr>
              <w:t>销售部</w:t>
            </w:r>
          </w:p>
        </w:tc>
        <w:tc>
          <w:tcPr>
            <w:tcW w:w="711" w:type="dxa"/>
            <w:shd w:val="clear" w:color="auto" w:fill="FFFFFF"/>
            <w:noWrap/>
            <w:vAlign w:val="center"/>
          </w:tcPr>
          <w:p w14:paraId="34857FDE">
            <w:pPr>
              <w:jc w:val="center"/>
              <w:rPr>
                <w:rFonts w:ascii="宋体" w:hAnsi="宋体" w:cs="宋体"/>
                <w:kern w:val="2"/>
                <w:sz w:val="21"/>
                <w:szCs w:val="21"/>
              </w:rPr>
            </w:pPr>
            <w:r>
              <w:rPr>
                <w:rFonts w:hint="eastAsia" w:ascii="宋体" w:hAnsi="宋体" w:cs="宋体"/>
                <w:kern w:val="2"/>
                <w:sz w:val="21"/>
                <w:szCs w:val="21"/>
              </w:rPr>
              <w:t>年</w:t>
            </w:r>
          </w:p>
        </w:tc>
        <w:tc>
          <w:tcPr>
            <w:tcW w:w="686" w:type="dxa"/>
            <w:shd w:val="clear" w:color="auto" w:fill="FFFFFF"/>
            <w:noWrap/>
            <w:vAlign w:val="center"/>
          </w:tcPr>
          <w:p w14:paraId="00873BDF">
            <w:pPr>
              <w:jc w:val="center"/>
              <w:rPr>
                <w:rFonts w:ascii="宋体" w:hAnsi="宋体" w:cs="宋体"/>
                <w:kern w:val="2"/>
                <w:sz w:val="21"/>
                <w:szCs w:val="21"/>
              </w:rPr>
            </w:pPr>
            <w:r>
              <w:rPr>
                <w:rFonts w:hint="eastAsia" w:ascii="宋体" w:hAnsi="宋体" w:cs="宋体"/>
                <w:kern w:val="2"/>
                <w:sz w:val="21"/>
                <w:szCs w:val="21"/>
              </w:rPr>
              <w:t>年</w:t>
            </w:r>
          </w:p>
        </w:tc>
        <w:tc>
          <w:tcPr>
            <w:tcW w:w="709" w:type="dxa"/>
            <w:vMerge w:val="restart"/>
            <w:shd w:val="clear" w:color="auto" w:fill="FFFFFF"/>
            <w:vAlign w:val="center"/>
          </w:tcPr>
          <w:p w14:paraId="5F1093C8">
            <w:pPr>
              <w:rPr>
                <w:rFonts w:ascii="宋体" w:hAnsi="宋体" w:cs="宋体"/>
                <w:kern w:val="2"/>
                <w:sz w:val="21"/>
                <w:szCs w:val="21"/>
              </w:rPr>
            </w:pPr>
            <w:r>
              <w:rPr>
                <w:rFonts w:hint="eastAsia" w:ascii="宋体" w:hAnsi="宋体" w:cs="宋体"/>
                <w:kern w:val="2"/>
                <w:sz w:val="21"/>
                <w:szCs w:val="21"/>
              </w:rPr>
              <w:t>各级绩效评审</w:t>
            </w:r>
          </w:p>
        </w:tc>
        <w:tc>
          <w:tcPr>
            <w:tcW w:w="896" w:type="dxa"/>
            <w:vMerge w:val="restart"/>
            <w:shd w:val="clear" w:color="auto" w:fill="FFFFFF"/>
            <w:vAlign w:val="center"/>
          </w:tcPr>
          <w:p w14:paraId="1A023B39">
            <w:pPr>
              <w:rPr>
                <w:rFonts w:ascii="宋体" w:hAnsi="宋体" w:cs="宋体"/>
                <w:kern w:val="2"/>
                <w:sz w:val="21"/>
                <w:szCs w:val="21"/>
              </w:rPr>
            </w:pPr>
            <w:r>
              <w:rPr>
                <w:rFonts w:hint="eastAsia" w:ascii="宋体" w:hAnsi="宋体" w:cs="宋体"/>
                <w:kern w:val="2"/>
                <w:sz w:val="21"/>
                <w:szCs w:val="21"/>
              </w:rPr>
              <w:t>会议、研讨、内部联络单等</w:t>
            </w:r>
          </w:p>
        </w:tc>
        <w:tc>
          <w:tcPr>
            <w:tcW w:w="1109" w:type="dxa"/>
            <w:shd w:val="clear" w:color="auto" w:fill="FFFFFF"/>
            <w:vAlign w:val="center"/>
          </w:tcPr>
          <w:p w14:paraId="62A6B74C">
            <w:pPr>
              <w:rPr>
                <w:rFonts w:ascii="宋体" w:hAnsi="宋体" w:cs="宋体"/>
                <w:kern w:val="2"/>
                <w:sz w:val="21"/>
                <w:szCs w:val="21"/>
              </w:rPr>
            </w:pPr>
            <w:r>
              <w:rPr>
                <w:rFonts w:hint="eastAsia" w:ascii="宋体" w:hAnsi="宋体" w:cs="宋体"/>
                <w:kern w:val="2"/>
                <w:sz w:val="21"/>
                <w:szCs w:val="21"/>
              </w:rPr>
              <w:t>销售部</w:t>
            </w:r>
          </w:p>
        </w:tc>
      </w:tr>
      <w:tr w14:paraId="531F09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jc w:val="center"/>
        </w:trPr>
        <w:tc>
          <w:tcPr>
            <w:tcW w:w="731" w:type="dxa"/>
            <w:vMerge w:val="continue"/>
            <w:shd w:val="clear" w:color="auto" w:fill="FFFFFF"/>
            <w:vAlign w:val="center"/>
          </w:tcPr>
          <w:p w14:paraId="20C11105">
            <w:pPr>
              <w:rPr>
                <w:rFonts w:ascii="宋体" w:hAnsi="宋体" w:cs="宋体"/>
                <w:kern w:val="2"/>
                <w:sz w:val="21"/>
                <w:szCs w:val="21"/>
              </w:rPr>
            </w:pPr>
          </w:p>
        </w:tc>
        <w:tc>
          <w:tcPr>
            <w:tcW w:w="2188" w:type="dxa"/>
            <w:shd w:val="clear" w:color="auto" w:fill="FFFFFF"/>
            <w:vAlign w:val="center"/>
          </w:tcPr>
          <w:p w14:paraId="29B6A0E5">
            <w:pPr>
              <w:rPr>
                <w:rFonts w:ascii="宋体" w:hAnsi="宋体" w:cs="宋体"/>
                <w:kern w:val="2"/>
                <w:sz w:val="21"/>
                <w:szCs w:val="21"/>
              </w:rPr>
            </w:pPr>
            <w:r>
              <w:rPr>
                <w:rFonts w:hint="eastAsia" w:ascii="宋体" w:hAnsi="宋体" w:cs="宋体"/>
                <w:kern w:val="2"/>
                <w:sz w:val="21"/>
                <w:szCs w:val="21"/>
              </w:rPr>
              <w:t>产品市场占有率、新产品投放数量</w:t>
            </w:r>
          </w:p>
        </w:tc>
        <w:tc>
          <w:tcPr>
            <w:tcW w:w="1559" w:type="dxa"/>
            <w:shd w:val="clear" w:color="auto" w:fill="FFFFFF"/>
            <w:vAlign w:val="center"/>
          </w:tcPr>
          <w:p w14:paraId="5E472DE2">
            <w:pPr>
              <w:rPr>
                <w:rFonts w:ascii="宋体" w:hAnsi="宋体" w:cs="宋体"/>
                <w:kern w:val="2"/>
                <w:sz w:val="21"/>
                <w:szCs w:val="21"/>
              </w:rPr>
            </w:pPr>
            <w:r>
              <w:rPr>
                <w:rFonts w:hint="eastAsia" w:ascii="宋体" w:hAnsi="宋体" w:cs="宋体"/>
                <w:kern w:val="2"/>
                <w:sz w:val="21"/>
                <w:szCs w:val="21"/>
              </w:rPr>
              <w:t>市场分析表、行业机构披露</w:t>
            </w:r>
          </w:p>
        </w:tc>
        <w:tc>
          <w:tcPr>
            <w:tcW w:w="871" w:type="dxa"/>
            <w:shd w:val="clear" w:color="auto" w:fill="FFFFFF"/>
            <w:vAlign w:val="center"/>
          </w:tcPr>
          <w:p w14:paraId="6BB815E2">
            <w:pPr>
              <w:jc w:val="center"/>
              <w:rPr>
                <w:rFonts w:ascii="宋体" w:hAnsi="宋体" w:cs="宋体"/>
                <w:kern w:val="2"/>
                <w:sz w:val="21"/>
                <w:szCs w:val="21"/>
              </w:rPr>
            </w:pPr>
            <w:r>
              <w:rPr>
                <w:rFonts w:hint="eastAsia" w:ascii="宋体" w:hAnsi="宋体" w:cs="宋体"/>
                <w:kern w:val="2"/>
                <w:sz w:val="21"/>
                <w:szCs w:val="21"/>
              </w:rPr>
              <w:t>销售部</w:t>
            </w:r>
          </w:p>
        </w:tc>
        <w:tc>
          <w:tcPr>
            <w:tcW w:w="711" w:type="dxa"/>
            <w:shd w:val="clear" w:color="auto" w:fill="FFFFFF"/>
            <w:noWrap/>
            <w:vAlign w:val="center"/>
          </w:tcPr>
          <w:p w14:paraId="102C76B1">
            <w:pPr>
              <w:jc w:val="center"/>
              <w:rPr>
                <w:rFonts w:ascii="宋体" w:hAnsi="宋体" w:cs="宋体"/>
                <w:kern w:val="2"/>
                <w:sz w:val="21"/>
                <w:szCs w:val="21"/>
              </w:rPr>
            </w:pPr>
            <w:r>
              <w:rPr>
                <w:rFonts w:hint="eastAsia" w:ascii="宋体" w:hAnsi="宋体" w:cs="宋体"/>
                <w:kern w:val="2"/>
                <w:sz w:val="21"/>
                <w:szCs w:val="21"/>
              </w:rPr>
              <w:t>年</w:t>
            </w:r>
          </w:p>
        </w:tc>
        <w:tc>
          <w:tcPr>
            <w:tcW w:w="686" w:type="dxa"/>
            <w:shd w:val="clear" w:color="auto" w:fill="FFFFFF"/>
            <w:noWrap/>
            <w:vAlign w:val="center"/>
          </w:tcPr>
          <w:p w14:paraId="14D213E2">
            <w:pPr>
              <w:jc w:val="center"/>
              <w:rPr>
                <w:rFonts w:ascii="宋体" w:hAnsi="宋体" w:cs="宋体"/>
                <w:kern w:val="2"/>
                <w:sz w:val="21"/>
                <w:szCs w:val="21"/>
              </w:rPr>
            </w:pPr>
            <w:r>
              <w:rPr>
                <w:rFonts w:hint="eastAsia" w:ascii="宋体" w:hAnsi="宋体" w:cs="宋体"/>
                <w:kern w:val="2"/>
                <w:sz w:val="21"/>
                <w:szCs w:val="21"/>
              </w:rPr>
              <w:t>年</w:t>
            </w:r>
          </w:p>
        </w:tc>
        <w:tc>
          <w:tcPr>
            <w:tcW w:w="709" w:type="dxa"/>
            <w:vMerge w:val="continue"/>
            <w:shd w:val="clear" w:color="auto" w:fill="FFFFFF"/>
            <w:vAlign w:val="center"/>
          </w:tcPr>
          <w:p w14:paraId="5A5185B0">
            <w:pPr>
              <w:rPr>
                <w:rFonts w:ascii="宋体" w:hAnsi="宋体" w:cs="宋体"/>
                <w:kern w:val="2"/>
                <w:sz w:val="21"/>
                <w:szCs w:val="21"/>
              </w:rPr>
            </w:pPr>
          </w:p>
        </w:tc>
        <w:tc>
          <w:tcPr>
            <w:tcW w:w="896" w:type="dxa"/>
            <w:vMerge w:val="continue"/>
            <w:shd w:val="clear" w:color="auto" w:fill="FFFFFF"/>
            <w:vAlign w:val="center"/>
          </w:tcPr>
          <w:p w14:paraId="0482A0CF">
            <w:pPr>
              <w:rPr>
                <w:rFonts w:ascii="宋体" w:hAnsi="宋体" w:cs="宋体"/>
                <w:kern w:val="2"/>
                <w:sz w:val="21"/>
                <w:szCs w:val="21"/>
              </w:rPr>
            </w:pPr>
          </w:p>
        </w:tc>
        <w:tc>
          <w:tcPr>
            <w:tcW w:w="1109" w:type="dxa"/>
            <w:shd w:val="clear" w:color="auto" w:fill="FFFFFF"/>
            <w:vAlign w:val="center"/>
          </w:tcPr>
          <w:p w14:paraId="225FDFF2">
            <w:pPr>
              <w:rPr>
                <w:rFonts w:ascii="宋体" w:hAnsi="宋体" w:cs="宋体"/>
                <w:kern w:val="2"/>
                <w:sz w:val="21"/>
                <w:szCs w:val="21"/>
              </w:rPr>
            </w:pPr>
            <w:r>
              <w:rPr>
                <w:rFonts w:hint="eastAsia" w:ascii="宋体" w:hAnsi="宋体" w:cs="宋体"/>
                <w:kern w:val="2"/>
                <w:sz w:val="21"/>
                <w:szCs w:val="21"/>
              </w:rPr>
              <w:t>销售部</w:t>
            </w:r>
          </w:p>
        </w:tc>
      </w:tr>
      <w:tr w14:paraId="60698B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jc w:val="center"/>
        </w:trPr>
        <w:tc>
          <w:tcPr>
            <w:tcW w:w="731" w:type="dxa"/>
            <w:vMerge w:val="restart"/>
            <w:shd w:val="clear" w:color="auto" w:fill="FFFFFF"/>
            <w:vAlign w:val="center"/>
          </w:tcPr>
          <w:p w14:paraId="68CE8519">
            <w:pPr>
              <w:jc w:val="center"/>
              <w:rPr>
                <w:rFonts w:ascii="宋体" w:hAnsi="宋体" w:cs="宋体"/>
                <w:kern w:val="2"/>
                <w:sz w:val="21"/>
                <w:szCs w:val="21"/>
              </w:rPr>
            </w:pPr>
            <w:r>
              <w:rPr>
                <w:rFonts w:hint="eastAsia" w:ascii="宋体" w:hAnsi="宋体" w:cs="宋体"/>
                <w:kern w:val="2"/>
                <w:sz w:val="21"/>
                <w:szCs w:val="21"/>
              </w:rPr>
              <w:t>财务</w:t>
            </w:r>
          </w:p>
        </w:tc>
        <w:tc>
          <w:tcPr>
            <w:tcW w:w="2188" w:type="dxa"/>
            <w:shd w:val="clear" w:color="auto" w:fill="FFFFFF"/>
            <w:vAlign w:val="center"/>
          </w:tcPr>
          <w:p w14:paraId="55D502A5">
            <w:pPr>
              <w:rPr>
                <w:rFonts w:ascii="宋体" w:hAnsi="宋体" w:cs="宋体"/>
                <w:kern w:val="2"/>
                <w:sz w:val="21"/>
                <w:szCs w:val="21"/>
              </w:rPr>
            </w:pPr>
            <w:r>
              <w:rPr>
                <w:rFonts w:hint="eastAsia" w:ascii="宋体" w:hAnsi="宋体" w:cs="宋体"/>
                <w:kern w:val="2"/>
                <w:sz w:val="21"/>
                <w:szCs w:val="21"/>
              </w:rPr>
              <w:t>主营业务收入、营业外收入、利润总额、总资产贡献率、资本保值增值率、资产负债率、流动资产周转率、经营性净现金流、应收款周转天数、</w:t>
            </w:r>
            <w:r>
              <w:rPr>
                <w:rFonts w:hint="eastAsia" w:ascii="宋体" w:hAnsi="宋体"/>
                <w:kern w:val="2"/>
                <w:sz w:val="21"/>
                <w:szCs w:val="21"/>
              </w:rPr>
              <w:t>销售额、</w:t>
            </w:r>
            <w:r>
              <w:rPr>
                <w:rFonts w:hint="eastAsia" w:ascii="宋体" w:hAnsi="宋体" w:cs="宋体"/>
                <w:kern w:val="2"/>
                <w:sz w:val="21"/>
                <w:szCs w:val="21"/>
              </w:rPr>
              <w:t>成本费用利润率、销售费用百分比、创汇额、产品销售率</w:t>
            </w:r>
          </w:p>
        </w:tc>
        <w:tc>
          <w:tcPr>
            <w:tcW w:w="1559" w:type="dxa"/>
            <w:shd w:val="clear" w:color="auto" w:fill="FFFFFF"/>
            <w:vAlign w:val="center"/>
          </w:tcPr>
          <w:p w14:paraId="67D369BA">
            <w:pPr>
              <w:rPr>
                <w:rFonts w:ascii="宋体" w:hAnsi="宋体" w:cs="宋体"/>
                <w:kern w:val="2"/>
                <w:sz w:val="21"/>
                <w:szCs w:val="21"/>
              </w:rPr>
            </w:pPr>
            <w:r>
              <w:rPr>
                <w:rFonts w:hint="eastAsia" w:ascii="宋体" w:hAnsi="宋体" w:cs="宋体"/>
                <w:kern w:val="2"/>
                <w:sz w:val="21"/>
                <w:szCs w:val="21"/>
              </w:rPr>
              <w:t>财务报表</w:t>
            </w:r>
          </w:p>
        </w:tc>
        <w:tc>
          <w:tcPr>
            <w:tcW w:w="871" w:type="dxa"/>
            <w:shd w:val="clear" w:color="auto" w:fill="FFFFFF"/>
            <w:vAlign w:val="center"/>
          </w:tcPr>
          <w:p w14:paraId="348BF317">
            <w:pPr>
              <w:jc w:val="center"/>
              <w:rPr>
                <w:rFonts w:ascii="宋体" w:hAnsi="宋体" w:cs="宋体"/>
                <w:kern w:val="2"/>
                <w:sz w:val="21"/>
                <w:szCs w:val="21"/>
              </w:rPr>
            </w:pPr>
            <w:r>
              <w:rPr>
                <w:rFonts w:hint="eastAsia" w:ascii="宋体" w:hAnsi="宋体" w:cs="宋体"/>
                <w:kern w:val="2"/>
                <w:sz w:val="21"/>
                <w:szCs w:val="21"/>
              </w:rPr>
              <w:t>财务部</w:t>
            </w:r>
          </w:p>
        </w:tc>
        <w:tc>
          <w:tcPr>
            <w:tcW w:w="711" w:type="dxa"/>
            <w:shd w:val="clear" w:color="auto" w:fill="FFFFFF"/>
            <w:noWrap/>
            <w:vAlign w:val="center"/>
          </w:tcPr>
          <w:p w14:paraId="77F9901F">
            <w:pPr>
              <w:jc w:val="center"/>
              <w:rPr>
                <w:rFonts w:ascii="宋体" w:hAnsi="宋体" w:cs="宋体"/>
                <w:kern w:val="2"/>
                <w:sz w:val="21"/>
                <w:szCs w:val="21"/>
              </w:rPr>
            </w:pPr>
            <w:r>
              <w:rPr>
                <w:rFonts w:hint="eastAsia" w:ascii="宋体" w:hAnsi="宋体" w:cs="宋体"/>
                <w:kern w:val="2"/>
                <w:sz w:val="21"/>
                <w:szCs w:val="21"/>
              </w:rPr>
              <w:t>年</w:t>
            </w:r>
          </w:p>
        </w:tc>
        <w:tc>
          <w:tcPr>
            <w:tcW w:w="686" w:type="dxa"/>
            <w:shd w:val="clear" w:color="auto" w:fill="FFFFFF"/>
            <w:noWrap/>
            <w:vAlign w:val="center"/>
          </w:tcPr>
          <w:p w14:paraId="3C1ADC24">
            <w:pPr>
              <w:jc w:val="center"/>
              <w:rPr>
                <w:rFonts w:ascii="宋体" w:hAnsi="宋体" w:cs="宋体"/>
                <w:kern w:val="2"/>
                <w:sz w:val="21"/>
                <w:szCs w:val="21"/>
              </w:rPr>
            </w:pPr>
            <w:r>
              <w:rPr>
                <w:rFonts w:hint="eastAsia" w:ascii="宋体" w:hAnsi="宋体" w:cs="宋体"/>
                <w:kern w:val="2"/>
                <w:sz w:val="21"/>
                <w:szCs w:val="21"/>
              </w:rPr>
              <w:t>年</w:t>
            </w:r>
          </w:p>
        </w:tc>
        <w:tc>
          <w:tcPr>
            <w:tcW w:w="709" w:type="dxa"/>
            <w:vMerge w:val="restart"/>
            <w:shd w:val="clear" w:color="auto" w:fill="FFFFFF"/>
            <w:vAlign w:val="center"/>
          </w:tcPr>
          <w:p w14:paraId="6D7C13B0">
            <w:pPr>
              <w:rPr>
                <w:rFonts w:ascii="宋体" w:hAnsi="宋体" w:cs="宋体"/>
                <w:kern w:val="2"/>
                <w:sz w:val="21"/>
                <w:szCs w:val="21"/>
              </w:rPr>
            </w:pPr>
            <w:r>
              <w:rPr>
                <w:rFonts w:hint="eastAsia" w:ascii="宋体" w:hAnsi="宋体" w:cs="宋体"/>
                <w:kern w:val="2"/>
                <w:sz w:val="21"/>
                <w:szCs w:val="21"/>
              </w:rPr>
              <w:t>各级绩效评审</w:t>
            </w:r>
          </w:p>
        </w:tc>
        <w:tc>
          <w:tcPr>
            <w:tcW w:w="896" w:type="dxa"/>
            <w:vMerge w:val="restart"/>
            <w:shd w:val="clear" w:color="auto" w:fill="FFFFFF"/>
            <w:vAlign w:val="center"/>
          </w:tcPr>
          <w:p w14:paraId="4C0C3322">
            <w:pPr>
              <w:rPr>
                <w:rFonts w:ascii="宋体" w:hAnsi="宋体" w:cs="宋体"/>
                <w:kern w:val="2"/>
                <w:sz w:val="21"/>
                <w:szCs w:val="21"/>
              </w:rPr>
            </w:pPr>
            <w:r>
              <w:rPr>
                <w:rFonts w:hint="eastAsia" w:ascii="宋体" w:hAnsi="宋体" w:cs="宋体"/>
                <w:kern w:val="2"/>
                <w:sz w:val="21"/>
                <w:szCs w:val="21"/>
              </w:rPr>
              <w:t>会议、研讨、内部联络单等</w:t>
            </w:r>
          </w:p>
        </w:tc>
        <w:tc>
          <w:tcPr>
            <w:tcW w:w="1109" w:type="dxa"/>
            <w:shd w:val="clear" w:color="auto" w:fill="FFFFFF"/>
            <w:vAlign w:val="center"/>
          </w:tcPr>
          <w:p w14:paraId="0B128449">
            <w:pPr>
              <w:rPr>
                <w:rFonts w:ascii="宋体" w:hAnsi="宋体" w:cs="宋体"/>
                <w:kern w:val="2"/>
                <w:sz w:val="21"/>
                <w:szCs w:val="21"/>
              </w:rPr>
            </w:pPr>
            <w:r>
              <w:rPr>
                <w:rFonts w:hint="eastAsia" w:ascii="宋体" w:hAnsi="宋体" w:cs="宋体"/>
                <w:kern w:val="2"/>
                <w:sz w:val="21"/>
                <w:szCs w:val="21"/>
              </w:rPr>
              <w:t>财务部</w:t>
            </w:r>
          </w:p>
        </w:tc>
      </w:tr>
      <w:tr w14:paraId="4ABBED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jc w:val="center"/>
        </w:trPr>
        <w:tc>
          <w:tcPr>
            <w:tcW w:w="731" w:type="dxa"/>
            <w:vMerge w:val="continue"/>
            <w:shd w:val="clear" w:color="auto" w:fill="FFFFFF"/>
            <w:vAlign w:val="center"/>
          </w:tcPr>
          <w:p w14:paraId="4C13192A">
            <w:pPr>
              <w:jc w:val="center"/>
              <w:rPr>
                <w:rFonts w:ascii="宋体" w:hAnsi="宋体" w:cs="宋体"/>
                <w:kern w:val="2"/>
                <w:sz w:val="21"/>
                <w:szCs w:val="21"/>
              </w:rPr>
            </w:pPr>
          </w:p>
        </w:tc>
        <w:tc>
          <w:tcPr>
            <w:tcW w:w="2188" w:type="dxa"/>
            <w:shd w:val="clear" w:color="auto" w:fill="FFFFFF"/>
            <w:vAlign w:val="center"/>
          </w:tcPr>
          <w:p w14:paraId="13B93F92">
            <w:pPr>
              <w:rPr>
                <w:rFonts w:ascii="宋体" w:hAnsi="宋体" w:cs="宋体"/>
                <w:kern w:val="2"/>
                <w:sz w:val="21"/>
                <w:szCs w:val="21"/>
              </w:rPr>
            </w:pPr>
            <w:r>
              <w:rPr>
                <w:rFonts w:hint="eastAsia" w:ascii="宋体" w:hAnsi="宋体" w:cs="宋体"/>
                <w:kern w:val="2"/>
                <w:sz w:val="21"/>
                <w:szCs w:val="21"/>
              </w:rPr>
              <w:t>纳税总额</w:t>
            </w:r>
          </w:p>
        </w:tc>
        <w:tc>
          <w:tcPr>
            <w:tcW w:w="1559" w:type="dxa"/>
            <w:shd w:val="clear" w:color="auto" w:fill="FFFFFF"/>
            <w:vAlign w:val="center"/>
          </w:tcPr>
          <w:p w14:paraId="44C87950">
            <w:pPr>
              <w:rPr>
                <w:rFonts w:ascii="宋体" w:hAnsi="宋体" w:cs="宋体"/>
                <w:kern w:val="2"/>
                <w:sz w:val="21"/>
                <w:szCs w:val="21"/>
              </w:rPr>
            </w:pPr>
            <w:r>
              <w:rPr>
                <w:rFonts w:hint="eastAsia" w:ascii="宋体" w:hAnsi="宋体" w:cs="宋体"/>
                <w:kern w:val="2"/>
                <w:sz w:val="21"/>
                <w:szCs w:val="21"/>
              </w:rPr>
              <w:t>纳税申报表</w:t>
            </w:r>
          </w:p>
        </w:tc>
        <w:tc>
          <w:tcPr>
            <w:tcW w:w="871" w:type="dxa"/>
            <w:shd w:val="clear" w:color="auto" w:fill="FFFFFF"/>
            <w:vAlign w:val="center"/>
          </w:tcPr>
          <w:p w14:paraId="59E2D185">
            <w:pPr>
              <w:jc w:val="center"/>
              <w:rPr>
                <w:rFonts w:ascii="宋体" w:hAnsi="宋体" w:cs="宋体"/>
                <w:kern w:val="2"/>
                <w:sz w:val="21"/>
                <w:szCs w:val="21"/>
              </w:rPr>
            </w:pPr>
            <w:r>
              <w:rPr>
                <w:rFonts w:hint="eastAsia" w:ascii="宋体" w:hAnsi="宋体" w:cs="宋体"/>
                <w:kern w:val="2"/>
                <w:sz w:val="21"/>
                <w:szCs w:val="21"/>
              </w:rPr>
              <w:t>财务部</w:t>
            </w:r>
          </w:p>
        </w:tc>
        <w:tc>
          <w:tcPr>
            <w:tcW w:w="711" w:type="dxa"/>
            <w:shd w:val="clear" w:color="auto" w:fill="FFFFFF"/>
            <w:noWrap/>
            <w:vAlign w:val="center"/>
          </w:tcPr>
          <w:p w14:paraId="6D8CC4E3">
            <w:pPr>
              <w:jc w:val="center"/>
              <w:rPr>
                <w:rFonts w:ascii="宋体" w:hAnsi="宋体" w:cs="宋体"/>
                <w:kern w:val="2"/>
                <w:sz w:val="21"/>
                <w:szCs w:val="21"/>
              </w:rPr>
            </w:pPr>
            <w:r>
              <w:rPr>
                <w:rFonts w:hint="eastAsia" w:ascii="宋体" w:hAnsi="宋体" w:cs="宋体"/>
                <w:kern w:val="2"/>
                <w:sz w:val="21"/>
                <w:szCs w:val="21"/>
              </w:rPr>
              <w:t>年</w:t>
            </w:r>
          </w:p>
        </w:tc>
        <w:tc>
          <w:tcPr>
            <w:tcW w:w="686" w:type="dxa"/>
            <w:shd w:val="clear" w:color="auto" w:fill="FFFFFF"/>
            <w:noWrap/>
            <w:vAlign w:val="center"/>
          </w:tcPr>
          <w:p w14:paraId="4C6A360B">
            <w:pPr>
              <w:jc w:val="center"/>
              <w:rPr>
                <w:rFonts w:ascii="宋体" w:hAnsi="宋体" w:cs="宋体"/>
                <w:kern w:val="2"/>
                <w:sz w:val="21"/>
                <w:szCs w:val="21"/>
              </w:rPr>
            </w:pPr>
            <w:r>
              <w:rPr>
                <w:rFonts w:hint="eastAsia" w:ascii="宋体" w:hAnsi="宋体" w:cs="宋体"/>
                <w:kern w:val="2"/>
                <w:sz w:val="21"/>
                <w:szCs w:val="21"/>
              </w:rPr>
              <w:t>年</w:t>
            </w:r>
          </w:p>
        </w:tc>
        <w:tc>
          <w:tcPr>
            <w:tcW w:w="709" w:type="dxa"/>
            <w:vMerge w:val="continue"/>
            <w:shd w:val="clear" w:color="auto" w:fill="FFFFFF"/>
            <w:vAlign w:val="center"/>
          </w:tcPr>
          <w:p w14:paraId="21A82E52">
            <w:pPr>
              <w:rPr>
                <w:rFonts w:ascii="宋体" w:hAnsi="宋体" w:cs="宋体"/>
                <w:kern w:val="2"/>
                <w:sz w:val="21"/>
                <w:szCs w:val="21"/>
              </w:rPr>
            </w:pPr>
          </w:p>
        </w:tc>
        <w:tc>
          <w:tcPr>
            <w:tcW w:w="896" w:type="dxa"/>
            <w:vMerge w:val="continue"/>
            <w:shd w:val="clear" w:color="auto" w:fill="FFFFFF"/>
            <w:vAlign w:val="center"/>
          </w:tcPr>
          <w:p w14:paraId="4C05CFF6">
            <w:pPr>
              <w:rPr>
                <w:rFonts w:ascii="宋体" w:hAnsi="宋体" w:cs="宋体"/>
                <w:kern w:val="2"/>
                <w:sz w:val="21"/>
                <w:szCs w:val="21"/>
              </w:rPr>
            </w:pPr>
          </w:p>
        </w:tc>
        <w:tc>
          <w:tcPr>
            <w:tcW w:w="1109" w:type="dxa"/>
            <w:shd w:val="clear" w:color="auto" w:fill="FFFFFF"/>
            <w:vAlign w:val="center"/>
          </w:tcPr>
          <w:p w14:paraId="1607F7D9">
            <w:pPr>
              <w:rPr>
                <w:rFonts w:ascii="宋体" w:hAnsi="宋体" w:cs="宋体"/>
                <w:kern w:val="2"/>
                <w:sz w:val="21"/>
                <w:szCs w:val="21"/>
              </w:rPr>
            </w:pPr>
            <w:r>
              <w:rPr>
                <w:rFonts w:hint="eastAsia" w:ascii="宋体" w:hAnsi="宋体" w:cs="宋体"/>
                <w:kern w:val="2"/>
                <w:sz w:val="21"/>
                <w:szCs w:val="21"/>
              </w:rPr>
              <w:t>财务部</w:t>
            </w:r>
          </w:p>
        </w:tc>
      </w:tr>
      <w:tr w14:paraId="42BD9B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jc w:val="center"/>
        </w:trPr>
        <w:tc>
          <w:tcPr>
            <w:tcW w:w="731" w:type="dxa"/>
            <w:vMerge w:val="restart"/>
            <w:shd w:val="clear" w:color="auto" w:fill="FFFFFF"/>
            <w:vAlign w:val="center"/>
          </w:tcPr>
          <w:p w14:paraId="268ED997">
            <w:pPr>
              <w:jc w:val="center"/>
              <w:rPr>
                <w:rFonts w:ascii="宋体" w:hAnsi="宋体" w:cs="宋体"/>
                <w:kern w:val="2"/>
                <w:sz w:val="21"/>
                <w:szCs w:val="21"/>
              </w:rPr>
            </w:pPr>
            <w:r>
              <w:rPr>
                <w:rFonts w:hint="eastAsia" w:ascii="宋体" w:hAnsi="宋体" w:cs="宋体"/>
                <w:kern w:val="2"/>
                <w:sz w:val="21"/>
                <w:szCs w:val="21"/>
              </w:rPr>
              <w:t>资源过程有效性</w:t>
            </w:r>
          </w:p>
        </w:tc>
        <w:tc>
          <w:tcPr>
            <w:tcW w:w="2188" w:type="dxa"/>
            <w:shd w:val="clear" w:color="auto" w:fill="FFFFFF"/>
            <w:vAlign w:val="center"/>
          </w:tcPr>
          <w:p w14:paraId="513E3B8A">
            <w:pPr>
              <w:rPr>
                <w:rFonts w:ascii="宋体" w:hAnsi="宋体" w:cs="宋体"/>
                <w:kern w:val="2"/>
                <w:sz w:val="21"/>
                <w:szCs w:val="21"/>
              </w:rPr>
            </w:pPr>
            <w:r>
              <w:rPr>
                <w:rFonts w:hint="eastAsia" w:ascii="宋体" w:hAnsi="宋体" w:cs="宋体"/>
                <w:kern w:val="2"/>
                <w:sz w:val="21"/>
                <w:szCs w:val="21"/>
              </w:rPr>
              <w:t>引进和培养专项人才、员工晋升率、员工福利支出、员工薪酬增长率、关键员工流失率、</w:t>
            </w:r>
          </w:p>
        </w:tc>
        <w:tc>
          <w:tcPr>
            <w:tcW w:w="1559" w:type="dxa"/>
            <w:shd w:val="clear" w:color="auto" w:fill="FFFFFF"/>
            <w:vAlign w:val="center"/>
          </w:tcPr>
          <w:p w14:paraId="5B7EF420">
            <w:pPr>
              <w:rPr>
                <w:rFonts w:ascii="宋体" w:hAnsi="宋体" w:cs="宋体"/>
                <w:kern w:val="2"/>
                <w:sz w:val="21"/>
                <w:szCs w:val="21"/>
              </w:rPr>
            </w:pPr>
            <w:r>
              <w:rPr>
                <w:rFonts w:hint="eastAsia" w:ascii="宋体" w:hAnsi="宋体" w:cs="宋体"/>
                <w:kern w:val="2"/>
                <w:sz w:val="21"/>
                <w:szCs w:val="21"/>
              </w:rPr>
              <w:t>专项人才报告</w:t>
            </w:r>
          </w:p>
        </w:tc>
        <w:tc>
          <w:tcPr>
            <w:tcW w:w="871" w:type="dxa"/>
            <w:shd w:val="clear" w:color="auto" w:fill="FFFFFF"/>
            <w:vAlign w:val="center"/>
          </w:tcPr>
          <w:p w14:paraId="3068450B">
            <w:pPr>
              <w:jc w:val="center"/>
              <w:rPr>
                <w:rFonts w:ascii="宋体" w:hAnsi="宋体" w:cs="宋体"/>
                <w:kern w:val="2"/>
                <w:sz w:val="21"/>
                <w:szCs w:val="21"/>
              </w:rPr>
            </w:pPr>
            <w:r>
              <w:rPr>
                <w:rFonts w:hint="eastAsia" w:ascii="宋体" w:hAnsi="宋体" w:cs="宋体"/>
                <w:kern w:val="2"/>
                <w:sz w:val="21"/>
                <w:szCs w:val="21"/>
              </w:rPr>
              <w:t>行政部</w:t>
            </w:r>
          </w:p>
        </w:tc>
        <w:tc>
          <w:tcPr>
            <w:tcW w:w="711" w:type="dxa"/>
            <w:shd w:val="clear" w:color="auto" w:fill="FFFFFF"/>
            <w:noWrap/>
            <w:vAlign w:val="center"/>
          </w:tcPr>
          <w:p w14:paraId="2B2D9389">
            <w:pPr>
              <w:jc w:val="center"/>
              <w:rPr>
                <w:rFonts w:ascii="宋体" w:hAnsi="宋体" w:cs="宋体"/>
                <w:kern w:val="2"/>
                <w:sz w:val="21"/>
                <w:szCs w:val="21"/>
              </w:rPr>
            </w:pPr>
            <w:r>
              <w:rPr>
                <w:rFonts w:hint="eastAsia" w:ascii="宋体" w:hAnsi="宋体" w:cs="宋体"/>
                <w:kern w:val="2"/>
                <w:sz w:val="21"/>
                <w:szCs w:val="21"/>
              </w:rPr>
              <w:t>月</w:t>
            </w:r>
          </w:p>
        </w:tc>
        <w:tc>
          <w:tcPr>
            <w:tcW w:w="686" w:type="dxa"/>
            <w:shd w:val="clear" w:color="auto" w:fill="FFFFFF"/>
            <w:noWrap/>
            <w:vAlign w:val="center"/>
          </w:tcPr>
          <w:p w14:paraId="0E81AEC3">
            <w:pPr>
              <w:jc w:val="center"/>
              <w:rPr>
                <w:rFonts w:ascii="宋体" w:hAnsi="宋体" w:cs="宋体"/>
                <w:kern w:val="2"/>
                <w:sz w:val="21"/>
                <w:szCs w:val="21"/>
              </w:rPr>
            </w:pPr>
            <w:r>
              <w:rPr>
                <w:rFonts w:hint="eastAsia" w:ascii="宋体" w:hAnsi="宋体" w:cs="宋体"/>
                <w:kern w:val="2"/>
                <w:sz w:val="21"/>
                <w:szCs w:val="21"/>
              </w:rPr>
              <w:t>月</w:t>
            </w:r>
          </w:p>
        </w:tc>
        <w:tc>
          <w:tcPr>
            <w:tcW w:w="709" w:type="dxa"/>
            <w:vMerge w:val="restart"/>
            <w:shd w:val="clear" w:color="auto" w:fill="FFFFFF"/>
            <w:vAlign w:val="center"/>
          </w:tcPr>
          <w:p w14:paraId="201A26F7">
            <w:pPr>
              <w:rPr>
                <w:rFonts w:ascii="宋体" w:hAnsi="宋体" w:cs="宋体"/>
                <w:kern w:val="2"/>
                <w:sz w:val="21"/>
                <w:szCs w:val="21"/>
              </w:rPr>
            </w:pPr>
            <w:r>
              <w:rPr>
                <w:rFonts w:hint="eastAsia" w:ascii="宋体" w:hAnsi="宋体" w:cs="宋体"/>
                <w:kern w:val="2"/>
                <w:sz w:val="21"/>
                <w:szCs w:val="21"/>
              </w:rPr>
              <w:t>各级绩效评审</w:t>
            </w:r>
          </w:p>
        </w:tc>
        <w:tc>
          <w:tcPr>
            <w:tcW w:w="896" w:type="dxa"/>
            <w:vMerge w:val="restart"/>
            <w:shd w:val="clear" w:color="auto" w:fill="FFFFFF"/>
            <w:vAlign w:val="center"/>
          </w:tcPr>
          <w:p w14:paraId="26558715">
            <w:pPr>
              <w:rPr>
                <w:rFonts w:ascii="宋体" w:hAnsi="宋体" w:cs="宋体"/>
                <w:kern w:val="2"/>
                <w:sz w:val="21"/>
                <w:szCs w:val="21"/>
              </w:rPr>
            </w:pPr>
            <w:r>
              <w:rPr>
                <w:rFonts w:hint="eastAsia" w:ascii="宋体" w:hAnsi="宋体" w:cs="宋体"/>
                <w:kern w:val="2"/>
                <w:sz w:val="21"/>
                <w:szCs w:val="21"/>
              </w:rPr>
              <w:t>会议、研讨、内部联络单等</w:t>
            </w:r>
          </w:p>
        </w:tc>
        <w:tc>
          <w:tcPr>
            <w:tcW w:w="1109" w:type="dxa"/>
            <w:shd w:val="clear" w:color="auto" w:fill="FFFFFF"/>
            <w:vAlign w:val="center"/>
          </w:tcPr>
          <w:p w14:paraId="3A2BF0B1">
            <w:pPr>
              <w:rPr>
                <w:rFonts w:ascii="宋体" w:hAnsi="宋体" w:cs="宋体"/>
                <w:kern w:val="2"/>
                <w:sz w:val="21"/>
                <w:szCs w:val="21"/>
              </w:rPr>
            </w:pPr>
            <w:r>
              <w:rPr>
                <w:rFonts w:hint="eastAsia" w:ascii="宋体" w:hAnsi="宋体" w:cs="宋体"/>
                <w:kern w:val="2"/>
                <w:sz w:val="21"/>
                <w:szCs w:val="21"/>
              </w:rPr>
              <w:t>销售部、总经理助理</w:t>
            </w:r>
          </w:p>
        </w:tc>
      </w:tr>
      <w:tr w14:paraId="39AC79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jc w:val="center"/>
        </w:trPr>
        <w:tc>
          <w:tcPr>
            <w:tcW w:w="731" w:type="dxa"/>
            <w:vMerge w:val="continue"/>
            <w:shd w:val="clear" w:color="auto" w:fill="FFFFFF"/>
            <w:vAlign w:val="center"/>
          </w:tcPr>
          <w:p w14:paraId="7F0D12B3">
            <w:pPr>
              <w:jc w:val="center"/>
              <w:rPr>
                <w:rFonts w:ascii="宋体" w:hAnsi="宋体" w:cs="宋体"/>
                <w:kern w:val="2"/>
                <w:sz w:val="21"/>
                <w:szCs w:val="21"/>
              </w:rPr>
            </w:pPr>
          </w:p>
        </w:tc>
        <w:tc>
          <w:tcPr>
            <w:tcW w:w="2188" w:type="dxa"/>
            <w:shd w:val="clear" w:color="auto" w:fill="FFFFFF"/>
            <w:vAlign w:val="center"/>
          </w:tcPr>
          <w:p w14:paraId="33936A31">
            <w:pPr>
              <w:rPr>
                <w:rFonts w:ascii="宋体" w:hAnsi="宋体" w:cs="宋体"/>
                <w:kern w:val="2"/>
                <w:sz w:val="21"/>
                <w:szCs w:val="21"/>
              </w:rPr>
            </w:pPr>
            <w:r>
              <w:rPr>
                <w:rFonts w:hint="eastAsia" w:ascii="宋体" w:hAnsi="宋体" w:cs="宋体"/>
                <w:kern w:val="2"/>
                <w:sz w:val="21"/>
                <w:szCs w:val="21"/>
              </w:rPr>
              <w:t>全员劳动生产率</w:t>
            </w:r>
          </w:p>
        </w:tc>
        <w:tc>
          <w:tcPr>
            <w:tcW w:w="1559" w:type="dxa"/>
            <w:shd w:val="clear" w:color="auto" w:fill="FFFFFF"/>
            <w:vAlign w:val="center"/>
          </w:tcPr>
          <w:p w14:paraId="395DBBBC">
            <w:pPr>
              <w:rPr>
                <w:rFonts w:ascii="宋体" w:hAnsi="宋体" w:cs="宋体"/>
                <w:kern w:val="2"/>
                <w:sz w:val="21"/>
                <w:szCs w:val="21"/>
              </w:rPr>
            </w:pPr>
            <w:r>
              <w:rPr>
                <w:rFonts w:hint="eastAsia" w:ascii="宋体" w:hAnsi="宋体" w:cs="宋体"/>
                <w:kern w:val="2"/>
                <w:sz w:val="21"/>
                <w:szCs w:val="21"/>
              </w:rPr>
              <w:t>员工花名册、财务报表</w:t>
            </w:r>
          </w:p>
        </w:tc>
        <w:tc>
          <w:tcPr>
            <w:tcW w:w="871" w:type="dxa"/>
            <w:shd w:val="clear" w:color="auto" w:fill="FFFFFF"/>
            <w:vAlign w:val="center"/>
          </w:tcPr>
          <w:p w14:paraId="5BF7DE48">
            <w:pPr>
              <w:jc w:val="center"/>
              <w:rPr>
                <w:rFonts w:ascii="宋体" w:hAnsi="宋体" w:cs="宋体"/>
                <w:kern w:val="2"/>
                <w:sz w:val="21"/>
                <w:szCs w:val="21"/>
              </w:rPr>
            </w:pPr>
            <w:r>
              <w:rPr>
                <w:rFonts w:hint="eastAsia" w:ascii="宋体" w:hAnsi="宋体" w:cs="宋体"/>
                <w:kern w:val="2"/>
                <w:sz w:val="21"/>
                <w:szCs w:val="21"/>
              </w:rPr>
              <w:t>行政部</w:t>
            </w:r>
          </w:p>
        </w:tc>
        <w:tc>
          <w:tcPr>
            <w:tcW w:w="711" w:type="dxa"/>
            <w:shd w:val="clear" w:color="auto" w:fill="FFFFFF"/>
            <w:noWrap/>
            <w:vAlign w:val="center"/>
          </w:tcPr>
          <w:p w14:paraId="4F1758D5">
            <w:pPr>
              <w:jc w:val="center"/>
              <w:rPr>
                <w:rFonts w:ascii="宋体" w:hAnsi="宋体" w:cs="宋体"/>
                <w:kern w:val="2"/>
                <w:sz w:val="21"/>
                <w:szCs w:val="21"/>
              </w:rPr>
            </w:pPr>
            <w:r>
              <w:rPr>
                <w:rFonts w:hint="eastAsia" w:ascii="宋体" w:hAnsi="宋体" w:cs="宋体"/>
                <w:kern w:val="2"/>
                <w:sz w:val="21"/>
                <w:szCs w:val="21"/>
              </w:rPr>
              <w:t>年</w:t>
            </w:r>
          </w:p>
        </w:tc>
        <w:tc>
          <w:tcPr>
            <w:tcW w:w="686" w:type="dxa"/>
            <w:shd w:val="clear" w:color="auto" w:fill="FFFFFF"/>
            <w:noWrap/>
            <w:vAlign w:val="center"/>
          </w:tcPr>
          <w:p w14:paraId="4DB7B3B4">
            <w:pPr>
              <w:jc w:val="center"/>
              <w:rPr>
                <w:rFonts w:ascii="宋体" w:hAnsi="宋体" w:cs="宋体"/>
                <w:kern w:val="2"/>
                <w:sz w:val="21"/>
                <w:szCs w:val="21"/>
              </w:rPr>
            </w:pPr>
            <w:r>
              <w:rPr>
                <w:rFonts w:hint="eastAsia" w:ascii="宋体" w:hAnsi="宋体" w:cs="宋体"/>
                <w:kern w:val="2"/>
                <w:sz w:val="21"/>
                <w:szCs w:val="21"/>
              </w:rPr>
              <w:t>年</w:t>
            </w:r>
          </w:p>
        </w:tc>
        <w:tc>
          <w:tcPr>
            <w:tcW w:w="709" w:type="dxa"/>
            <w:vMerge w:val="continue"/>
            <w:shd w:val="clear" w:color="auto" w:fill="FFFFFF"/>
            <w:vAlign w:val="center"/>
          </w:tcPr>
          <w:p w14:paraId="1B75CF71">
            <w:pPr>
              <w:rPr>
                <w:rFonts w:ascii="宋体" w:hAnsi="宋体" w:cs="宋体"/>
                <w:kern w:val="2"/>
                <w:sz w:val="21"/>
                <w:szCs w:val="21"/>
              </w:rPr>
            </w:pPr>
          </w:p>
        </w:tc>
        <w:tc>
          <w:tcPr>
            <w:tcW w:w="896" w:type="dxa"/>
            <w:vMerge w:val="continue"/>
            <w:shd w:val="clear" w:color="auto" w:fill="FFFFFF"/>
            <w:vAlign w:val="center"/>
          </w:tcPr>
          <w:p w14:paraId="11A3EDBB">
            <w:pPr>
              <w:rPr>
                <w:rFonts w:ascii="宋体" w:hAnsi="宋体" w:cs="宋体"/>
                <w:kern w:val="2"/>
                <w:sz w:val="21"/>
                <w:szCs w:val="21"/>
              </w:rPr>
            </w:pPr>
          </w:p>
        </w:tc>
        <w:tc>
          <w:tcPr>
            <w:tcW w:w="1109" w:type="dxa"/>
            <w:shd w:val="clear" w:color="auto" w:fill="FFFFFF"/>
            <w:vAlign w:val="center"/>
          </w:tcPr>
          <w:p w14:paraId="58E3E3F1">
            <w:pPr>
              <w:rPr>
                <w:rFonts w:ascii="宋体" w:hAnsi="宋体" w:cs="宋体"/>
                <w:kern w:val="2"/>
                <w:sz w:val="21"/>
                <w:szCs w:val="21"/>
              </w:rPr>
            </w:pPr>
            <w:r>
              <w:rPr>
                <w:rFonts w:hint="eastAsia" w:ascii="宋体" w:hAnsi="宋体" w:cs="宋体"/>
                <w:kern w:val="2"/>
                <w:sz w:val="21"/>
                <w:szCs w:val="21"/>
              </w:rPr>
              <w:t>财务部</w:t>
            </w:r>
          </w:p>
        </w:tc>
      </w:tr>
      <w:tr w14:paraId="0B3BD4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jc w:val="center"/>
        </w:trPr>
        <w:tc>
          <w:tcPr>
            <w:tcW w:w="731" w:type="dxa"/>
            <w:vMerge w:val="continue"/>
            <w:shd w:val="clear" w:color="auto" w:fill="FFFFFF"/>
            <w:vAlign w:val="center"/>
          </w:tcPr>
          <w:p w14:paraId="28C010BB">
            <w:pPr>
              <w:jc w:val="center"/>
              <w:rPr>
                <w:rFonts w:ascii="宋体" w:hAnsi="宋体" w:cs="宋体"/>
                <w:kern w:val="2"/>
                <w:sz w:val="21"/>
                <w:szCs w:val="21"/>
              </w:rPr>
            </w:pPr>
          </w:p>
        </w:tc>
        <w:tc>
          <w:tcPr>
            <w:tcW w:w="2188" w:type="dxa"/>
            <w:shd w:val="clear" w:color="auto" w:fill="FFFFFF"/>
            <w:vAlign w:val="center"/>
          </w:tcPr>
          <w:p w14:paraId="6B4EAF19">
            <w:pPr>
              <w:rPr>
                <w:rFonts w:ascii="宋体" w:hAnsi="宋体" w:cs="宋体"/>
                <w:kern w:val="2"/>
                <w:sz w:val="21"/>
                <w:szCs w:val="21"/>
              </w:rPr>
            </w:pPr>
            <w:r>
              <w:rPr>
                <w:rFonts w:hint="eastAsia" w:ascii="宋体" w:hAnsi="宋体" w:cs="宋体"/>
                <w:kern w:val="2"/>
                <w:sz w:val="21"/>
                <w:szCs w:val="21"/>
              </w:rPr>
              <w:t>人均培训时数、培训费用投入、培训有效性</w:t>
            </w:r>
          </w:p>
        </w:tc>
        <w:tc>
          <w:tcPr>
            <w:tcW w:w="1559" w:type="dxa"/>
            <w:shd w:val="clear" w:color="auto" w:fill="FFFFFF"/>
            <w:vAlign w:val="center"/>
          </w:tcPr>
          <w:p w14:paraId="44A031C4">
            <w:pPr>
              <w:rPr>
                <w:rFonts w:ascii="宋体" w:hAnsi="宋体" w:cs="宋体"/>
                <w:kern w:val="2"/>
                <w:sz w:val="21"/>
                <w:szCs w:val="21"/>
              </w:rPr>
            </w:pPr>
            <w:r>
              <w:rPr>
                <w:rFonts w:hint="eastAsia" w:ascii="宋体" w:hAnsi="宋体" w:cs="宋体"/>
                <w:kern w:val="2"/>
                <w:sz w:val="21"/>
                <w:szCs w:val="21"/>
              </w:rPr>
              <w:t>年度培训报告</w:t>
            </w:r>
          </w:p>
        </w:tc>
        <w:tc>
          <w:tcPr>
            <w:tcW w:w="871" w:type="dxa"/>
            <w:shd w:val="clear" w:color="auto" w:fill="FFFFFF"/>
            <w:vAlign w:val="center"/>
          </w:tcPr>
          <w:p w14:paraId="50A20465">
            <w:pPr>
              <w:jc w:val="center"/>
              <w:rPr>
                <w:rFonts w:ascii="宋体" w:hAnsi="宋体" w:cs="宋体"/>
                <w:kern w:val="2"/>
                <w:sz w:val="21"/>
                <w:szCs w:val="21"/>
              </w:rPr>
            </w:pPr>
            <w:r>
              <w:rPr>
                <w:rFonts w:hint="eastAsia" w:ascii="宋体" w:hAnsi="宋体" w:cs="宋体"/>
                <w:kern w:val="2"/>
                <w:sz w:val="21"/>
                <w:szCs w:val="21"/>
              </w:rPr>
              <w:t>财务部</w:t>
            </w:r>
          </w:p>
        </w:tc>
        <w:tc>
          <w:tcPr>
            <w:tcW w:w="711" w:type="dxa"/>
            <w:shd w:val="clear" w:color="auto" w:fill="FFFFFF"/>
            <w:noWrap/>
            <w:vAlign w:val="center"/>
          </w:tcPr>
          <w:p w14:paraId="728F6883">
            <w:pPr>
              <w:jc w:val="center"/>
              <w:rPr>
                <w:rFonts w:ascii="宋体" w:hAnsi="宋体" w:cs="宋体"/>
                <w:kern w:val="2"/>
                <w:sz w:val="21"/>
                <w:szCs w:val="21"/>
              </w:rPr>
            </w:pPr>
            <w:r>
              <w:rPr>
                <w:rFonts w:hint="eastAsia" w:ascii="宋体" w:hAnsi="宋体" w:cs="宋体"/>
                <w:kern w:val="2"/>
                <w:sz w:val="21"/>
                <w:szCs w:val="21"/>
              </w:rPr>
              <w:t>年</w:t>
            </w:r>
          </w:p>
        </w:tc>
        <w:tc>
          <w:tcPr>
            <w:tcW w:w="686" w:type="dxa"/>
            <w:shd w:val="clear" w:color="auto" w:fill="FFFFFF"/>
            <w:noWrap/>
            <w:vAlign w:val="center"/>
          </w:tcPr>
          <w:p w14:paraId="02A950EC">
            <w:pPr>
              <w:jc w:val="center"/>
              <w:rPr>
                <w:rFonts w:ascii="宋体" w:hAnsi="宋体" w:cs="宋体"/>
                <w:kern w:val="2"/>
                <w:sz w:val="21"/>
                <w:szCs w:val="21"/>
              </w:rPr>
            </w:pPr>
            <w:r>
              <w:rPr>
                <w:rFonts w:hint="eastAsia" w:ascii="宋体" w:hAnsi="宋体" w:cs="宋体"/>
                <w:kern w:val="2"/>
                <w:sz w:val="21"/>
                <w:szCs w:val="21"/>
              </w:rPr>
              <w:t>年</w:t>
            </w:r>
          </w:p>
        </w:tc>
        <w:tc>
          <w:tcPr>
            <w:tcW w:w="709" w:type="dxa"/>
            <w:vMerge w:val="continue"/>
            <w:shd w:val="clear" w:color="auto" w:fill="FFFFFF"/>
            <w:vAlign w:val="center"/>
          </w:tcPr>
          <w:p w14:paraId="34920D6E">
            <w:pPr>
              <w:rPr>
                <w:rFonts w:ascii="宋体" w:hAnsi="宋体" w:cs="宋体"/>
                <w:kern w:val="2"/>
                <w:sz w:val="21"/>
                <w:szCs w:val="21"/>
              </w:rPr>
            </w:pPr>
          </w:p>
        </w:tc>
        <w:tc>
          <w:tcPr>
            <w:tcW w:w="896" w:type="dxa"/>
            <w:vMerge w:val="continue"/>
            <w:shd w:val="clear" w:color="auto" w:fill="FFFFFF"/>
            <w:vAlign w:val="center"/>
          </w:tcPr>
          <w:p w14:paraId="621A086F">
            <w:pPr>
              <w:rPr>
                <w:rFonts w:ascii="宋体" w:hAnsi="宋体" w:cs="宋体"/>
                <w:kern w:val="2"/>
                <w:sz w:val="21"/>
                <w:szCs w:val="21"/>
              </w:rPr>
            </w:pPr>
          </w:p>
        </w:tc>
        <w:tc>
          <w:tcPr>
            <w:tcW w:w="1109" w:type="dxa"/>
            <w:shd w:val="clear" w:color="auto" w:fill="FFFFFF"/>
            <w:vAlign w:val="center"/>
          </w:tcPr>
          <w:p w14:paraId="1BC26225">
            <w:pPr>
              <w:rPr>
                <w:rFonts w:ascii="宋体" w:hAnsi="宋体" w:cs="宋体"/>
                <w:kern w:val="2"/>
                <w:sz w:val="21"/>
                <w:szCs w:val="21"/>
              </w:rPr>
            </w:pPr>
            <w:r>
              <w:rPr>
                <w:rFonts w:hint="eastAsia" w:ascii="宋体" w:hAnsi="宋体" w:cs="宋体"/>
                <w:kern w:val="2"/>
                <w:sz w:val="21"/>
                <w:szCs w:val="21"/>
              </w:rPr>
              <w:t>财务部</w:t>
            </w:r>
          </w:p>
        </w:tc>
      </w:tr>
      <w:tr w14:paraId="70499E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jc w:val="center"/>
        </w:trPr>
        <w:tc>
          <w:tcPr>
            <w:tcW w:w="731" w:type="dxa"/>
            <w:vMerge w:val="continue"/>
            <w:shd w:val="clear" w:color="auto" w:fill="FFFFFF"/>
            <w:vAlign w:val="center"/>
          </w:tcPr>
          <w:p w14:paraId="115108CE">
            <w:pPr>
              <w:jc w:val="center"/>
              <w:rPr>
                <w:rFonts w:ascii="宋体" w:hAnsi="宋体" w:cs="宋体"/>
                <w:kern w:val="2"/>
                <w:sz w:val="21"/>
                <w:szCs w:val="21"/>
              </w:rPr>
            </w:pPr>
          </w:p>
        </w:tc>
        <w:tc>
          <w:tcPr>
            <w:tcW w:w="2188" w:type="dxa"/>
            <w:shd w:val="clear" w:color="auto" w:fill="FFFFFF"/>
            <w:vAlign w:val="center"/>
          </w:tcPr>
          <w:p w14:paraId="6CCB8AF1">
            <w:pPr>
              <w:rPr>
                <w:rFonts w:ascii="宋体" w:hAnsi="宋体" w:cs="宋体"/>
                <w:kern w:val="2"/>
                <w:sz w:val="21"/>
                <w:szCs w:val="21"/>
              </w:rPr>
            </w:pPr>
            <w:r>
              <w:rPr>
                <w:rFonts w:hint="eastAsia" w:ascii="宋体" w:hAnsi="宋体"/>
                <w:kern w:val="2"/>
                <w:sz w:val="21"/>
                <w:szCs w:val="21"/>
              </w:rPr>
              <w:t>技术创新</w:t>
            </w:r>
          </w:p>
        </w:tc>
        <w:tc>
          <w:tcPr>
            <w:tcW w:w="1559" w:type="dxa"/>
            <w:shd w:val="clear" w:color="auto" w:fill="FFFFFF"/>
            <w:vAlign w:val="center"/>
          </w:tcPr>
          <w:p w14:paraId="579E4406">
            <w:pPr>
              <w:rPr>
                <w:rFonts w:ascii="宋体" w:hAnsi="宋体" w:cs="宋体"/>
                <w:kern w:val="2"/>
                <w:sz w:val="21"/>
                <w:szCs w:val="21"/>
              </w:rPr>
            </w:pPr>
            <w:r>
              <w:rPr>
                <w:rFonts w:hint="eastAsia" w:ascii="宋体" w:hAnsi="宋体" w:cs="宋体"/>
                <w:kern w:val="2"/>
                <w:sz w:val="21"/>
                <w:szCs w:val="21"/>
              </w:rPr>
              <w:t>统计报表</w:t>
            </w:r>
          </w:p>
        </w:tc>
        <w:tc>
          <w:tcPr>
            <w:tcW w:w="871" w:type="dxa"/>
            <w:shd w:val="clear" w:color="auto" w:fill="FFFFFF"/>
            <w:vAlign w:val="center"/>
          </w:tcPr>
          <w:p w14:paraId="6DA47969">
            <w:pPr>
              <w:jc w:val="center"/>
              <w:rPr>
                <w:rFonts w:ascii="宋体" w:hAnsi="宋体" w:cs="宋体"/>
                <w:kern w:val="2"/>
                <w:sz w:val="21"/>
                <w:szCs w:val="21"/>
              </w:rPr>
            </w:pPr>
            <w:r>
              <w:rPr>
                <w:rFonts w:hint="eastAsia" w:ascii="宋体" w:hAnsi="宋体" w:cs="宋体"/>
                <w:kern w:val="2"/>
                <w:sz w:val="21"/>
                <w:szCs w:val="21"/>
              </w:rPr>
              <w:t>技术部</w:t>
            </w:r>
          </w:p>
        </w:tc>
        <w:tc>
          <w:tcPr>
            <w:tcW w:w="711" w:type="dxa"/>
            <w:shd w:val="clear" w:color="auto" w:fill="FFFFFF"/>
            <w:noWrap/>
            <w:vAlign w:val="center"/>
          </w:tcPr>
          <w:p w14:paraId="59D2AC2D">
            <w:pPr>
              <w:jc w:val="center"/>
              <w:rPr>
                <w:rFonts w:ascii="宋体" w:hAnsi="宋体" w:cs="宋体"/>
                <w:kern w:val="2"/>
                <w:sz w:val="21"/>
                <w:szCs w:val="21"/>
              </w:rPr>
            </w:pPr>
            <w:r>
              <w:rPr>
                <w:rFonts w:hint="eastAsia" w:ascii="宋体" w:hAnsi="宋体" w:cs="宋体"/>
                <w:kern w:val="2"/>
                <w:sz w:val="21"/>
                <w:szCs w:val="21"/>
              </w:rPr>
              <w:t>年</w:t>
            </w:r>
          </w:p>
        </w:tc>
        <w:tc>
          <w:tcPr>
            <w:tcW w:w="686" w:type="dxa"/>
            <w:shd w:val="clear" w:color="auto" w:fill="FFFFFF"/>
            <w:noWrap/>
            <w:vAlign w:val="center"/>
          </w:tcPr>
          <w:p w14:paraId="02241E15">
            <w:pPr>
              <w:jc w:val="center"/>
              <w:rPr>
                <w:rFonts w:ascii="宋体" w:hAnsi="宋体" w:cs="宋体"/>
                <w:kern w:val="2"/>
                <w:sz w:val="21"/>
                <w:szCs w:val="21"/>
              </w:rPr>
            </w:pPr>
            <w:r>
              <w:rPr>
                <w:rFonts w:hint="eastAsia" w:ascii="宋体" w:hAnsi="宋体" w:cs="宋体"/>
                <w:kern w:val="2"/>
                <w:sz w:val="21"/>
                <w:szCs w:val="21"/>
              </w:rPr>
              <w:t>年</w:t>
            </w:r>
          </w:p>
        </w:tc>
        <w:tc>
          <w:tcPr>
            <w:tcW w:w="709" w:type="dxa"/>
            <w:vMerge w:val="continue"/>
            <w:shd w:val="clear" w:color="auto" w:fill="FFFFFF"/>
            <w:vAlign w:val="center"/>
          </w:tcPr>
          <w:p w14:paraId="3EA2B60A">
            <w:pPr>
              <w:rPr>
                <w:rFonts w:ascii="宋体" w:hAnsi="宋体" w:cs="宋体"/>
                <w:kern w:val="2"/>
                <w:sz w:val="21"/>
                <w:szCs w:val="21"/>
              </w:rPr>
            </w:pPr>
          </w:p>
        </w:tc>
        <w:tc>
          <w:tcPr>
            <w:tcW w:w="896" w:type="dxa"/>
            <w:vMerge w:val="continue"/>
            <w:shd w:val="clear" w:color="auto" w:fill="FFFFFF"/>
            <w:vAlign w:val="center"/>
          </w:tcPr>
          <w:p w14:paraId="032E7023">
            <w:pPr>
              <w:rPr>
                <w:rFonts w:ascii="宋体" w:hAnsi="宋体" w:cs="宋体"/>
                <w:kern w:val="2"/>
                <w:sz w:val="21"/>
                <w:szCs w:val="21"/>
              </w:rPr>
            </w:pPr>
          </w:p>
        </w:tc>
        <w:tc>
          <w:tcPr>
            <w:tcW w:w="1109" w:type="dxa"/>
            <w:shd w:val="clear" w:color="auto" w:fill="FFFFFF"/>
            <w:vAlign w:val="center"/>
          </w:tcPr>
          <w:p w14:paraId="2790924F">
            <w:pPr>
              <w:rPr>
                <w:rFonts w:ascii="宋体" w:hAnsi="宋体" w:cs="宋体"/>
                <w:kern w:val="2"/>
                <w:sz w:val="21"/>
                <w:szCs w:val="21"/>
              </w:rPr>
            </w:pPr>
            <w:r>
              <w:rPr>
                <w:rFonts w:hint="eastAsia" w:ascii="宋体" w:hAnsi="宋体" w:cs="宋体"/>
                <w:kern w:val="2"/>
                <w:sz w:val="21"/>
                <w:szCs w:val="21"/>
              </w:rPr>
              <w:t>销售部</w:t>
            </w:r>
          </w:p>
        </w:tc>
      </w:tr>
      <w:tr w14:paraId="4E74B6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jc w:val="center"/>
        </w:trPr>
        <w:tc>
          <w:tcPr>
            <w:tcW w:w="731" w:type="dxa"/>
            <w:vMerge w:val="continue"/>
            <w:shd w:val="clear" w:color="auto" w:fill="FFFFFF"/>
            <w:vAlign w:val="center"/>
          </w:tcPr>
          <w:p w14:paraId="53617887">
            <w:pPr>
              <w:jc w:val="center"/>
              <w:rPr>
                <w:rFonts w:ascii="宋体" w:hAnsi="宋体" w:cs="宋体"/>
                <w:kern w:val="2"/>
                <w:sz w:val="21"/>
                <w:szCs w:val="21"/>
              </w:rPr>
            </w:pPr>
          </w:p>
        </w:tc>
        <w:tc>
          <w:tcPr>
            <w:tcW w:w="2188" w:type="dxa"/>
            <w:shd w:val="clear" w:color="auto" w:fill="FFFFFF"/>
            <w:vAlign w:val="center"/>
          </w:tcPr>
          <w:p w14:paraId="5D59BBDE">
            <w:pPr>
              <w:rPr>
                <w:rFonts w:ascii="宋体" w:hAnsi="宋体" w:cs="宋体"/>
                <w:kern w:val="2"/>
                <w:sz w:val="21"/>
                <w:szCs w:val="21"/>
              </w:rPr>
            </w:pPr>
            <w:r>
              <w:rPr>
                <w:rFonts w:hint="eastAsia" w:ascii="宋体" w:hAnsi="宋体" w:cs="宋体"/>
                <w:kern w:val="2"/>
                <w:sz w:val="21"/>
                <w:szCs w:val="21"/>
              </w:rPr>
              <w:t>应收账款回收率、资金周转率</w:t>
            </w:r>
          </w:p>
        </w:tc>
        <w:tc>
          <w:tcPr>
            <w:tcW w:w="1559" w:type="dxa"/>
            <w:shd w:val="clear" w:color="auto" w:fill="FFFFFF"/>
            <w:vAlign w:val="center"/>
          </w:tcPr>
          <w:p w14:paraId="568911E8">
            <w:pPr>
              <w:rPr>
                <w:rFonts w:ascii="宋体" w:hAnsi="宋体" w:cs="宋体"/>
                <w:kern w:val="2"/>
                <w:sz w:val="21"/>
                <w:szCs w:val="21"/>
              </w:rPr>
            </w:pPr>
            <w:r>
              <w:rPr>
                <w:rFonts w:hint="eastAsia" w:ascii="宋体" w:hAnsi="宋体" w:cs="宋体"/>
                <w:kern w:val="2"/>
                <w:sz w:val="21"/>
                <w:szCs w:val="21"/>
              </w:rPr>
              <w:t>应收帐款统计表、财务报表</w:t>
            </w:r>
          </w:p>
        </w:tc>
        <w:tc>
          <w:tcPr>
            <w:tcW w:w="871" w:type="dxa"/>
            <w:shd w:val="clear" w:color="auto" w:fill="FFFFFF"/>
            <w:vAlign w:val="center"/>
          </w:tcPr>
          <w:p w14:paraId="6380DE73">
            <w:pPr>
              <w:jc w:val="center"/>
              <w:rPr>
                <w:rFonts w:ascii="宋体" w:hAnsi="宋体" w:cs="宋体"/>
                <w:kern w:val="2"/>
                <w:sz w:val="21"/>
                <w:szCs w:val="21"/>
              </w:rPr>
            </w:pPr>
            <w:r>
              <w:rPr>
                <w:rFonts w:hint="eastAsia" w:ascii="宋体" w:hAnsi="宋体" w:cs="宋体"/>
                <w:kern w:val="2"/>
                <w:sz w:val="21"/>
                <w:szCs w:val="21"/>
              </w:rPr>
              <w:t>财务部</w:t>
            </w:r>
          </w:p>
        </w:tc>
        <w:tc>
          <w:tcPr>
            <w:tcW w:w="711" w:type="dxa"/>
            <w:shd w:val="clear" w:color="auto" w:fill="FFFFFF"/>
            <w:noWrap/>
            <w:vAlign w:val="center"/>
          </w:tcPr>
          <w:p w14:paraId="61E2D491">
            <w:pPr>
              <w:jc w:val="center"/>
              <w:rPr>
                <w:rFonts w:ascii="宋体" w:hAnsi="宋体" w:cs="宋体"/>
                <w:kern w:val="2"/>
                <w:sz w:val="21"/>
                <w:szCs w:val="21"/>
              </w:rPr>
            </w:pPr>
            <w:r>
              <w:rPr>
                <w:rFonts w:hint="eastAsia" w:ascii="宋体" w:hAnsi="宋体" w:cs="宋体"/>
                <w:kern w:val="2"/>
                <w:sz w:val="21"/>
                <w:szCs w:val="21"/>
              </w:rPr>
              <w:t>年</w:t>
            </w:r>
          </w:p>
        </w:tc>
        <w:tc>
          <w:tcPr>
            <w:tcW w:w="686" w:type="dxa"/>
            <w:shd w:val="clear" w:color="auto" w:fill="FFFFFF"/>
            <w:noWrap/>
            <w:vAlign w:val="center"/>
          </w:tcPr>
          <w:p w14:paraId="5601A301">
            <w:pPr>
              <w:jc w:val="center"/>
              <w:rPr>
                <w:rFonts w:ascii="宋体" w:hAnsi="宋体" w:cs="宋体"/>
                <w:kern w:val="2"/>
                <w:sz w:val="21"/>
                <w:szCs w:val="21"/>
              </w:rPr>
            </w:pPr>
            <w:r>
              <w:rPr>
                <w:rFonts w:hint="eastAsia" w:ascii="宋体" w:hAnsi="宋体" w:cs="宋体"/>
                <w:kern w:val="2"/>
                <w:sz w:val="21"/>
                <w:szCs w:val="21"/>
              </w:rPr>
              <w:t>年</w:t>
            </w:r>
          </w:p>
        </w:tc>
        <w:tc>
          <w:tcPr>
            <w:tcW w:w="709" w:type="dxa"/>
            <w:vMerge w:val="continue"/>
            <w:shd w:val="clear" w:color="auto" w:fill="FFFFFF"/>
            <w:vAlign w:val="center"/>
          </w:tcPr>
          <w:p w14:paraId="17D73F86">
            <w:pPr>
              <w:rPr>
                <w:rFonts w:ascii="宋体" w:hAnsi="宋体" w:cs="宋体"/>
                <w:kern w:val="2"/>
                <w:sz w:val="21"/>
                <w:szCs w:val="21"/>
              </w:rPr>
            </w:pPr>
          </w:p>
        </w:tc>
        <w:tc>
          <w:tcPr>
            <w:tcW w:w="896" w:type="dxa"/>
            <w:vMerge w:val="continue"/>
            <w:shd w:val="clear" w:color="auto" w:fill="FFFFFF"/>
            <w:vAlign w:val="center"/>
          </w:tcPr>
          <w:p w14:paraId="37ACA935">
            <w:pPr>
              <w:rPr>
                <w:rFonts w:ascii="宋体" w:hAnsi="宋体" w:cs="宋体"/>
                <w:kern w:val="2"/>
                <w:sz w:val="21"/>
                <w:szCs w:val="21"/>
              </w:rPr>
            </w:pPr>
          </w:p>
        </w:tc>
        <w:tc>
          <w:tcPr>
            <w:tcW w:w="1109" w:type="dxa"/>
            <w:shd w:val="clear" w:color="auto" w:fill="FFFFFF"/>
            <w:vAlign w:val="center"/>
          </w:tcPr>
          <w:p w14:paraId="75E43290">
            <w:pPr>
              <w:rPr>
                <w:rFonts w:ascii="宋体" w:hAnsi="宋体" w:cs="宋体"/>
                <w:kern w:val="2"/>
                <w:sz w:val="21"/>
                <w:szCs w:val="21"/>
              </w:rPr>
            </w:pPr>
            <w:r>
              <w:rPr>
                <w:rFonts w:hint="eastAsia" w:ascii="宋体" w:hAnsi="宋体" w:cs="宋体"/>
                <w:kern w:val="2"/>
                <w:sz w:val="21"/>
                <w:szCs w:val="21"/>
              </w:rPr>
              <w:t>销售部</w:t>
            </w:r>
          </w:p>
        </w:tc>
      </w:tr>
      <w:tr w14:paraId="6940F0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jc w:val="center"/>
        </w:trPr>
        <w:tc>
          <w:tcPr>
            <w:tcW w:w="731" w:type="dxa"/>
            <w:vMerge w:val="continue"/>
            <w:shd w:val="clear" w:color="auto" w:fill="FFFFFF"/>
            <w:vAlign w:val="center"/>
          </w:tcPr>
          <w:p w14:paraId="6E7BAE2F">
            <w:pPr>
              <w:jc w:val="center"/>
              <w:rPr>
                <w:rFonts w:ascii="宋体" w:hAnsi="宋体" w:cs="宋体"/>
                <w:kern w:val="2"/>
                <w:sz w:val="21"/>
                <w:szCs w:val="21"/>
              </w:rPr>
            </w:pPr>
          </w:p>
        </w:tc>
        <w:tc>
          <w:tcPr>
            <w:tcW w:w="2188" w:type="dxa"/>
            <w:shd w:val="clear" w:color="auto" w:fill="FFFFFF"/>
            <w:vAlign w:val="center"/>
          </w:tcPr>
          <w:p w14:paraId="19D622A2">
            <w:pPr>
              <w:rPr>
                <w:rFonts w:ascii="宋体" w:hAnsi="宋体" w:cs="宋体"/>
                <w:kern w:val="2"/>
                <w:sz w:val="21"/>
                <w:szCs w:val="21"/>
              </w:rPr>
            </w:pPr>
            <w:r>
              <w:rPr>
                <w:rFonts w:hint="eastAsia" w:ascii="宋体" w:hAnsi="宋体" w:cs="宋体"/>
                <w:kern w:val="2"/>
                <w:sz w:val="21"/>
                <w:szCs w:val="21"/>
              </w:rPr>
              <w:t>信息化投入（万元）</w:t>
            </w:r>
          </w:p>
        </w:tc>
        <w:tc>
          <w:tcPr>
            <w:tcW w:w="1559" w:type="dxa"/>
            <w:shd w:val="clear" w:color="auto" w:fill="FFFFFF"/>
            <w:vAlign w:val="center"/>
          </w:tcPr>
          <w:p w14:paraId="46FB6782">
            <w:pPr>
              <w:rPr>
                <w:rFonts w:ascii="宋体" w:hAnsi="宋体" w:cs="宋体"/>
                <w:kern w:val="2"/>
                <w:sz w:val="21"/>
                <w:szCs w:val="21"/>
              </w:rPr>
            </w:pPr>
            <w:r>
              <w:rPr>
                <w:rFonts w:hint="eastAsia" w:ascii="宋体" w:hAnsi="宋体" w:cs="宋体"/>
                <w:kern w:val="2"/>
                <w:sz w:val="21"/>
                <w:szCs w:val="21"/>
              </w:rPr>
              <w:t>年度</w:t>
            </w:r>
            <w:r>
              <w:rPr>
                <w:rFonts w:ascii="宋体" w:hAnsi="宋体" w:cs="Calibri"/>
                <w:kern w:val="2"/>
                <w:sz w:val="21"/>
                <w:szCs w:val="21"/>
              </w:rPr>
              <w:t>IT</w:t>
            </w:r>
            <w:r>
              <w:rPr>
                <w:rFonts w:hint="eastAsia" w:ascii="宋体" w:hAnsi="宋体" w:cs="宋体"/>
                <w:kern w:val="2"/>
                <w:sz w:val="21"/>
                <w:szCs w:val="21"/>
              </w:rPr>
              <w:t>投资统计表</w:t>
            </w:r>
          </w:p>
        </w:tc>
        <w:tc>
          <w:tcPr>
            <w:tcW w:w="871" w:type="dxa"/>
            <w:shd w:val="clear" w:color="auto" w:fill="FFFFFF"/>
            <w:vAlign w:val="center"/>
          </w:tcPr>
          <w:p w14:paraId="35BECB15">
            <w:pPr>
              <w:jc w:val="center"/>
              <w:rPr>
                <w:rFonts w:ascii="宋体" w:hAnsi="宋体" w:cs="宋体"/>
                <w:kern w:val="2"/>
                <w:sz w:val="21"/>
                <w:szCs w:val="21"/>
              </w:rPr>
            </w:pPr>
            <w:r>
              <w:rPr>
                <w:rFonts w:hint="eastAsia" w:ascii="宋体" w:hAnsi="宋体" w:cs="宋体"/>
                <w:kern w:val="2"/>
                <w:sz w:val="21"/>
                <w:szCs w:val="21"/>
              </w:rPr>
              <w:t>行政部</w:t>
            </w:r>
          </w:p>
        </w:tc>
        <w:tc>
          <w:tcPr>
            <w:tcW w:w="711" w:type="dxa"/>
            <w:shd w:val="clear" w:color="auto" w:fill="FFFFFF"/>
            <w:noWrap/>
            <w:vAlign w:val="center"/>
          </w:tcPr>
          <w:p w14:paraId="7381AAD5">
            <w:pPr>
              <w:jc w:val="center"/>
              <w:rPr>
                <w:rFonts w:ascii="宋体" w:hAnsi="宋体" w:cs="宋体"/>
                <w:kern w:val="2"/>
                <w:sz w:val="21"/>
                <w:szCs w:val="21"/>
              </w:rPr>
            </w:pPr>
            <w:r>
              <w:rPr>
                <w:rFonts w:hint="eastAsia" w:ascii="宋体" w:hAnsi="宋体" w:cs="宋体"/>
                <w:kern w:val="2"/>
                <w:sz w:val="21"/>
                <w:szCs w:val="21"/>
              </w:rPr>
              <w:t>年</w:t>
            </w:r>
          </w:p>
        </w:tc>
        <w:tc>
          <w:tcPr>
            <w:tcW w:w="686" w:type="dxa"/>
            <w:shd w:val="clear" w:color="auto" w:fill="FFFFFF"/>
            <w:noWrap/>
            <w:vAlign w:val="center"/>
          </w:tcPr>
          <w:p w14:paraId="5083B526">
            <w:pPr>
              <w:jc w:val="center"/>
              <w:rPr>
                <w:rFonts w:ascii="宋体" w:hAnsi="宋体" w:cs="宋体"/>
                <w:kern w:val="2"/>
                <w:sz w:val="21"/>
                <w:szCs w:val="21"/>
              </w:rPr>
            </w:pPr>
            <w:r>
              <w:rPr>
                <w:rFonts w:hint="eastAsia" w:ascii="宋体" w:hAnsi="宋体" w:cs="宋体"/>
                <w:kern w:val="2"/>
                <w:sz w:val="21"/>
                <w:szCs w:val="21"/>
              </w:rPr>
              <w:t>年</w:t>
            </w:r>
          </w:p>
        </w:tc>
        <w:tc>
          <w:tcPr>
            <w:tcW w:w="709" w:type="dxa"/>
            <w:vMerge w:val="continue"/>
            <w:shd w:val="clear" w:color="auto" w:fill="FFFFFF"/>
            <w:vAlign w:val="center"/>
          </w:tcPr>
          <w:p w14:paraId="67C951BD">
            <w:pPr>
              <w:rPr>
                <w:rFonts w:ascii="宋体" w:hAnsi="宋体" w:cs="宋体"/>
                <w:kern w:val="2"/>
                <w:sz w:val="21"/>
                <w:szCs w:val="21"/>
              </w:rPr>
            </w:pPr>
          </w:p>
        </w:tc>
        <w:tc>
          <w:tcPr>
            <w:tcW w:w="896" w:type="dxa"/>
            <w:vMerge w:val="continue"/>
            <w:shd w:val="clear" w:color="auto" w:fill="FFFFFF"/>
            <w:vAlign w:val="center"/>
          </w:tcPr>
          <w:p w14:paraId="31519ED2">
            <w:pPr>
              <w:rPr>
                <w:rFonts w:ascii="宋体" w:hAnsi="宋体" w:cs="宋体"/>
                <w:kern w:val="2"/>
                <w:sz w:val="21"/>
                <w:szCs w:val="21"/>
              </w:rPr>
            </w:pPr>
          </w:p>
        </w:tc>
        <w:tc>
          <w:tcPr>
            <w:tcW w:w="1109" w:type="dxa"/>
            <w:shd w:val="clear" w:color="auto" w:fill="FFFFFF"/>
            <w:vAlign w:val="center"/>
          </w:tcPr>
          <w:p w14:paraId="2346ABFE">
            <w:pPr>
              <w:rPr>
                <w:rFonts w:ascii="宋体" w:hAnsi="宋体" w:cs="宋体"/>
                <w:kern w:val="2"/>
                <w:sz w:val="21"/>
                <w:szCs w:val="21"/>
              </w:rPr>
            </w:pPr>
            <w:r>
              <w:rPr>
                <w:rFonts w:hint="eastAsia" w:ascii="宋体" w:hAnsi="宋体" w:cs="宋体"/>
                <w:kern w:val="2"/>
                <w:sz w:val="21"/>
                <w:szCs w:val="21"/>
              </w:rPr>
              <w:t>物控部</w:t>
            </w:r>
          </w:p>
        </w:tc>
      </w:tr>
      <w:tr w14:paraId="2542B3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jc w:val="center"/>
        </w:trPr>
        <w:tc>
          <w:tcPr>
            <w:tcW w:w="731" w:type="dxa"/>
            <w:vMerge w:val="continue"/>
            <w:shd w:val="clear" w:color="auto" w:fill="FFFFFF"/>
            <w:vAlign w:val="center"/>
          </w:tcPr>
          <w:p w14:paraId="7B5B797E">
            <w:pPr>
              <w:jc w:val="center"/>
              <w:rPr>
                <w:rFonts w:ascii="宋体" w:hAnsi="宋体" w:cs="宋体"/>
                <w:kern w:val="2"/>
                <w:sz w:val="21"/>
                <w:szCs w:val="21"/>
              </w:rPr>
            </w:pPr>
          </w:p>
        </w:tc>
        <w:tc>
          <w:tcPr>
            <w:tcW w:w="2188" w:type="dxa"/>
            <w:shd w:val="clear" w:color="auto" w:fill="FFFFFF"/>
            <w:vAlign w:val="center"/>
          </w:tcPr>
          <w:p w14:paraId="7F50DB65">
            <w:pPr>
              <w:rPr>
                <w:rFonts w:ascii="宋体" w:hAnsi="宋体" w:cs="宋体"/>
                <w:kern w:val="2"/>
                <w:sz w:val="21"/>
                <w:szCs w:val="21"/>
              </w:rPr>
            </w:pPr>
            <w:r>
              <w:rPr>
                <w:rFonts w:hint="eastAsia" w:ascii="宋体" w:hAnsi="宋体" w:cs="宋体"/>
                <w:kern w:val="2"/>
                <w:sz w:val="21"/>
                <w:szCs w:val="21"/>
              </w:rPr>
              <w:t>研发投入销售占比</w:t>
            </w:r>
          </w:p>
        </w:tc>
        <w:tc>
          <w:tcPr>
            <w:tcW w:w="1559" w:type="dxa"/>
            <w:shd w:val="clear" w:color="auto" w:fill="FFFFFF"/>
            <w:vAlign w:val="center"/>
          </w:tcPr>
          <w:p w14:paraId="5BFD9F03">
            <w:pPr>
              <w:rPr>
                <w:rFonts w:ascii="宋体" w:hAnsi="宋体" w:cs="宋体"/>
                <w:kern w:val="2"/>
                <w:sz w:val="21"/>
                <w:szCs w:val="21"/>
              </w:rPr>
            </w:pPr>
            <w:r>
              <w:rPr>
                <w:rFonts w:hint="eastAsia" w:ascii="宋体" w:hAnsi="宋体" w:cs="宋体"/>
                <w:kern w:val="2"/>
                <w:sz w:val="21"/>
                <w:szCs w:val="21"/>
              </w:rPr>
              <w:t>财务报表</w:t>
            </w:r>
          </w:p>
        </w:tc>
        <w:tc>
          <w:tcPr>
            <w:tcW w:w="871" w:type="dxa"/>
            <w:shd w:val="clear" w:color="auto" w:fill="FFFFFF"/>
            <w:vAlign w:val="center"/>
          </w:tcPr>
          <w:p w14:paraId="2BCA1088">
            <w:pPr>
              <w:jc w:val="center"/>
              <w:rPr>
                <w:rFonts w:ascii="宋体" w:hAnsi="宋体" w:cs="宋体"/>
                <w:kern w:val="2"/>
                <w:sz w:val="21"/>
                <w:szCs w:val="21"/>
              </w:rPr>
            </w:pPr>
            <w:r>
              <w:rPr>
                <w:rFonts w:hint="eastAsia" w:ascii="宋体" w:hAnsi="宋体" w:cs="宋体"/>
                <w:kern w:val="2"/>
                <w:sz w:val="21"/>
                <w:szCs w:val="21"/>
              </w:rPr>
              <w:t>技术部</w:t>
            </w:r>
          </w:p>
        </w:tc>
        <w:tc>
          <w:tcPr>
            <w:tcW w:w="711" w:type="dxa"/>
            <w:shd w:val="clear" w:color="auto" w:fill="FFFFFF"/>
            <w:noWrap/>
            <w:vAlign w:val="center"/>
          </w:tcPr>
          <w:p w14:paraId="01E8EE1A">
            <w:pPr>
              <w:jc w:val="center"/>
              <w:rPr>
                <w:rFonts w:ascii="宋体" w:hAnsi="宋体" w:cs="宋体"/>
                <w:kern w:val="2"/>
                <w:sz w:val="21"/>
                <w:szCs w:val="21"/>
              </w:rPr>
            </w:pPr>
            <w:r>
              <w:rPr>
                <w:rFonts w:hint="eastAsia" w:ascii="宋体" w:hAnsi="宋体" w:cs="宋体"/>
                <w:kern w:val="2"/>
                <w:sz w:val="21"/>
                <w:szCs w:val="21"/>
              </w:rPr>
              <w:t>年</w:t>
            </w:r>
          </w:p>
        </w:tc>
        <w:tc>
          <w:tcPr>
            <w:tcW w:w="686" w:type="dxa"/>
            <w:shd w:val="clear" w:color="auto" w:fill="FFFFFF"/>
            <w:noWrap/>
            <w:vAlign w:val="center"/>
          </w:tcPr>
          <w:p w14:paraId="600313DD">
            <w:pPr>
              <w:jc w:val="center"/>
              <w:rPr>
                <w:rFonts w:ascii="宋体" w:hAnsi="宋体" w:cs="宋体"/>
                <w:kern w:val="2"/>
                <w:sz w:val="21"/>
                <w:szCs w:val="21"/>
              </w:rPr>
            </w:pPr>
            <w:r>
              <w:rPr>
                <w:rFonts w:hint="eastAsia" w:ascii="宋体" w:hAnsi="宋体" w:cs="宋体"/>
                <w:kern w:val="2"/>
                <w:sz w:val="21"/>
                <w:szCs w:val="21"/>
              </w:rPr>
              <w:t>年</w:t>
            </w:r>
          </w:p>
        </w:tc>
        <w:tc>
          <w:tcPr>
            <w:tcW w:w="709" w:type="dxa"/>
            <w:vMerge w:val="continue"/>
            <w:shd w:val="clear" w:color="auto" w:fill="FFFFFF"/>
            <w:vAlign w:val="center"/>
          </w:tcPr>
          <w:p w14:paraId="711DFCDF">
            <w:pPr>
              <w:rPr>
                <w:rFonts w:ascii="宋体" w:hAnsi="宋体" w:cs="宋体"/>
                <w:kern w:val="2"/>
                <w:sz w:val="21"/>
                <w:szCs w:val="21"/>
              </w:rPr>
            </w:pPr>
          </w:p>
        </w:tc>
        <w:tc>
          <w:tcPr>
            <w:tcW w:w="896" w:type="dxa"/>
            <w:vMerge w:val="continue"/>
            <w:shd w:val="clear" w:color="auto" w:fill="FFFFFF"/>
            <w:vAlign w:val="center"/>
          </w:tcPr>
          <w:p w14:paraId="267AE3F6">
            <w:pPr>
              <w:rPr>
                <w:rFonts w:ascii="宋体" w:hAnsi="宋体" w:cs="宋体"/>
                <w:kern w:val="2"/>
                <w:sz w:val="21"/>
                <w:szCs w:val="21"/>
              </w:rPr>
            </w:pPr>
          </w:p>
        </w:tc>
        <w:tc>
          <w:tcPr>
            <w:tcW w:w="1109" w:type="dxa"/>
            <w:shd w:val="clear" w:color="auto" w:fill="FFFFFF"/>
            <w:vAlign w:val="center"/>
          </w:tcPr>
          <w:p w14:paraId="53880C0A">
            <w:pPr>
              <w:rPr>
                <w:rFonts w:ascii="宋体" w:hAnsi="宋体" w:cs="宋体"/>
                <w:kern w:val="2"/>
                <w:sz w:val="21"/>
                <w:szCs w:val="21"/>
              </w:rPr>
            </w:pPr>
            <w:r>
              <w:rPr>
                <w:rFonts w:hint="eastAsia" w:ascii="宋体" w:hAnsi="宋体" w:cs="宋体"/>
                <w:kern w:val="2"/>
                <w:sz w:val="21"/>
                <w:szCs w:val="21"/>
              </w:rPr>
              <w:t>财务部</w:t>
            </w:r>
          </w:p>
        </w:tc>
      </w:tr>
      <w:tr w14:paraId="7EE907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jc w:val="center"/>
        </w:trPr>
        <w:tc>
          <w:tcPr>
            <w:tcW w:w="731" w:type="dxa"/>
            <w:vMerge w:val="continue"/>
            <w:shd w:val="clear" w:color="auto" w:fill="FFFFFF"/>
            <w:vAlign w:val="center"/>
          </w:tcPr>
          <w:p w14:paraId="0AFC5759">
            <w:pPr>
              <w:jc w:val="center"/>
              <w:rPr>
                <w:rFonts w:ascii="宋体" w:hAnsi="宋体" w:cs="宋体"/>
                <w:kern w:val="2"/>
                <w:sz w:val="21"/>
                <w:szCs w:val="21"/>
              </w:rPr>
            </w:pPr>
          </w:p>
        </w:tc>
        <w:tc>
          <w:tcPr>
            <w:tcW w:w="2188" w:type="dxa"/>
            <w:shd w:val="clear" w:color="auto" w:fill="FFFFFF"/>
            <w:vAlign w:val="center"/>
          </w:tcPr>
          <w:p w14:paraId="0DAFAE2D">
            <w:pPr>
              <w:rPr>
                <w:rFonts w:ascii="宋体" w:hAnsi="宋体" w:cs="宋体"/>
                <w:kern w:val="2"/>
                <w:sz w:val="21"/>
                <w:szCs w:val="21"/>
              </w:rPr>
            </w:pPr>
            <w:r>
              <w:rPr>
                <w:rFonts w:hint="eastAsia" w:ascii="宋体" w:hAnsi="宋体" w:cs="宋体"/>
                <w:kern w:val="2"/>
                <w:sz w:val="21"/>
                <w:szCs w:val="21"/>
              </w:rPr>
              <w:t>专利申请数量</w:t>
            </w:r>
          </w:p>
        </w:tc>
        <w:tc>
          <w:tcPr>
            <w:tcW w:w="1559" w:type="dxa"/>
            <w:shd w:val="clear" w:color="auto" w:fill="FFFFFF"/>
            <w:vAlign w:val="center"/>
          </w:tcPr>
          <w:p w14:paraId="27B9BAB5">
            <w:pPr>
              <w:rPr>
                <w:rFonts w:ascii="宋体" w:hAnsi="宋体" w:cs="宋体"/>
                <w:kern w:val="2"/>
                <w:sz w:val="21"/>
                <w:szCs w:val="21"/>
              </w:rPr>
            </w:pPr>
            <w:r>
              <w:rPr>
                <w:rFonts w:hint="eastAsia" w:ascii="宋体" w:hAnsi="宋体" w:cs="宋体"/>
                <w:kern w:val="2"/>
                <w:sz w:val="21"/>
                <w:szCs w:val="21"/>
              </w:rPr>
              <w:t>专利申请报表</w:t>
            </w:r>
          </w:p>
        </w:tc>
        <w:tc>
          <w:tcPr>
            <w:tcW w:w="871" w:type="dxa"/>
            <w:shd w:val="clear" w:color="auto" w:fill="FFFFFF"/>
            <w:vAlign w:val="center"/>
          </w:tcPr>
          <w:p w14:paraId="1B3C7ABD">
            <w:pPr>
              <w:jc w:val="center"/>
              <w:rPr>
                <w:rFonts w:ascii="宋体" w:hAnsi="宋体" w:cs="宋体"/>
                <w:kern w:val="2"/>
                <w:sz w:val="21"/>
                <w:szCs w:val="21"/>
              </w:rPr>
            </w:pPr>
            <w:r>
              <w:rPr>
                <w:rFonts w:hint="eastAsia" w:ascii="宋体" w:hAnsi="宋体" w:cs="宋体"/>
                <w:kern w:val="2"/>
                <w:sz w:val="21"/>
                <w:szCs w:val="21"/>
              </w:rPr>
              <w:t>技术部</w:t>
            </w:r>
          </w:p>
        </w:tc>
        <w:tc>
          <w:tcPr>
            <w:tcW w:w="711" w:type="dxa"/>
            <w:shd w:val="clear" w:color="auto" w:fill="FFFFFF"/>
            <w:noWrap/>
            <w:vAlign w:val="center"/>
          </w:tcPr>
          <w:p w14:paraId="7A3D54FC">
            <w:pPr>
              <w:jc w:val="center"/>
              <w:rPr>
                <w:rFonts w:ascii="宋体" w:hAnsi="宋体" w:cs="宋体"/>
                <w:kern w:val="2"/>
                <w:sz w:val="21"/>
                <w:szCs w:val="21"/>
              </w:rPr>
            </w:pPr>
            <w:r>
              <w:rPr>
                <w:rFonts w:hint="eastAsia" w:ascii="宋体" w:hAnsi="宋体" w:cs="宋体"/>
                <w:kern w:val="2"/>
                <w:sz w:val="21"/>
                <w:szCs w:val="21"/>
              </w:rPr>
              <w:t>年</w:t>
            </w:r>
          </w:p>
        </w:tc>
        <w:tc>
          <w:tcPr>
            <w:tcW w:w="686" w:type="dxa"/>
            <w:shd w:val="clear" w:color="auto" w:fill="FFFFFF"/>
            <w:noWrap/>
            <w:vAlign w:val="center"/>
          </w:tcPr>
          <w:p w14:paraId="1DF24DD2">
            <w:pPr>
              <w:jc w:val="center"/>
              <w:rPr>
                <w:rFonts w:ascii="宋体" w:hAnsi="宋体" w:cs="宋体"/>
                <w:kern w:val="2"/>
                <w:sz w:val="21"/>
                <w:szCs w:val="21"/>
              </w:rPr>
            </w:pPr>
            <w:r>
              <w:rPr>
                <w:rFonts w:hint="eastAsia" w:ascii="宋体" w:hAnsi="宋体" w:cs="宋体"/>
                <w:kern w:val="2"/>
                <w:sz w:val="21"/>
                <w:szCs w:val="21"/>
              </w:rPr>
              <w:t>年</w:t>
            </w:r>
          </w:p>
        </w:tc>
        <w:tc>
          <w:tcPr>
            <w:tcW w:w="709" w:type="dxa"/>
            <w:vMerge w:val="continue"/>
            <w:shd w:val="clear" w:color="auto" w:fill="FFFFFF"/>
            <w:vAlign w:val="center"/>
          </w:tcPr>
          <w:p w14:paraId="73A037F2">
            <w:pPr>
              <w:rPr>
                <w:rFonts w:ascii="宋体" w:hAnsi="宋体" w:cs="宋体"/>
                <w:kern w:val="2"/>
                <w:sz w:val="21"/>
                <w:szCs w:val="21"/>
              </w:rPr>
            </w:pPr>
          </w:p>
        </w:tc>
        <w:tc>
          <w:tcPr>
            <w:tcW w:w="896" w:type="dxa"/>
            <w:vMerge w:val="continue"/>
            <w:shd w:val="clear" w:color="auto" w:fill="FFFFFF"/>
            <w:vAlign w:val="center"/>
          </w:tcPr>
          <w:p w14:paraId="648F23C4">
            <w:pPr>
              <w:rPr>
                <w:rFonts w:ascii="宋体" w:hAnsi="宋体" w:cs="宋体"/>
                <w:kern w:val="2"/>
                <w:sz w:val="21"/>
                <w:szCs w:val="21"/>
              </w:rPr>
            </w:pPr>
          </w:p>
        </w:tc>
        <w:tc>
          <w:tcPr>
            <w:tcW w:w="1109" w:type="dxa"/>
            <w:shd w:val="clear" w:color="auto" w:fill="FFFFFF"/>
            <w:vAlign w:val="center"/>
          </w:tcPr>
          <w:p w14:paraId="625C02EC">
            <w:pPr>
              <w:rPr>
                <w:rFonts w:ascii="宋体" w:hAnsi="宋体" w:cs="宋体"/>
                <w:kern w:val="2"/>
                <w:sz w:val="21"/>
                <w:szCs w:val="21"/>
              </w:rPr>
            </w:pPr>
            <w:r>
              <w:rPr>
                <w:rFonts w:hint="eastAsia" w:ascii="宋体" w:hAnsi="宋体" w:cs="宋体"/>
                <w:kern w:val="2"/>
                <w:sz w:val="21"/>
                <w:szCs w:val="21"/>
              </w:rPr>
              <w:t>财务部</w:t>
            </w:r>
          </w:p>
        </w:tc>
      </w:tr>
      <w:tr w14:paraId="5CC846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jc w:val="center"/>
        </w:trPr>
        <w:tc>
          <w:tcPr>
            <w:tcW w:w="731" w:type="dxa"/>
            <w:vMerge w:val="continue"/>
            <w:shd w:val="clear" w:color="auto" w:fill="FFFFFF"/>
            <w:vAlign w:val="center"/>
          </w:tcPr>
          <w:p w14:paraId="4CC160F5">
            <w:pPr>
              <w:jc w:val="center"/>
              <w:rPr>
                <w:rFonts w:ascii="宋体" w:hAnsi="宋体" w:cs="宋体"/>
                <w:kern w:val="2"/>
                <w:sz w:val="21"/>
                <w:szCs w:val="21"/>
              </w:rPr>
            </w:pPr>
          </w:p>
        </w:tc>
        <w:tc>
          <w:tcPr>
            <w:tcW w:w="2188" w:type="dxa"/>
            <w:shd w:val="clear" w:color="auto" w:fill="FFFFFF"/>
            <w:vAlign w:val="center"/>
          </w:tcPr>
          <w:p w14:paraId="31B176FD">
            <w:pPr>
              <w:rPr>
                <w:rFonts w:ascii="宋体" w:hAnsi="宋体" w:cs="宋体"/>
                <w:kern w:val="2"/>
                <w:sz w:val="21"/>
                <w:szCs w:val="21"/>
              </w:rPr>
            </w:pPr>
            <w:r>
              <w:rPr>
                <w:rFonts w:hint="eastAsia" w:ascii="宋体" w:hAnsi="宋体" w:cs="宋体"/>
                <w:kern w:val="2"/>
                <w:sz w:val="21"/>
                <w:szCs w:val="21"/>
              </w:rPr>
              <w:t>供应商总数量、战略合作供应商数量、战略供应商采购比例</w:t>
            </w:r>
          </w:p>
        </w:tc>
        <w:tc>
          <w:tcPr>
            <w:tcW w:w="1559" w:type="dxa"/>
            <w:shd w:val="clear" w:color="auto" w:fill="FFFFFF"/>
            <w:vAlign w:val="center"/>
          </w:tcPr>
          <w:p w14:paraId="002E958A">
            <w:pPr>
              <w:rPr>
                <w:rFonts w:ascii="宋体" w:hAnsi="宋体" w:cs="宋体"/>
                <w:kern w:val="2"/>
                <w:sz w:val="21"/>
                <w:szCs w:val="21"/>
              </w:rPr>
            </w:pPr>
            <w:r>
              <w:rPr>
                <w:rFonts w:hint="eastAsia" w:ascii="宋体" w:hAnsi="宋体" w:cs="宋体"/>
                <w:kern w:val="2"/>
                <w:sz w:val="21"/>
                <w:szCs w:val="21"/>
              </w:rPr>
              <w:t>合格供方名单</w:t>
            </w:r>
          </w:p>
        </w:tc>
        <w:tc>
          <w:tcPr>
            <w:tcW w:w="871" w:type="dxa"/>
            <w:shd w:val="clear" w:color="auto" w:fill="FFFFFF"/>
            <w:vAlign w:val="center"/>
          </w:tcPr>
          <w:p w14:paraId="162B8981">
            <w:pPr>
              <w:jc w:val="center"/>
              <w:rPr>
                <w:rFonts w:ascii="宋体" w:hAnsi="宋体" w:cs="宋体"/>
                <w:kern w:val="2"/>
                <w:sz w:val="21"/>
                <w:szCs w:val="21"/>
              </w:rPr>
            </w:pPr>
            <w:r>
              <w:rPr>
                <w:rFonts w:hint="eastAsia" w:ascii="宋体" w:hAnsi="宋体" w:cs="宋体"/>
                <w:kern w:val="2"/>
                <w:sz w:val="21"/>
                <w:szCs w:val="21"/>
              </w:rPr>
              <w:t>物控部</w:t>
            </w:r>
          </w:p>
        </w:tc>
        <w:tc>
          <w:tcPr>
            <w:tcW w:w="711" w:type="dxa"/>
            <w:shd w:val="clear" w:color="auto" w:fill="FFFFFF"/>
            <w:noWrap/>
            <w:vAlign w:val="center"/>
          </w:tcPr>
          <w:p w14:paraId="1F46E073">
            <w:pPr>
              <w:jc w:val="center"/>
              <w:rPr>
                <w:rFonts w:ascii="宋体" w:hAnsi="宋体" w:cs="宋体"/>
                <w:kern w:val="2"/>
                <w:sz w:val="21"/>
                <w:szCs w:val="21"/>
              </w:rPr>
            </w:pPr>
            <w:r>
              <w:rPr>
                <w:rFonts w:hint="eastAsia" w:ascii="宋体" w:hAnsi="宋体" w:cs="宋体"/>
                <w:kern w:val="2"/>
                <w:sz w:val="21"/>
                <w:szCs w:val="21"/>
              </w:rPr>
              <w:t>季度</w:t>
            </w:r>
          </w:p>
        </w:tc>
        <w:tc>
          <w:tcPr>
            <w:tcW w:w="686" w:type="dxa"/>
            <w:shd w:val="clear" w:color="auto" w:fill="FFFFFF"/>
            <w:noWrap/>
            <w:vAlign w:val="center"/>
          </w:tcPr>
          <w:p w14:paraId="7D1D61AA">
            <w:pPr>
              <w:jc w:val="center"/>
              <w:rPr>
                <w:rFonts w:ascii="宋体" w:hAnsi="宋体" w:cs="宋体"/>
                <w:kern w:val="2"/>
                <w:sz w:val="21"/>
                <w:szCs w:val="21"/>
              </w:rPr>
            </w:pPr>
            <w:r>
              <w:rPr>
                <w:rFonts w:hint="eastAsia" w:ascii="宋体" w:hAnsi="宋体" w:cs="宋体"/>
                <w:kern w:val="2"/>
                <w:sz w:val="21"/>
                <w:szCs w:val="21"/>
              </w:rPr>
              <w:t>季度</w:t>
            </w:r>
          </w:p>
        </w:tc>
        <w:tc>
          <w:tcPr>
            <w:tcW w:w="709" w:type="dxa"/>
            <w:vMerge w:val="continue"/>
            <w:shd w:val="clear" w:color="auto" w:fill="FFFFFF"/>
            <w:vAlign w:val="center"/>
          </w:tcPr>
          <w:p w14:paraId="6B38AA85">
            <w:pPr>
              <w:rPr>
                <w:rFonts w:ascii="宋体" w:hAnsi="宋体" w:cs="宋体"/>
                <w:kern w:val="2"/>
                <w:sz w:val="21"/>
                <w:szCs w:val="21"/>
              </w:rPr>
            </w:pPr>
          </w:p>
        </w:tc>
        <w:tc>
          <w:tcPr>
            <w:tcW w:w="896" w:type="dxa"/>
            <w:vMerge w:val="continue"/>
            <w:shd w:val="clear" w:color="auto" w:fill="FFFFFF"/>
            <w:vAlign w:val="center"/>
          </w:tcPr>
          <w:p w14:paraId="77F2A294">
            <w:pPr>
              <w:rPr>
                <w:rFonts w:ascii="宋体" w:hAnsi="宋体" w:cs="宋体"/>
                <w:kern w:val="2"/>
                <w:sz w:val="21"/>
                <w:szCs w:val="21"/>
              </w:rPr>
            </w:pPr>
          </w:p>
        </w:tc>
        <w:tc>
          <w:tcPr>
            <w:tcW w:w="1109" w:type="dxa"/>
            <w:shd w:val="clear" w:color="auto" w:fill="FFFFFF"/>
            <w:vAlign w:val="center"/>
          </w:tcPr>
          <w:p w14:paraId="3254081E">
            <w:pPr>
              <w:rPr>
                <w:rFonts w:ascii="宋体" w:hAnsi="宋体" w:cs="宋体"/>
                <w:kern w:val="2"/>
                <w:sz w:val="21"/>
                <w:szCs w:val="21"/>
              </w:rPr>
            </w:pPr>
            <w:r>
              <w:rPr>
                <w:rFonts w:hint="eastAsia" w:ascii="宋体" w:hAnsi="宋体" w:cs="宋体"/>
                <w:kern w:val="2"/>
                <w:sz w:val="21"/>
                <w:szCs w:val="21"/>
              </w:rPr>
              <w:t>财务部、销售部</w:t>
            </w:r>
          </w:p>
        </w:tc>
      </w:tr>
      <w:tr w14:paraId="7D165D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4" w:hRule="atLeast"/>
          <w:jc w:val="center"/>
        </w:trPr>
        <w:tc>
          <w:tcPr>
            <w:tcW w:w="731" w:type="dxa"/>
            <w:vMerge w:val="continue"/>
            <w:shd w:val="clear" w:color="auto" w:fill="FFFFFF"/>
            <w:vAlign w:val="center"/>
          </w:tcPr>
          <w:p w14:paraId="0A489A40">
            <w:pPr>
              <w:rPr>
                <w:rFonts w:ascii="宋体" w:hAnsi="宋体" w:cs="宋体"/>
                <w:kern w:val="2"/>
                <w:sz w:val="21"/>
                <w:szCs w:val="21"/>
              </w:rPr>
            </w:pPr>
          </w:p>
        </w:tc>
        <w:tc>
          <w:tcPr>
            <w:tcW w:w="2188" w:type="dxa"/>
            <w:tcBorders>
              <w:top w:val="single" w:color="auto" w:sz="4" w:space="0"/>
            </w:tcBorders>
            <w:shd w:val="clear" w:color="auto" w:fill="FFFFFF"/>
            <w:vAlign w:val="center"/>
          </w:tcPr>
          <w:p w14:paraId="1E522DBE">
            <w:pPr>
              <w:rPr>
                <w:rFonts w:ascii="宋体" w:hAnsi="宋体" w:cs="宋体"/>
                <w:kern w:val="2"/>
                <w:sz w:val="21"/>
                <w:szCs w:val="21"/>
              </w:rPr>
            </w:pPr>
            <w:r>
              <w:rPr>
                <w:rFonts w:hint="eastAsia" w:ascii="宋体" w:hAnsi="宋体" w:cs="宋体"/>
                <w:kern w:val="2"/>
                <w:sz w:val="21"/>
                <w:szCs w:val="21"/>
              </w:rPr>
              <w:t>新产品投产数、新项目计划达成率、研发周期</w:t>
            </w:r>
          </w:p>
        </w:tc>
        <w:tc>
          <w:tcPr>
            <w:tcW w:w="1559" w:type="dxa"/>
            <w:tcBorders>
              <w:top w:val="single" w:color="auto" w:sz="4" w:space="0"/>
            </w:tcBorders>
            <w:shd w:val="clear" w:color="auto" w:fill="FFFFFF"/>
            <w:vAlign w:val="center"/>
          </w:tcPr>
          <w:p w14:paraId="51B1971B">
            <w:pPr>
              <w:rPr>
                <w:rFonts w:ascii="宋体" w:hAnsi="宋体" w:cs="宋体"/>
                <w:kern w:val="2"/>
                <w:sz w:val="21"/>
                <w:szCs w:val="21"/>
              </w:rPr>
            </w:pPr>
            <w:r>
              <w:rPr>
                <w:rFonts w:hint="eastAsia" w:ascii="宋体" w:hAnsi="宋体" w:cs="宋体"/>
                <w:kern w:val="2"/>
                <w:sz w:val="21"/>
                <w:szCs w:val="21"/>
              </w:rPr>
              <w:t>立项统计表、新项目进度跟踪表</w:t>
            </w:r>
          </w:p>
        </w:tc>
        <w:tc>
          <w:tcPr>
            <w:tcW w:w="871" w:type="dxa"/>
            <w:tcBorders>
              <w:top w:val="single" w:color="auto" w:sz="4" w:space="0"/>
            </w:tcBorders>
            <w:shd w:val="clear" w:color="auto" w:fill="FFFFFF"/>
            <w:vAlign w:val="center"/>
          </w:tcPr>
          <w:p w14:paraId="24FED2C8">
            <w:pPr>
              <w:jc w:val="center"/>
              <w:rPr>
                <w:rFonts w:ascii="宋体" w:hAnsi="宋体" w:cs="宋体"/>
                <w:kern w:val="2"/>
                <w:sz w:val="21"/>
                <w:szCs w:val="21"/>
              </w:rPr>
            </w:pPr>
            <w:r>
              <w:rPr>
                <w:rFonts w:hint="eastAsia" w:ascii="宋体" w:hAnsi="宋体" w:cs="宋体"/>
                <w:kern w:val="2"/>
                <w:sz w:val="21"/>
                <w:szCs w:val="21"/>
              </w:rPr>
              <w:t>技术部</w:t>
            </w:r>
          </w:p>
        </w:tc>
        <w:tc>
          <w:tcPr>
            <w:tcW w:w="711" w:type="dxa"/>
            <w:tcBorders>
              <w:top w:val="single" w:color="auto" w:sz="4" w:space="0"/>
            </w:tcBorders>
            <w:shd w:val="clear" w:color="auto" w:fill="FFFFFF"/>
            <w:noWrap/>
            <w:vAlign w:val="center"/>
          </w:tcPr>
          <w:p w14:paraId="5EE912AE">
            <w:pPr>
              <w:jc w:val="center"/>
              <w:rPr>
                <w:rFonts w:ascii="宋体" w:hAnsi="宋体" w:cs="宋体"/>
                <w:kern w:val="2"/>
                <w:sz w:val="21"/>
                <w:szCs w:val="21"/>
              </w:rPr>
            </w:pPr>
            <w:r>
              <w:rPr>
                <w:rFonts w:hint="eastAsia" w:ascii="宋体" w:hAnsi="宋体" w:cs="宋体"/>
                <w:kern w:val="2"/>
                <w:sz w:val="21"/>
                <w:szCs w:val="21"/>
              </w:rPr>
              <w:t>年</w:t>
            </w:r>
          </w:p>
        </w:tc>
        <w:tc>
          <w:tcPr>
            <w:tcW w:w="686" w:type="dxa"/>
            <w:tcBorders>
              <w:top w:val="single" w:color="auto" w:sz="4" w:space="0"/>
            </w:tcBorders>
            <w:shd w:val="clear" w:color="auto" w:fill="FFFFFF"/>
            <w:noWrap/>
            <w:vAlign w:val="center"/>
          </w:tcPr>
          <w:p w14:paraId="2E7E76C0">
            <w:pPr>
              <w:jc w:val="center"/>
              <w:rPr>
                <w:rFonts w:ascii="宋体" w:hAnsi="宋体" w:cs="宋体"/>
                <w:kern w:val="2"/>
                <w:sz w:val="21"/>
                <w:szCs w:val="21"/>
              </w:rPr>
            </w:pPr>
            <w:r>
              <w:rPr>
                <w:rFonts w:hint="eastAsia" w:ascii="宋体" w:hAnsi="宋体" w:cs="宋体"/>
                <w:kern w:val="2"/>
                <w:sz w:val="21"/>
                <w:szCs w:val="21"/>
              </w:rPr>
              <w:t>年</w:t>
            </w:r>
          </w:p>
        </w:tc>
        <w:tc>
          <w:tcPr>
            <w:tcW w:w="709" w:type="dxa"/>
            <w:vMerge w:val="continue"/>
            <w:tcBorders>
              <w:top w:val="single" w:color="auto" w:sz="4" w:space="0"/>
            </w:tcBorders>
            <w:shd w:val="clear" w:color="auto" w:fill="FFFFFF"/>
            <w:vAlign w:val="center"/>
          </w:tcPr>
          <w:p w14:paraId="449E7FE9">
            <w:pPr>
              <w:rPr>
                <w:rFonts w:ascii="宋体" w:hAnsi="宋体" w:cs="宋体"/>
                <w:kern w:val="2"/>
                <w:sz w:val="21"/>
                <w:szCs w:val="21"/>
              </w:rPr>
            </w:pPr>
          </w:p>
        </w:tc>
        <w:tc>
          <w:tcPr>
            <w:tcW w:w="896" w:type="dxa"/>
            <w:vMerge w:val="continue"/>
            <w:tcBorders>
              <w:top w:val="single" w:color="auto" w:sz="4" w:space="0"/>
            </w:tcBorders>
            <w:shd w:val="clear" w:color="auto" w:fill="FFFFFF"/>
            <w:vAlign w:val="center"/>
          </w:tcPr>
          <w:p w14:paraId="0F9DF786">
            <w:pPr>
              <w:rPr>
                <w:rFonts w:ascii="宋体" w:hAnsi="宋体" w:cs="宋体"/>
                <w:kern w:val="2"/>
                <w:sz w:val="21"/>
                <w:szCs w:val="21"/>
              </w:rPr>
            </w:pPr>
          </w:p>
        </w:tc>
        <w:tc>
          <w:tcPr>
            <w:tcW w:w="1109" w:type="dxa"/>
            <w:tcBorders>
              <w:top w:val="single" w:color="auto" w:sz="4" w:space="0"/>
            </w:tcBorders>
            <w:shd w:val="clear" w:color="auto" w:fill="FFFFFF"/>
            <w:vAlign w:val="center"/>
          </w:tcPr>
          <w:p w14:paraId="3A2D760B">
            <w:pPr>
              <w:rPr>
                <w:rFonts w:ascii="宋体" w:hAnsi="宋体" w:cs="宋体"/>
                <w:kern w:val="2"/>
                <w:sz w:val="21"/>
                <w:szCs w:val="21"/>
              </w:rPr>
            </w:pPr>
            <w:r>
              <w:rPr>
                <w:rFonts w:hint="eastAsia" w:ascii="宋体" w:hAnsi="宋体" w:cs="宋体"/>
                <w:kern w:val="2"/>
                <w:sz w:val="21"/>
                <w:szCs w:val="21"/>
              </w:rPr>
              <w:t>销售部</w:t>
            </w:r>
          </w:p>
        </w:tc>
      </w:tr>
      <w:tr w14:paraId="47ABB5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jc w:val="center"/>
        </w:trPr>
        <w:tc>
          <w:tcPr>
            <w:tcW w:w="731" w:type="dxa"/>
            <w:vMerge w:val="continue"/>
            <w:shd w:val="clear" w:color="auto" w:fill="FFFFFF"/>
            <w:vAlign w:val="center"/>
          </w:tcPr>
          <w:p w14:paraId="5E1AAC6A">
            <w:pPr>
              <w:jc w:val="center"/>
              <w:rPr>
                <w:rFonts w:ascii="宋体" w:hAnsi="宋体" w:cs="宋体"/>
                <w:kern w:val="2"/>
                <w:sz w:val="21"/>
                <w:szCs w:val="21"/>
              </w:rPr>
            </w:pPr>
          </w:p>
        </w:tc>
        <w:tc>
          <w:tcPr>
            <w:tcW w:w="2188" w:type="dxa"/>
            <w:shd w:val="clear" w:color="auto" w:fill="FFFFFF"/>
            <w:vAlign w:val="center"/>
          </w:tcPr>
          <w:p w14:paraId="4055380C">
            <w:pPr>
              <w:rPr>
                <w:rFonts w:ascii="宋体" w:hAnsi="宋体" w:cs="宋体"/>
                <w:kern w:val="2"/>
                <w:sz w:val="21"/>
                <w:szCs w:val="21"/>
              </w:rPr>
            </w:pPr>
            <w:r>
              <w:rPr>
                <w:rFonts w:hint="eastAsia" w:ascii="宋体" w:hAnsi="宋体" w:cs="宋体"/>
                <w:kern w:val="2"/>
                <w:sz w:val="21"/>
                <w:szCs w:val="21"/>
              </w:rPr>
              <w:t>销售计划完成率</w:t>
            </w:r>
          </w:p>
        </w:tc>
        <w:tc>
          <w:tcPr>
            <w:tcW w:w="1559" w:type="dxa"/>
            <w:shd w:val="clear" w:color="auto" w:fill="FFFFFF"/>
            <w:vAlign w:val="center"/>
          </w:tcPr>
          <w:p w14:paraId="20540086">
            <w:pPr>
              <w:rPr>
                <w:rFonts w:ascii="宋体" w:hAnsi="宋体" w:cs="宋体"/>
                <w:kern w:val="2"/>
                <w:sz w:val="21"/>
                <w:szCs w:val="21"/>
              </w:rPr>
            </w:pPr>
            <w:r>
              <w:rPr>
                <w:rFonts w:hint="eastAsia" w:ascii="宋体" w:hAnsi="宋体" w:cs="宋体"/>
                <w:kern w:val="2"/>
                <w:sz w:val="21"/>
                <w:szCs w:val="21"/>
              </w:rPr>
              <w:t>销售报表</w:t>
            </w:r>
          </w:p>
        </w:tc>
        <w:tc>
          <w:tcPr>
            <w:tcW w:w="871" w:type="dxa"/>
            <w:shd w:val="clear" w:color="auto" w:fill="FFFFFF"/>
            <w:vAlign w:val="center"/>
          </w:tcPr>
          <w:p w14:paraId="51A4D830">
            <w:pPr>
              <w:jc w:val="center"/>
              <w:rPr>
                <w:rFonts w:ascii="宋体" w:hAnsi="宋体" w:cs="宋体"/>
                <w:kern w:val="2"/>
                <w:sz w:val="21"/>
                <w:szCs w:val="21"/>
              </w:rPr>
            </w:pPr>
            <w:r>
              <w:rPr>
                <w:rFonts w:hint="eastAsia" w:ascii="宋体" w:hAnsi="宋体" w:cs="宋体"/>
                <w:kern w:val="2"/>
                <w:sz w:val="21"/>
                <w:szCs w:val="21"/>
              </w:rPr>
              <w:t>销售部</w:t>
            </w:r>
          </w:p>
        </w:tc>
        <w:tc>
          <w:tcPr>
            <w:tcW w:w="711" w:type="dxa"/>
            <w:shd w:val="clear" w:color="auto" w:fill="FFFFFF"/>
            <w:noWrap/>
            <w:vAlign w:val="center"/>
          </w:tcPr>
          <w:p w14:paraId="3C069C87">
            <w:pPr>
              <w:jc w:val="center"/>
              <w:rPr>
                <w:rFonts w:ascii="宋体" w:hAnsi="宋体" w:cs="宋体"/>
                <w:kern w:val="2"/>
                <w:sz w:val="21"/>
                <w:szCs w:val="21"/>
              </w:rPr>
            </w:pPr>
            <w:r>
              <w:rPr>
                <w:rFonts w:hint="eastAsia" w:ascii="宋体" w:hAnsi="宋体" w:cs="宋体"/>
                <w:kern w:val="2"/>
                <w:sz w:val="21"/>
                <w:szCs w:val="21"/>
              </w:rPr>
              <w:t>月</w:t>
            </w:r>
          </w:p>
        </w:tc>
        <w:tc>
          <w:tcPr>
            <w:tcW w:w="686" w:type="dxa"/>
            <w:shd w:val="clear" w:color="auto" w:fill="FFFFFF"/>
            <w:noWrap/>
            <w:vAlign w:val="center"/>
          </w:tcPr>
          <w:p w14:paraId="64AFC0E1">
            <w:pPr>
              <w:jc w:val="center"/>
              <w:rPr>
                <w:rFonts w:ascii="宋体" w:hAnsi="宋体" w:cs="宋体"/>
                <w:kern w:val="2"/>
                <w:sz w:val="21"/>
                <w:szCs w:val="21"/>
              </w:rPr>
            </w:pPr>
            <w:r>
              <w:rPr>
                <w:rFonts w:hint="eastAsia" w:ascii="宋体" w:hAnsi="宋体" w:cs="宋体"/>
                <w:kern w:val="2"/>
                <w:sz w:val="21"/>
                <w:szCs w:val="21"/>
              </w:rPr>
              <w:t>月</w:t>
            </w:r>
          </w:p>
        </w:tc>
        <w:tc>
          <w:tcPr>
            <w:tcW w:w="709" w:type="dxa"/>
            <w:vMerge w:val="continue"/>
            <w:shd w:val="clear" w:color="auto" w:fill="FFFFFF"/>
            <w:vAlign w:val="center"/>
          </w:tcPr>
          <w:p w14:paraId="45876FC6">
            <w:pPr>
              <w:rPr>
                <w:rFonts w:ascii="宋体" w:hAnsi="宋体" w:cs="宋体"/>
                <w:kern w:val="2"/>
                <w:sz w:val="21"/>
                <w:szCs w:val="21"/>
              </w:rPr>
            </w:pPr>
          </w:p>
        </w:tc>
        <w:tc>
          <w:tcPr>
            <w:tcW w:w="896" w:type="dxa"/>
            <w:vMerge w:val="continue"/>
            <w:shd w:val="clear" w:color="auto" w:fill="FFFFFF"/>
            <w:vAlign w:val="center"/>
          </w:tcPr>
          <w:p w14:paraId="77D7D851">
            <w:pPr>
              <w:rPr>
                <w:rFonts w:ascii="宋体" w:hAnsi="宋体" w:cs="宋体"/>
                <w:kern w:val="2"/>
                <w:sz w:val="21"/>
                <w:szCs w:val="21"/>
              </w:rPr>
            </w:pPr>
          </w:p>
        </w:tc>
        <w:tc>
          <w:tcPr>
            <w:tcW w:w="1109" w:type="dxa"/>
            <w:shd w:val="clear" w:color="auto" w:fill="FFFFFF"/>
            <w:vAlign w:val="center"/>
          </w:tcPr>
          <w:p w14:paraId="2E929004">
            <w:pPr>
              <w:rPr>
                <w:rFonts w:ascii="宋体" w:hAnsi="宋体" w:cs="宋体"/>
                <w:kern w:val="2"/>
                <w:sz w:val="21"/>
                <w:szCs w:val="21"/>
              </w:rPr>
            </w:pPr>
            <w:r>
              <w:rPr>
                <w:rFonts w:hint="eastAsia" w:ascii="宋体" w:hAnsi="宋体" w:cs="宋体"/>
                <w:kern w:val="2"/>
                <w:sz w:val="21"/>
                <w:szCs w:val="21"/>
              </w:rPr>
              <w:t>财务部</w:t>
            </w:r>
          </w:p>
        </w:tc>
      </w:tr>
      <w:tr w14:paraId="669CA2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jc w:val="center"/>
        </w:trPr>
        <w:tc>
          <w:tcPr>
            <w:tcW w:w="731" w:type="dxa"/>
            <w:vMerge w:val="continue"/>
            <w:shd w:val="clear" w:color="auto" w:fill="FFFFFF"/>
            <w:vAlign w:val="center"/>
          </w:tcPr>
          <w:p w14:paraId="21537E3C">
            <w:pPr>
              <w:jc w:val="center"/>
              <w:rPr>
                <w:rFonts w:ascii="宋体" w:hAnsi="宋体" w:cs="宋体"/>
                <w:kern w:val="2"/>
                <w:sz w:val="21"/>
                <w:szCs w:val="21"/>
              </w:rPr>
            </w:pPr>
          </w:p>
        </w:tc>
        <w:tc>
          <w:tcPr>
            <w:tcW w:w="2188" w:type="dxa"/>
            <w:shd w:val="clear" w:color="auto" w:fill="FFFFFF"/>
            <w:vAlign w:val="center"/>
          </w:tcPr>
          <w:p w14:paraId="1B1E7E52">
            <w:pPr>
              <w:rPr>
                <w:rFonts w:ascii="宋体" w:hAnsi="宋体" w:cs="宋体"/>
                <w:kern w:val="2"/>
                <w:sz w:val="21"/>
                <w:szCs w:val="21"/>
              </w:rPr>
            </w:pPr>
            <w:r>
              <w:rPr>
                <w:rFonts w:hint="eastAsia" w:ascii="宋体" w:hAnsi="宋体" w:cs="宋体"/>
                <w:kern w:val="2"/>
                <w:sz w:val="21"/>
                <w:szCs w:val="21"/>
              </w:rPr>
              <w:t>供应商及时交付率</w:t>
            </w:r>
          </w:p>
        </w:tc>
        <w:tc>
          <w:tcPr>
            <w:tcW w:w="1559" w:type="dxa"/>
            <w:shd w:val="clear" w:color="auto" w:fill="FFFFFF"/>
            <w:vAlign w:val="center"/>
          </w:tcPr>
          <w:p w14:paraId="7BE0BDF1">
            <w:pPr>
              <w:rPr>
                <w:rFonts w:ascii="宋体" w:hAnsi="宋体" w:cs="宋体"/>
                <w:kern w:val="2"/>
                <w:sz w:val="21"/>
                <w:szCs w:val="21"/>
              </w:rPr>
            </w:pPr>
            <w:r>
              <w:rPr>
                <w:rFonts w:hint="eastAsia" w:ascii="宋体" w:hAnsi="宋体" w:cs="宋体"/>
                <w:kern w:val="2"/>
                <w:sz w:val="21"/>
                <w:szCs w:val="21"/>
              </w:rPr>
              <w:t>供应商考核报表</w:t>
            </w:r>
          </w:p>
        </w:tc>
        <w:tc>
          <w:tcPr>
            <w:tcW w:w="871" w:type="dxa"/>
            <w:shd w:val="clear" w:color="auto" w:fill="FFFFFF"/>
            <w:vAlign w:val="center"/>
          </w:tcPr>
          <w:p w14:paraId="77E3C28E">
            <w:pPr>
              <w:jc w:val="center"/>
              <w:rPr>
                <w:rFonts w:ascii="宋体" w:hAnsi="宋体" w:cs="宋体"/>
                <w:kern w:val="2"/>
                <w:sz w:val="21"/>
                <w:szCs w:val="21"/>
              </w:rPr>
            </w:pPr>
            <w:r>
              <w:rPr>
                <w:rFonts w:hint="eastAsia" w:ascii="宋体" w:hAnsi="宋体" w:cs="宋体"/>
                <w:kern w:val="2"/>
                <w:sz w:val="21"/>
                <w:szCs w:val="21"/>
              </w:rPr>
              <w:t>品管部</w:t>
            </w:r>
          </w:p>
        </w:tc>
        <w:tc>
          <w:tcPr>
            <w:tcW w:w="711" w:type="dxa"/>
            <w:shd w:val="clear" w:color="auto" w:fill="FFFFFF"/>
            <w:noWrap/>
            <w:vAlign w:val="center"/>
          </w:tcPr>
          <w:p w14:paraId="77ABB319">
            <w:pPr>
              <w:jc w:val="center"/>
              <w:rPr>
                <w:rFonts w:ascii="宋体" w:hAnsi="宋体" w:cs="宋体"/>
                <w:kern w:val="2"/>
                <w:sz w:val="21"/>
                <w:szCs w:val="21"/>
              </w:rPr>
            </w:pPr>
            <w:r>
              <w:rPr>
                <w:rFonts w:hint="eastAsia" w:ascii="宋体" w:hAnsi="宋体" w:cs="宋体"/>
                <w:kern w:val="2"/>
                <w:sz w:val="21"/>
                <w:szCs w:val="21"/>
              </w:rPr>
              <w:t>月</w:t>
            </w:r>
          </w:p>
        </w:tc>
        <w:tc>
          <w:tcPr>
            <w:tcW w:w="686" w:type="dxa"/>
            <w:shd w:val="clear" w:color="auto" w:fill="FFFFFF"/>
            <w:noWrap/>
            <w:vAlign w:val="center"/>
          </w:tcPr>
          <w:p w14:paraId="1102CD7B">
            <w:pPr>
              <w:jc w:val="center"/>
              <w:rPr>
                <w:rFonts w:ascii="宋体" w:hAnsi="宋体" w:cs="宋体"/>
                <w:kern w:val="2"/>
                <w:sz w:val="21"/>
                <w:szCs w:val="21"/>
              </w:rPr>
            </w:pPr>
            <w:r>
              <w:rPr>
                <w:rFonts w:hint="eastAsia" w:ascii="宋体" w:hAnsi="宋体" w:cs="宋体"/>
                <w:kern w:val="2"/>
                <w:sz w:val="21"/>
                <w:szCs w:val="21"/>
              </w:rPr>
              <w:t>月</w:t>
            </w:r>
          </w:p>
        </w:tc>
        <w:tc>
          <w:tcPr>
            <w:tcW w:w="709" w:type="dxa"/>
            <w:vMerge w:val="continue"/>
            <w:shd w:val="clear" w:color="auto" w:fill="FFFFFF"/>
            <w:vAlign w:val="center"/>
          </w:tcPr>
          <w:p w14:paraId="3391A3DA">
            <w:pPr>
              <w:rPr>
                <w:rFonts w:ascii="宋体" w:hAnsi="宋体" w:cs="宋体"/>
                <w:kern w:val="2"/>
                <w:sz w:val="21"/>
                <w:szCs w:val="21"/>
              </w:rPr>
            </w:pPr>
          </w:p>
        </w:tc>
        <w:tc>
          <w:tcPr>
            <w:tcW w:w="896" w:type="dxa"/>
            <w:vMerge w:val="continue"/>
            <w:shd w:val="clear" w:color="auto" w:fill="FFFFFF"/>
            <w:vAlign w:val="center"/>
          </w:tcPr>
          <w:p w14:paraId="7547B690">
            <w:pPr>
              <w:rPr>
                <w:rFonts w:ascii="宋体" w:hAnsi="宋体" w:cs="宋体"/>
                <w:kern w:val="2"/>
                <w:sz w:val="21"/>
                <w:szCs w:val="21"/>
              </w:rPr>
            </w:pPr>
          </w:p>
        </w:tc>
        <w:tc>
          <w:tcPr>
            <w:tcW w:w="1109" w:type="dxa"/>
            <w:shd w:val="clear" w:color="auto" w:fill="FFFFFF"/>
            <w:vAlign w:val="center"/>
          </w:tcPr>
          <w:p w14:paraId="5B33A061">
            <w:pPr>
              <w:rPr>
                <w:rFonts w:ascii="宋体" w:hAnsi="宋体" w:cs="宋体"/>
                <w:kern w:val="2"/>
                <w:sz w:val="21"/>
                <w:szCs w:val="21"/>
              </w:rPr>
            </w:pPr>
            <w:r>
              <w:rPr>
                <w:rFonts w:hint="eastAsia" w:ascii="宋体" w:hAnsi="宋体" w:cs="宋体"/>
                <w:kern w:val="2"/>
                <w:sz w:val="21"/>
                <w:szCs w:val="21"/>
              </w:rPr>
              <w:t>物控部</w:t>
            </w:r>
          </w:p>
        </w:tc>
      </w:tr>
      <w:tr w14:paraId="61DF76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jc w:val="center"/>
        </w:trPr>
        <w:tc>
          <w:tcPr>
            <w:tcW w:w="731" w:type="dxa"/>
            <w:vMerge w:val="continue"/>
            <w:shd w:val="clear" w:color="auto" w:fill="FFFFFF"/>
            <w:vAlign w:val="center"/>
          </w:tcPr>
          <w:p w14:paraId="2225F0D9">
            <w:pPr>
              <w:jc w:val="center"/>
              <w:rPr>
                <w:rFonts w:ascii="宋体" w:hAnsi="宋体" w:cs="宋体"/>
                <w:kern w:val="2"/>
                <w:sz w:val="21"/>
                <w:szCs w:val="21"/>
              </w:rPr>
            </w:pPr>
          </w:p>
        </w:tc>
        <w:tc>
          <w:tcPr>
            <w:tcW w:w="2188" w:type="dxa"/>
            <w:shd w:val="clear" w:color="auto" w:fill="FFFFFF"/>
            <w:vAlign w:val="center"/>
          </w:tcPr>
          <w:p w14:paraId="24957100">
            <w:pPr>
              <w:rPr>
                <w:rFonts w:ascii="宋体" w:hAnsi="宋体" w:cs="宋体"/>
                <w:kern w:val="2"/>
                <w:sz w:val="21"/>
                <w:szCs w:val="21"/>
              </w:rPr>
            </w:pPr>
            <w:r>
              <w:rPr>
                <w:rFonts w:hint="eastAsia" w:ascii="宋体" w:hAnsi="宋体" w:cs="宋体"/>
                <w:kern w:val="2"/>
                <w:sz w:val="21"/>
                <w:szCs w:val="21"/>
              </w:rPr>
              <w:t>生产计划完成率</w:t>
            </w:r>
          </w:p>
        </w:tc>
        <w:tc>
          <w:tcPr>
            <w:tcW w:w="1559" w:type="dxa"/>
            <w:shd w:val="clear" w:color="auto" w:fill="FFFFFF"/>
            <w:vAlign w:val="center"/>
          </w:tcPr>
          <w:p w14:paraId="141CE15F">
            <w:pPr>
              <w:rPr>
                <w:rFonts w:ascii="宋体" w:hAnsi="宋体" w:cs="宋体"/>
                <w:kern w:val="2"/>
                <w:sz w:val="21"/>
                <w:szCs w:val="21"/>
              </w:rPr>
            </w:pPr>
            <w:r>
              <w:rPr>
                <w:rFonts w:hint="eastAsia" w:ascii="宋体" w:hAnsi="宋体" w:cs="宋体"/>
                <w:kern w:val="2"/>
                <w:sz w:val="21"/>
                <w:szCs w:val="21"/>
              </w:rPr>
              <w:t>生产月报</w:t>
            </w:r>
          </w:p>
        </w:tc>
        <w:tc>
          <w:tcPr>
            <w:tcW w:w="871" w:type="dxa"/>
            <w:shd w:val="clear" w:color="auto" w:fill="FFFFFF"/>
            <w:vAlign w:val="center"/>
          </w:tcPr>
          <w:p w14:paraId="32FEC138">
            <w:pPr>
              <w:jc w:val="center"/>
              <w:rPr>
                <w:rFonts w:ascii="宋体" w:hAnsi="宋体" w:cs="宋体"/>
                <w:kern w:val="2"/>
                <w:sz w:val="21"/>
                <w:szCs w:val="21"/>
              </w:rPr>
            </w:pPr>
            <w:r>
              <w:rPr>
                <w:rFonts w:hint="eastAsia" w:ascii="宋体" w:hAnsi="宋体" w:cs="宋体"/>
                <w:kern w:val="2"/>
                <w:sz w:val="21"/>
                <w:szCs w:val="21"/>
              </w:rPr>
              <w:t>生产部</w:t>
            </w:r>
          </w:p>
        </w:tc>
        <w:tc>
          <w:tcPr>
            <w:tcW w:w="711" w:type="dxa"/>
            <w:shd w:val="clear" w:color="auto" w:fill="FFFFFF"/>
            <w:noWrap/>
            <w:vAlign w:val="center"/>
          </w:tcPr>
          <w:p w14:paraId="724754A9">
            <w:pPr>
              <w:jc w:val="center"/>
              <w:rPr>
                <w:rFonts w:ascii="宋体" w:hAnsi="宋体" w:cs="宋体"/>
                <w:kern w:val="2"/>
                <w:sz w:val="21"/>
                <w:szCs w:val="21"/>
              </w:rPr>
            </w:pPr>
            <w:r>
              <w:rPr>
                <w:rFonts w:hint="eastAsia" w:ascii="宋体" w:hAnsi="宋体" w:cs="宋体"/>
                <w:kern w:val="2"/>
                <w:sz w:val="21"/>
                <w:szCs w:val="21"/>
              </w:rPr>
              <w:t>月</w:t>
            </w:r>
          </w:p>
        </w:tc>
        <w:tc>
          <w:tcPr>
            <w:tcW w:w="686" w:type="dxa"/>
            <w:shd w:val="clear" w:color="auto" w:fill="FFFFFF"/>
            <w:noWrap/>
            <w:vAlign w:val="center"/>
          </w:tcPr>
          <w:p w14:paraId="3587D700">
            <w:pPr>
              <w:jc w:val="center"/>
              <w:rPr>
                <w:rFonts w:ascii="宋体" w:hAnsi="宋体" w:cs="宋体"/>
                <w:kern w:val="2"/>
                <w:sz w:val="21"/>
                <w:szCs w:val="21"/>
              </w:rPr>
            </w:pPr>
            <w:r>
              <w:rPr>
                <w:rFonts w:hint="eastAsia" w:ascii="宋体" w:hAnsi="宋体" w:cs="宋体"/>
                <w:kern w:val="2"/>
                <w:sz w:val="21"/>
                <w:szCs w:val="21"/>
              </w:rPr>
              <w:t>月</w:t>
            </w:r>
          </w:p>
        </w:tc>
        <w:tc>
          <w:tcPr>
            <w:tcW w:w="709" w:type="dxa"/>
            <w:vMerge w:val="continue"/>
            <w:shd w:val="clear" w:color="auto" w:fill="FFFFFF"/>
            <w:vAlign w:val="center"/>
          </w:tcPr>
          <w:p w14:paraId="374FDB5D">
            <w:pPr>
              <w:rPr>
                <w:rFonts w:ascii="宋体" w:hAnsi="宋体" w:cs="宋体"/>
                <w:kern w:val="2"/>
                <w:sz w:val="21"/>
                <w:szCs w:val="21"/>
              </w:rPr>
            </w:pPr>
          </w:p>
        </w:tc>
        <w:tc>
          <w:tcPr>
            <w:tcW w:w="896" w:type="dxa"/>
            <w:vMerge w:val="continue"/>
            <w:shd w:val="clear" w:color="auto" w:fill="FFFFFF"/>
            <w:vAlign w:val="center"/>
          </w:tcPr>
          <w:p w14:paraId="0D9F59C0">
            <w:pPr>
              <w:rPr>
                <w:rFonts w:ascii="宋体" w:hAnsi="宋体" w:cs="宋体"/>
                <w:kern w:val="2"/>
                <w:sz w:val="21"/>
                <w:szCs w:val="21"/>
              </w:rPr>
            </w:pPr>
          </w:p>
        </w:tc>
        <w:tc>
          <w:tcPr>
            <w:tcW w:w="1109" w:type="dxa"/>
            <w:shd w:val="clear" w:color="auto" w:fill="FFFFFF"/>
            <w:vAlign w:val="center"/>
          </w:tcPr>
          <w:p w14:paraId="3542E1DC">
            <w:pPr>
              <w:rPr>
                <w:rFonts w:ascii="宋体" w:hAnsi="宋体" w:cs="宋体"/>
                <w:kern w:val="2"/>
                <w:sz w:val="21"/>
                <w:szCs w:val="21"/>
              </w:rPr>
            </w:pPr>
            <w:r>
              <w:rPr>
                <w:rFonts w:hint="eastAsia" w:ascii="宋体" w:hAnsi="宋体" w:cs="宋体"/>
                <w:kern w:val="2"/>
                <w:sz w:val="21"/>
                <w:szCs w:val="21"/>
              </w:rPr>
              <w:t>物控部</w:t>
            </w:r>
          </w:p>
        </w:tc>
      </w:tr>
      <w:tr w14:paraId="0C4269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jc w:val="center"/>
        </w:trPr>
        <w:tc>
          <w:tcPr>
            <w:tcW w:w="731" w:type="dxa"/>
            <w:vMerge w:val="continue"/>
            <w:shd w:val="clear" w:color="auto" w:fill="FFFFFF"/>
            <w:vAlign w:val="center"/>
          </w:tcPr>
          <w:p w14:paraId="54DFA9C4">
            <w:pPr>
              <w:rPr>
                <w:rFonts w:ascii="宋体" w:hAnsi="宋体" w:cs="宋体"/>
                <w:kern w:val="2"/>
                <w:sz w:val="21"/>
                <w:szCs w:val="21"/>
              </w:rPr>
            </w:pPr>
          </w:p>
        </w:tc>
        <w:tc>
          <w:tcPr>
            <w:tcW w:w="2188" w:type="dxa"/>
            <w:shd w:val="clear" w:color="auto" w:fill="FFFFFF"/>
            <w:vAlign w:val="center"/>
          </w:tcPr>
          <w:p w14:paraId="2380A7DC">
            <w:pPr>
              <w:rPr>
                <w:rFonts w:ascii="宋体" w:hAnsi="宋体" w:cs="宋体"/>
                <w:kern w:val="2"/>
                <w:sz w:val="21"/>
                <w:szCs w:val="21"/>
              </w:rPr>
            </w:pPr>
            <w:r>
              <w:rPr>
                <w:rFonts w:hint="eastAsia" w:ascii="宋体" w:hAnsi="宋体" w:cs="宋体"/>
                <w:kern w:val="2"/>
                <w:sz w:val="21"/>
                <w:szCs w:val="21"/>
              </w:rPr>
              <w:t xml:space="preserve">库存周转率 </w:t>
            </w:r>
          </w:p>
        </w:tc>
        <w:tc>
          <w:tcPr>
            <w:tcW w:w="1559" w:type="dxa"/>
            <w:shd w:val="clear" w:color="auto" w:fill="FFFFFF"/>
            <w:vAlign w:val="center"/>
          </w:tcPr>
          <w:p w14:paraId="19B46CBB">
            <w:pPr>
              <w:rPr>
                <w:rFonts w:ascii="宋体" w:hAnsi="宋体" w:cs="宋体"/>
                <w:kern w:val="2"/>
                <w:sz w:val="21"/>
                <w:szCs w:val="21"/>
              </w:rPr>
            </w:pPr>
            <w:r>
              <w:rPr>
                <w:rFonts w:hint="eastAsia" w:ascii="宋体" w:hAnsi="宋体" w:cs="宋体"/>
                <w:kern w:val="2"/>
                <w:sz w:val="21"/>
                <w:szCs w:val="21"/>
              </w:rPr>
              <w:t>运营月度报表</w:t>
            </w:r>
          </w:p>
        </w:tc>
        <w:tc>
          <w:tcPr>
            <w:tcW w:w="871" w:type="dxa"/>
            <w:shd w:val="clear" w:color="auto" w:fill="FFFFFF"/>
            <w:vAlign w:val="center"/>
          </w:tcPr>
          <w:p w14:paraId="39BBF230">
            <w:pPr>
              <w:jc w:val="center"/>
              <w:rPr>
                <w:rFonts w:ascii="宋体" w:hAnsi="宋体" w:cs="宋体"/>
                <w:kern w:val="2"/>
                <w:sz w:val="21"/>
                <w:szCs w:val="21"/>
              </w:rPr>
            </w:pPr>
            <w:r>
              <w:rPr>
                <w:rFonts w:hint="eastAsia" w:ascii="宋体" w:hAnsi="宋体" w:cs="宋体"/>
                <w:kern w:val="2"/>
                <w:sz w:val="21"/>
                <w:szCs w:val="21"/>
              </w:rPr>
              <w:t>物控部</w:t>
            </w:r>
          </w:p>
        </w:tc>
        <w:tc>
          <w:tcPr>
            <w:tcW w:w="711" w:type="dxa"/>
            <w:shd w:val="clear" w:color="auto" w:fill="FFFFFF"/>
            <w:noWrap/>
            <w:vAlign w:val="center"/>
          </w:tcPr>
          <w:p w14:paraId="7A46F460">
            <w:pPr>
              <w:jc w:val="center"/>
              <w:rPr>
                <w:rFonts w:ascii="宋体" w:hAnsi="宋体" w:cs="宋体"/>
                <w:kern w:val="2"/>
                <w:sz w:val="21"/>
                <w:szCs w:val="21"/>
              </w:rPr>
            </w:pPr>
            <w:r>
              <w:rPr>
                <w:rFonts w:hint="eastAsia" w:ascii="宋体" w:hAnsi="宋体" w:cs="宋体"/>
                <w:kern w:val="2"/>
                <w:sz w:val="21"/>
                <w:szCs w:val="21"/>
              </w:rPr>
              <w:t>月</w:t>
            </w:r>
          </w:p>
        </w:tc>
        <w:tc>
          <w:tcPr>
            <w:tcW w:w="686" w:type="dxa"/>
            <w:shd w:val="clear" w:color="auto" w:fill="FFFFFF"/>
            <w:noWrap/>
            <w:vAlign w:val="center"/>
          </w:tcPr>
          <w:p w14:paraId="0F19F805">
            <w:pPr>
              <w:jc w:val="center"/>
              <w:rPr>
                <w:rFonts w:ascii="宋体" w:hAnsi="宋体" w:cs="宋体"/>
                <w:kern w:val="2"/>
                <w:sz w:val="21"/>
                <w:szCs w:val="21"/>
              </w:rPr>
            </w:pPr>
            <w:r>
              <w:rPr>
                <w:rFonts w:hint="eastAsia" w:ascii="宋体" w:hAnsi="宋体" w:cs="宋体"/>
                <w:kern w:val="2"/>
                <w:sz w:val="21"/>
                <w:szCs w:val="21"/>
              </w:rPr>
              <w:t>月</w:t>
            </w:r>
          </w:p>
        </w:tc>
        <w:tc>
          <w:tcPr>
            <w:tcW w:w="709" w:type="dxa"/>
            <w:vMerge w:val="continue"/>
            <w:shd w:val="clear" w:color="auto" w:fill="FFFFFF"/>
            <w:vAlign w:val="center"/>
          </w:tcPr>
          <w:p w14:paraId="724C9614">
            <w:pPr>
              <w:rPr>
                <w:rFonts w:ascii="宋体" w:hAnsi="宋体" w:cs="宋体"/>
                <w:kern w:val="2"/>
                <w:sz w:val="21"/>
                <w:szCs w:val="21"/>
              </w:rPr>
            </w:pPr>
          </w:p>
        </w:tc>
        <w:tc>
          <w:tcPr>
            <w:tcW w:w="896" w:type="dxa"/>
            <w:vMerge w:val="continue"/>
            <w:shd w:val="clear" w:color="auto" w:fill="FFFFFF"/>
            <w:vAlign w:val="center"/>
          </w:tcPr>
          <w:p w14:paraId="7F267B4B">
            <w:pPr>
              <w:rPr>
                <w:rFonts w:ascii="宋体" w:hAnsi="宋体" w:cs="宋体"/>
                <w:kern w:val="2"/>
                <w:sz w:val="21"/>
                <w:szCs w:val="21"/>
              </w:rPr>
            </w:pPr>
          </w:p>
        </w:tc>
        <w:tc>
          <w:tcPr>
            <w:tcW w:w="1109" w:type="dxa"/>
            <w:shd w:val="clear" w:color="auto" w:fill="FFFFFF"/>
            <w:vAlign w:val="center"/>
          </w:tcPr>
          <w:p w14:paraId="0254DA2C">
            <w:pPr>
              <w:rPr>
                <w:rFonts w:ascii="宋体" w:hAnsi="宋体" w:cs="宋体"/>
                <w:kern w:val="2"/>
                <w:sz w:val="21"/>
                <w:szCs w:val="21"/>
              </w:rPr>
            </w:pPr>
            <w:r>
              <w:rPr>
                <w:rFonts w:hint="eastAsia" w:ascii="宋体" w:hAnsi="宋体" w:cs="宋体"/>
                <w:kern w:val="2"/>
                <w:sz w:val="21"/>
                <w:szCs w:val="21"/>
              </w:rPr>
              <w:t>生产部</w:t>
            </w:r>
          </w:p>
        </w:tc>
      </w:tr>
      <w:tr w14:paraId="655ACF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jc w:val="center"/>
        </w:trPr>
        <w:tc>
          <w:tcPr>
            <w:tcW w:w="731" w:type="dxa"/>
            <w:vMerge w:val="continue"/>
            <w:shd w:val="clear" w:color="auto" w:fill="FFFFFF"/>
            <w:vAlign w:val="center"/>
          </w:tcPr>
          <w:p w14:paraId="6AC60CB7">
            <w:pPr>
              <w:rPr>
                <w:rFonts w:ascii="宋体" w:hAnsi="宋体" w:cs="宋体"/>
                <w:kern w:val="2"/>
                <w:sz w:val="21"/>
                <w:szCs w:val="21"/>
              </w:rPr>
            </w:pPr>
          </w:p>
        </w:tc>
        <w:tc>
          <w:tcPr>
            <w:tcW w:w="2188" w:type="dxa"/>
            <w:shd w:val="clear" w:color="auto" w:fill="FFFFFF"/>
            <w:vAlign w:val="center"/>
          </w:tcPr>
          <w:p w14:paraId="4AE2C141">
            <w:pPr>
              <w:rPr>
                <w:rFonts w:ascii="宋体" w:hAnsi="宋体" w:cs="宋体"/>
                <w:kern w:val="2"/>
                <w:sz w:val="21"/>
                <w:szCs w:val="21"/>
              </w:rPr>
            </w:pPr>
            <w:r>
              <w:rPr>
                <w:rFonts w:hint="eastAsia" w:ascii="宋体" w:hAnsi="宋体"/>
                <w:bCs/>
                <w:kern w:val="2"/>
                <w:sz w:val="21"/>
                <w:szCs w:val="21"/>
              </w:rPr>
              <w:t>进货批合格率、制程</w:t>
            </w:r>
            <w:r>
              <w:rPr>
                <w:rFonts w:hint="eastAsia" w:ascii="宋体" w:hAnsi="宋体" w:cs="宋体"/>
                <w:kern w:val="2"/>
                <w:sz w:val="21"/>
                <w:szCs w:val="21"/>
              </w:rPr>
              <w:t>一次合格率、内外部质量成本、成品校验合格率</w:t>
            </w:r>
          </w:p>
        </w:tc>
        <w:tc>
          <w:tcPr>
            <w:tcW w:w="1559" w:type="dxa"/>
            <w:shd w:val="clear" w:color="auto" w:fill="FFFFFF"/>
            <w:vAlign w:val="center"/>
          </w:tcPr>
          <w:p w14:paraId="781CC42F">
            <w:pPr>
              <w:rPr>
                <w:rFonts w:ascii="宋体" w:hAnsi="宋体" w:cs="宋体"/>
                <w:kern w:val="2"/>
                <w:sz w:val="21"/>
                <w:szCs w:val="21"/>
              </w:rPr>
            </w:pPr>
            <w:r>
              <w:rPr>
                <w:rFonts w:hint="eastAsia" w:ascii="宋体" w:hAnsi="宋体" w:cs="宋体"/>
                <w:kern w:val="2"/>
                <w:sz w:val="21"/>
                <w:szCs w:val="21"/>
              </w:rPr>
              <w:t>质量月报</w:t>
            </w:r>
          </w:p>
        </w:tc>
        <w:tc>
          <w:tcPr>
            <w:tcW w:w="871" w:type="dxa"/>
            <w:shd w:val="clear" w:color="auto" w:fill="FFFFFF"/>
            <w:vAlign w:val="center"/>
          </w:tcPr>
          <w:p w14:paraId="029F3CA8">
            <w:pPr>
              <w:jc w:val="center"/>
              <w:rPr>
                <w:rFonts w:ascii="宋体" w:hAnsi="宋体" w:cs="宋体"/>
                <w:kern w:val="2"/>
                <w:sz w:val="21"/>
                <w:szCs w:val="21"/>
              </w:rPr>
            </w:pPr>
            <w:r>
              <w:rPr>
                <w:rFonts w:hint="eastAsia" w:ascii="宋体" w:hAnsi="宋体" w:cs="宋体"/>
                <w:kern w:val="2"/>
                <w:sz w:val="21"/>
                <w:szCs w:val="21"/>
              </w:rPr>
              <w:t>品管部</w:t>
            </w:r>
          </w:p>
        </w:tc>
        <w:tc>
          <w:tcPr>
            <w:tcW w:w="711" w:type="dxa"/>
            <w:shd w:val="clear" w:color="auto" w:fill="FFFFFF"/>
            <w:noWrap/>
            <w:vAlign w:val="center"/>
          </w:tcPr>
          <w:p w14:paraId="31E6BCFE">
            <w:pPr>
              <w:jc w:val="center"/>
              <w:rPr>
                <w:rFonts w:ascii="宋体" w:hAnsi="宋体" w:cs="宋体"/>
                <w:kern w:val="2"/>
                <w:sz w:val="21"/>
                <w:szCs w:val="21"/>
              </w:rPr>
            </w:pPr>
            <w:r>
              <w:rPr>
                <w:rFonts w:hint="eastAsia" w:ascii="宋体" w:hAnsi="宋体" w:cs="宋体"/>
                <w:kern w:val="2"/>
                <w:sz w:val="21"/>
                <w:szCs w:val="21"/>
              </w:rPr>
              <w:t>月</w:t>
            </w:r>
          </w:p>
        </w:tc>
        <w:tc>
          <w:tcPr>
            <w:tcW w:w="686" w:type="dxa"/>
            <w:shd w:val="clear" w:color="auto" w:fill="FFFFFF"/>
            <w:noWrap/>
            <w:vAlign w:val="center"/>
          </w:tcPr>
          <w:p w14:paraId="7BED2C72">
            <w:pPr>
              <w:jc w:val="center"/>
              <w:rPr>
                <w:rFonts w:ascii="宋体" w:hAnsi="宋体" w:cs="宋体"/>
                <w:kern w:val="2"/>
                <w:sz w:val="21"/>
                <w:szCs w:val="21"/>
              </w:rPr>
            </w:pPr>
            <w:r>
              <w:rPr>
                <w:rFonts w:hint="eastAsia" w:ascii="宋体" w:hAnsi="宋体" w:cs="宋体"/>
                <w:kern w:val="2"/>
                <w:sz w:val="21"/>
                <w:szCs w:val="21"/>
              </w:rPr>
              <w:t>月</w:t>
            </w:r>
          </w:p>
        </w:tc>
        <w:tc>
          <w:tcPr>
            <w:tcW w:w="709" w:type="dxa"/>
            <w:vMerge w:val="continue"/>
            <w:shd w:val="clear" w:color="auto" w:fill="FFFFFF"/>
            <w:vAlign w:val="center"/>
          </w:tcPr>
          <w:p w14:paraId="54CF0FE4">
            <w:pPr>
              <w:rPr>
                <w:rFonts w:ascii="宋体" w:hAnsi="宋体" w:cs="宋体"/>
                <w:kern w:val="2"/>
                <w:sz w:val="21"/>
                <w:szCs w:val="21"/>
              </w:rPr>
            </w:pPr>
          </w:p>
        </w:tc>
        <w:tc>
          <w:tcPr>
            <w:tcW w:w="896" w:type="dxa"/>
            <w:vMerge w:val="continue"/>
            <w:shd w:val="clear" w:color="auto" w:fill="FFFFFF"/>
            <w:vAlign w:val="center"/>
          </w:tcPr>
          <w:p w14:paraId="26A18F0C">
            <w:pPr>
              <w:rPr>
                <w:rFonts w:ascii="宋体" w:hAnsi="宋体" w:cs="宋体"/>
                <w:kern w:val="2"/>
                <w:sz w:val="21"/>
                <w:szCs w:val="21"/>
              </w:rPr>
            </w:pPr>
          </w:p>
        </w:tc>
        <w:tc>
          <w:tcPr>
            <w:tcW w:w="1109" w:type="dxa"/>
            <w:shd w:val="clear" w:color="auto" w:fill="FFFFFF"/>
            <w:vAlign w:val="center"/>
          </w:tcPr>
          <w:p w14:paraId="1EF98472">
            <w:pPr>
              <w:rPr>
                <w:rFonts w:ascii="宋体" w:hAnsi="宋体" w:cs="宋体"/>
                <w:kern w:val="2"/>
                <w:sz w:val="21"/>
                <w:szCs w:val="21"/>
              </w:rPr>
            </w:pPr>
            <w:r>
              <w:rPr>
                <w:rFonts w:hint="eastAsia" w:ascii="宋体" w:hAnsi="宋体" w:cs="宋体"/>
                <w:kern w:val="2"/>
                <w:sz w:val="21"/>
                <w:szCs w:val="21"/>
              </w:rPr>
              <w:t>技术部</w:t>
            </w:r>
          </w:p>
        </w:tc>
      </w:tr>
      <w:tr w14:paraId="1E9E27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jc w:val="center"/>
        </w:trPr>
        <w:tc>
          <w:tcPr>
            <w:tcW w:w="731" w:type="dxa"/>
            <w:vMerge w:val="continue"/>
            <w:shd w:val="clear" w:color="auto" w:fill="FFFFFF"/>
            <w:vAlign w:val="center"/>
          </w:tcPr>
          <w:p w14:paraId="67C4E933">
            <w:pPr>
              <w:rPr>
                <w:rFonts w:ascii="宋体" w:hAnsi="宋体" w:cs="宋体"/>
                <w:kern w:val="2"/>
                <w:sz w:val="21"/>
                <w:szCs w:val="21"/>
              </w:rPr>
            </w:pPr>
          </w:p>
        </w:tc>
        <w:tc>
          <w:tcPr>
            <w:tcW w:w="2188" w:type="dxa"/>
            <w:shd w:val="clear" w:color="auto" w:fill="FFFFFF"/>
            <w:vAlign w:val="center"/>
          </w:tcPr>
          <w:p w14:paraId="0833496F">
            <w:pPr>
              <w:rPr>
                <w:rFonts w:ascii="宋体" w:hAnsi="宋体" w:cs="宋体"/>
                <w:kern w:val="2"/>
                <w:sz w:val="21"/>
                <w:szCs w:val="21"/>
              </w:rPr>
            </w:pPr>
            <w:r>
              <w:rPr>
                <w:rFonts w:hint="eastAsia" w:ascii="宋体" w:hAnsi="宋体" w:cs="宋体"/>
                <w:kern w:val="2"/>
                <w:sz w:val="21"/>
                <w:szCs w:val="21"/>
                <w:lang w:eastAsia="zh-CN"/>
              </w:rPr>
              <w:t>财物管理</w:t>
            </w:r>
            <w:r>
              <w:rPr>
                <w:rFonts w:hint="eastAsia" w:ascii="宋体" w:hAnsi="宋体" w:cs="宋体"/>
                <w:kern w:val="2"/>
                <w:sz w:val="21"/>
                <w:szCs w:val="21"/>
              </w:rPr>
              <w:t>系统故障和系统效率评估</w:t>
            </w:r>
          </w:p>
        </w:tc>
        <w:tc>
          <w:tcPr>
            <w:tcW w:w="1559" w:type="dxa"/>
            <w:shd w:val="clear" w:color="auto" w:fill="FFFFFF"/>
            <w:vAlign w:val="center"/>
          </w:tcPr>
          <w:p w14:paraId="3294DD20">
            <w:pPr>
              <w:rPr>
                <w:rFonts w:ascii="宋体" w:hAnsi="宋体" w:cs="宋体"/>
                <w:kern w:val="2"/>
                <w:sz w:val="21"/>
                <w:szCs w:val="21"/>
              </w:rPr>
            </w:pPr>
            <w:r>
              <w:rPr>
                <w:rFonts w:hint="eastAsia" w:ascii="宋体" w:hAnsi="宋体" w:cs="宋体"/>
                <w:kern w:val="2"/>
                <w:sz w:val="21"/>
                <w:szCs w:val="21"/>
                <w:lang w:eastAsia="zh-CN"/>
              </w:rPr>
              <w:t>财物管理</w:t>
            </w:r>
            <w:r>
              <w:rPr>
                <w:rFonts w:hint="eastAsia" w:ascii="宋体" w:hAnsi="宋体" w:cs="宋体"/>
                <w:kern w:val="2"/>
                <w:sz w:val="21"/>
                <w:szCs w:val="21"/>
              </w:rPr>
              <w:t>系统评估报告</w:t>
            </w:r>
          </w:p>
        </w:tc>
        <w:tc>
          <w:tcPr>
            <w:tcW w:w="871" w:type="dxa"/>
            <w:shd w:val="clear" w:color="auto" w:fill="FFFFFF"/>
            <w:vAlign w:val="center"/>
          </w:tcPr>
          <w:p w14:paraId="13F3D823">
            <w:pPr>
              <w:jc w:val="center"/>
              <w:rPr>
                <w:rFonts w:ascii="宋体" w:hAnsi="宋体" w:cs="宋体"/>
                <w:kern w:val="2"/>
                <w:sz w:val="21"/>
                <w:szCs w:val="21"/>
              </w:rPr>
            </w:pPr>
            <w:r>
              <w:rPr>
                <w:rFonts w:hint="eastAsia" w:ascii="宋体" w:hAnsi="宋体" w:cs="宋体"/>
                <w:kern w:val="2"/>
                <w:sz w:val="21"/>
                <w:szCs w:val="21"/>
              </w:rPr>
              <w:t>销售部</w:t>
            </w:r>
          </w:p>
        </w:tc>
        <w:tc>
          <w:tcPr>
            <w:tcW w:w="711" w:type="dxa"/>
            <w:shd w:val="clear" w:color="auto" w:fill="FFFFFF"/>
            <w:noWrap/>
            <w:vAlign w:val="center"/>
          </w:tcPr>
          <w:p w14:paraId="0CB78372">
            <w:pPr>
              <w:jc w:val="center"/>
              <w:rPr>
                <w:rFonts w:ascii="宋体" w:hAnsi="宋体" w:cs="宋体"/>
                <w:kern w:val="2"/>
                <w:sz w:val="21"/>
                <w:szCs w:val="21"/>
              </w:rPr>
            </w:pPr>
            <w:r>
              <w:rPr>
                <w:rFonts w:hint="eastAsia" w:ascii="宋体" w:hAnsi="宋体" w:cs="宋体"/>
                <w:kern w:val="2"/>
                <w:sz w:val="21"/>
                <w:szCs w:val="21"/>
              </w:rPr>
              <w:t>月</w:t>
            </w:r>
          </w:p>
        </w:tc>
        <w:tc>
          <w:tcPr>
            <w:tcW w:w="686" w:type="dxa"/>
            <w:shd w:val="clear" w:color="auto" w:fill="FFFFFF"/>
            <w:noWrap/>
            <w:vAlign w:val="center"/>
          </w:tcPr>
          <w:p w14:paraId="773A5FE3">
            <w:pPr>
              <w:jc w:val="center"/>
              <w:rPr>
                <w:rFonts w:ascii="宋体" w:hAnsi="宋体" w:cs="宋体"/>
                <w:kern w:val="2"/>
                <w:sz w:val="21"/>
                <w:szCs w:val="21"/>
              </w:rPr>
            </w:pPr>
            <w:r>
              <w:rPr>
                <w:rFonts w:hint="eastAsia" w:ascii="宋体" w:hAnsi="宋体" w:cs="宋体"/>
                <w:kern w:val="2"/>
                <w:sz w:val="21"/>
                <w:szCs w:val="21"/>
              </w:rPr>
              <w:t>月</w:t>
            </w:r>
          </w:p>
        </w:tc>
        <w:tc>
          <w:tcPr>
            <w:tcW w:w="709" w:type="dxa"/>
            <w:vMerge w:val="continue"/>
            <w:shd w:val="clear" w:color="auto" w:fill="FFFFFF"/>
            <w:vAlign w:val="center"/>
          </w:tcPr>
          <w:p w14:paraId="157D7F81">
            <w:pPr>
              <w:rPr>
                <w:rFonts w:ascii="宋体" w:hAnsi="宋体" w:cs="宋体"/>
                <w:kern w:val="2"/>
                <w:sz w:val="21"/>
                <w:szCs w:val="21"/>
              </w:rPr>
            </w:pPr>
          </w:p>
        </w:tc>
        <w:tc>
          <w:tcPr>
            <w:tcW w:w="896" w:type="dxa"/>
            <w:vMerge w:val="continue"/>
            <w:shd w:val="clear" w:color="auto" w:fill="FFFFFF"/>
            <w:vAlign w:val="center"/>
          </w:tcPr>
          <w:p w14:paraId="0A912B0B">
            <w:pPr>
              <w:rPr>
                <w:rFonts w:ascii="宋体" w:hAnsi="宋体" w:cs="宋体"/>
                <w:kern w:val="2"/>
                <w:sz w:val="21"/>
                <w:szCs w:val="21"/>
              </w:rPr>
            </w:pPr>
          </w:p>
        </w:tc>
        <w:tc>
          <w:tcPr>
            <w:tcW w:w="1109" w:type="dxa"/>
            <w:shd w:val="clear" w:color="auto" w:fill="FFFFFF"/>
            <w:vAlign w:val="center"/>
          </w:tcPr>
          <w:p w14:paraId="7E2CFACB">
            <w:pPr>
              <w:rPr>
                <w:rFonts w:ascii="宋体" w:hAnsi="宋体" w:cs="宋体"/>
                <w:kern w:val="2"/>
                <w:sz w:val="21"/>
                <w:szCs w:val="21"/>
              </w:rPr>
            </w:pPr>
            <w:r>
              <w:rPr>
                <w:rFonts w:hint="eastAsia" w:ascii="宋体" w:hAnsi="宋体" w:cs="宋体"/>
                <w:kern w:val="2"/>
                <w:sz w:val="21"/>
                <w:szCs w:val="21"/>
              </w:rPr>
              <w:t>销售部</w:t>
            </w:r>
          </w:p>
        </w:tc>
      </w:tr>
      <w:tr w14:paraId="1FB68D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jc w:val="center"/>
        </w:trPr>
        <w:tc>
          <w:tcPr>
            <w:tcW w:w="731" w:type="dxa"/>
            <w:vMerge w:val="continue"/>
            <w:shd w:val="clear" w:color="auto" w:fill="FFFFFF"/>
            <w:vAlign w:val="center"/>
          </w:tcPr>
          <w:p w14:paraId="3462CB90">
            <w:pPr>
              <w:jc w:val="center"/>
              <w:rPr>
                <w:rFonts w:ascii="宋体" w:hAnsi="宋体" w:cs="宋体"/>
                <w:kern w:val="2"/>
                <w:sz w:val="21"/>
                <w:szCs w:val="21"/>
              </w:rPr>
            </w:pPr>
          </w:p>
        </w:tc>
        <w:tc>
          <w:tcPr>
            <w:tcW w:w="2188" w:type="dxa"/>
            <w:shd w:val="clear" w:color="auto" w:fill="FFFFFF"/>
            <w:vAlign w:val="center"/>
          </w:tcPr>
          <w:p w14:paraId="4D28341F">
            <w:pPr>
              <w:rPr>
                <w:rFonts w:ascii="宋体" w:hAnsi="宋体" w:cs="宋体"/>
                <w:kern w:val="2"/>
                <w:sz w:val="21"/>
                <w:szCs w:val="21"/>
              </w:rPr>
            </w:pPr>
            <w:r>
              <w:rPr>
                <w:rFonts w:hint="eastAsia" w:ascii="宋体" w:hAnsi="宋体" w:cs="宋体"/>
                <w:kern w:val="2"/>
                <w:sz w:val="21"/>
                <w:szCs w:val="21"/>
              </w:rPr>
              <w:t>设备故障排除时间</w:t>
            </w:r>
          </w:p>
        </w:tc>
        <w:tc>
          <w:tcPr>
            <w:tcW w:w="1559" w:type="dxa"/>
            <w:shd w:val="clear" w:color="auto" w:fill="FFFFFF"/>
            <w:vAlign w:val="center"/>
          </w:tcPr>
          <w:p w14:paraId="1A6456D1">
            <w:pPr>
              <w:rPr>
                <w:rFonts w:ascii="宋体" w:hAnsi="宋体" w:cs="宋体"/>
                <w:kern w:val="2"/>
                <w:sz w:val="21"/>
                <w:szCs w:val="21"/>
              </w:rPr>
            </w:pPr>
            <w:r>
              <w:rPr>
                <w:rFonts w:hint="eastAsia" w:ascii="宋体" w:hAnsi="宋体" w:cs="宋体"/>
                <w:kern w:val="2"/>
                <w:sz w:val="21"/>
                <w:szCs w:val="21"/>
              </w:rPr>
              <w:t>设备月度考核表</w:t>
            </w:r>
          </w:p>
        </w:tc>
        <w:tc>
          <w:tcPr>
            <w:tcW w:w="871" w:type="dxa"/>
            <w:shd w:val="clear" w:color="auto" w:fill="FFFFFF"/>
            <w:vAlign w:val="center"/>
          </w:tcPr>
          <w:p w14:paraId="16634354">
            <w:pPr>
              <w:jc w:val="center"/>
              <w:rPr>
                <w:rFonts w:ascii="宋体" w:hAnsi="宋体" w:cs="宋体"/>
                <w:kern w:val="2"/>
                <w:sz w:val="21"/>
                <w:szCs w:val="21"/>
              </w:rPr>
            </w:pPr>
            <w:r>
              <w:rPr>
                <w:rFonts w:hint="eastAsia" w:ascii="宋体" w:hAnsi="宋体" w:cs="宋体"/>
                <w:kern w:val="2"/>
                <w:sz w:val="21"/>
                <w:szCs w:val="21"/>
              </w:rPr>
              <w:t>设备部</w:t>
            </w:r>
          </w:p>
        </w:tc>
        <w:tc>
          <w:tcPr>
            <w:tcW w:w="711" w:type="dxa"/>
            <w:shd w:val="clear" w:color="auto" w:fill="FFFFFF"/>
            <w:noWrap/>
            <w:vAlign w:val="center"/>
          </w:tcPr>
          <w:p w14:paraId="791AB837">
            <w:pPr>
              <w:jc w:val="center"/>
              <w:rPr>
                <w:rFonts w:ascii="宋体" w:hAnsi="宋体" w:cs="宋体"/>
                <w:kern w:val="2"/>
                <w:sz w:val="21"/>
                <w:szCs w:val="21"/>
              </w:rPr>
            </w:pPr>
            <w:r>
              <w:rPr>
                <w:rFonts w:hint="eastAsia" w:ascii="宋体" w:hAnsi="宋体" w:cs="宋体"/>
                <w:kern w:val="2"/>
                <w:sz w:val="21"/>
                <w:szCs w:val="21"/>
              </w:rPr>
              <w:t>月</w:t>
            </w:r>
          </w:p>
        </w:tc>
        <w:tc>
          <w:tcPr>
            <w:tcW w:w="686" w:type="dxa"/>
            <w:shd w:val="clear" w:color="auto" w:fill="FFFFFF"/>
            <w:noWrap/>
            <w:vAlign w:val="center"/>
          </w:tcPr>
          <w:p w14:paraId="111A19DC">
            <w:pPr>
              <w:jc w:val="center"/>
              <w:rPr>
                <w:rFonts w:ascii="宋体" w:hAnsi="宋体" w:cs="宋体"/>
                <w:kern w:val="2"/>
                <w:sz w:val="21"/>
                <w:szCs w:val="21"/>
              </w:rPr>
            </w:pPr>
            <w:r>
              <w:rPr>
                <w:rFonts w:hint="eastAsia" w:ascii="宋体" w:hAnsi="宋体" w:cs="宋体"/>
                <w:kern w:val="2"/>
                <w:sz w:val="21"/>
                <w:szCs w:val="21"/>
              </w:rPr>
              <w:t>月</w:t>
            </w:r>
          </w:p>
        </w:tc>
        <w:tc>
          <w:tcPr>
            <w:tcW w:w="709" w:type="dxa"/>
            <w:vMerge w:val="continue"/>
            <w:shd w:val="clear" w:color="auto" w:fill="FFFFFF"/>
            <w:vAlign w:val="center"/>
          </w:tcPr>
          <w:p w14:paraId="315EB469">
            <w:pPr>
              <w:rPr>
                <w:rFonts w:ascii="宋体" w:hAnsi="宋体" w:cs="宋体"/>
                <w:kern w:val="2"/>
                <w:sz w:val="21"/>
                <w:szCs w:val="21"/>
              </w:rPr>
            </w:pPr>
          </w:p>
        </w:tc>
        <w:tc>
          <w:tcPr>
            <w:tcW w:w="896" w:type="dxa"/>
            <w:vMerge w:val="continue"/>
            <w:shd w:val="clear" w:color="auto" w:fill="FFFFFF"/>
            <w:vAlign w:val="center"/>
          </w:tcPr>
          <w:p w14:paraId="193BEF6C">
            <w:pPr>
              <w:rPr>
                <w:rFonts w:ascii="宋体" w:hAnsi="宋体" w:cs="宋体"/>
                <w:kern w:val="2"/>
                <w:sz w:val="21"/>
                <w:szCs w:val="21"/>
              </w:rPr>
            </w:pPr>
          </w:p>
        </w:tc>
        <w:tc>
          <w:tcPr>
            <w:tcW w:w="1109" w:type="dxa"/>
            <w:shd w:val="clear" w:color="auto" w:fill="FFFFFF"/>
            <w:vAlign w:val="center"/>
          </w:tcPr>
          <w:p w14:paraId="2B5CBC75">
            <w:pPr>
              <w:rPr>
                <w:rFonts w:ascii="宋体" w:hAnsi="宋体" w:cs="宋体"/>
                <w:kern w:val="2"/>
                <w:sz w:val="21"/>
                <w:szCs w:val="21"/>
              </w:rPr>
            </w:pPr>
            <w:r>
              <w:rPr>
                <w:rFonts w:hint="eastAsia" w:ascii="宋体" w:hAnsi="宋体" w:cs="宋体"/>
                <w:kern w:val="2"/>
                <w:sz w:val="21"/>
                <w:szCs w:val="21"/>
              </w:rPr>
              <w:t>设备部</w:t>
            </w:r>
          </w:p>
        </w:tc>
      </w:tr>
      <w:tr w14:paraId="630BEF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731" w:type="dxa"/>
            <w:vMerge w:val="restart"/>
            <w:shd w:val="clear" w:color="auto" w:fill="FFFFFF"/>
            <w:vAlign w:val="center"/>
          </w:tcPr>
          <w:p w14:paraId="3951D0EF">
            <w:pPr>
              <w:jc w:val="center"/>
              <w:rPr>
                <w:rFonts w:ascii="宋体" w:hAnsi="宋体" w:cs="宋体"/>
                <w:kern w:val="2"/>
                <w:sz w:val="21"/>
                <w:szCs w:val="21"/>
              </w:rPr>
            </w:pPr>
            <w:r>
              <w:rPr>
                <w:rFonts w:hint="eastAsia" w:ascii="宋体" w:hAnsi="宋体" w:cs="宋体"/>
                <w:kern w:val="2"/>
                <w:sz w:val="21"/>
                <w:szCs w:val="21"/>
              </w:rPr>
              <w:t>组织治理和社会责任</w:t>
            </w:r>
          </w:p>
        </w:tc>
        <w:tc>
          <w:tcPr>
            <w:tcW w:w="2188" w:type="dxa"/>
            <w:shd w:val="clear" w:color="auto" w:fill="FFFFFF"/>
            <w:vAlign w:val="center"/>
          </w:tcPr>
          <w:p w14:paraId="12C92A68">
            <w:pPr>
              <w:rPr>
                <w:rFonts w:ascii="宋体" w:hAnsi="宋体" w:cs="宋体"/>
                <w:kern w:val="2"/>
                <w:sz w:val="21"/>
                <w:szCs w:val="21"/>
              </w:rPr>
            </w:pPr>
            <w:r>
              <w:rPr>
                <w:rFonts w:hint="eastAsia" w:ascii="宋体" w:hAnsi="宋体" w:cs="宋体"/>
                <w:kern w:val="2"/>
                <w:sz w:val="21"/>
                <w:szCs w:val="21"/>
              </w:rPr>
              <w:t>净资产收益率、股东权益、财务预算准确率、万元产值综合能耗</w:t>
            </w:r>
          </w:p>
        </w:tc>
        <w:tc>
          <w:tcPr>
            <w:tcW w:w="1559" w:type="dxa"/>
            <w:shd w:val="clear" w:color="auto" w:fill="FFFFFF"/>
            <w:vAlign w:val="center"/>
          </w:tcPr>
          <w:p w14:paraId="4A6C997E">
            <w:pPr>
              <w:rPr>
                <w:rFonts w:ascii="宋体" w:hAnsi="宋体" w:cs="宋体"/>
                <w:kern w:val="2"/>
                <w:sz w:val="21"/>
                <w:szCs w:val="21"/>
              </w:rPr>
            </w:pPr>
            <w:r>
              <w:rPr>
                <w:rFonts w:hint="eastAsia" w:ascii="宋体" w:hAnsi="宋体" w:cs="宋体"/>
                <w:kern w:val="2"/>
                <w:sz w:val="21"/>
                <w:szCs w:val="21"/>
              </w:rPr>
              <w:t>财务报表</w:t>
            </w:r>
          </w:p>
        </w:tc>
        <w:tc>
          <w:tcPr>
            <w:tcW w:w="871" w:type="dxa"/>
            <w:shd w:val="clear" w:color="auto" w:fill="FFFFFF"/>
            <w:vAlign w:val="center"/>
          </w:tcPr>
          <w:p w14:paraId="43495C14">
            <w:pPr>
              <w:jc w:val="center"/>
              <w:rPr>
                <w:rFonts w:ascii="宋体" w:hAnsi="宋体" w:cs="宋体"/>
                <w:kern w:val="2"/>
                <w:sz w:val="21"/>
                <w:szCs w:val="21"/>
              </w:rPr>
            </w:pPr>
            <w:r>
              <w:rPr>
                <w:rFonts w:hint="eastAsia" w:ascii="宋体" w:hAnsi="宋体" w:cs="宋体"/>
                <w:kern w:val="2"/>
                <w:sz w:val="21"/>
                <w:szCs w:val="21"/>
              </w:rPr>
              <w:t>财务部</w:t>
            </w:r>
          </w:p>
        </w:tc>
        <w:tc>
          <w:tcPr>
            <w:tcW w:w="711" w:type="dxa"/>
            <w:shd w:val="clear" w:color="auto" w:fill="FFFFFF"/>
            <w:noWrap/>
            <w:vAlign w:val="center"/>
          </w:tcPr>
          <w:p w14:paraId="705E34EB">
            <w:pPr>
              <w:jc w:val="center"/>
              <w:rPr>
                <w:rFonts w:ascii="宋体" w:hAnsi="宋体" w:cs="宋体"/>
                <w:kern w:val="2"/>
                <w:sz w:val="21"/>
                <w:szCs w:val="21"/>
              </w:rPr>
            </w:pPr>
            <w:r>
              <w:rPr>
                <w:rFonts w:hint="eastAsia" w:ascii="宋体" w:hAnsi="宋体" w:cs="宋体"/>
                <w:kern w:val="2"/>
                <w:sz w:val="21"/>
                <w:szCs w:val="21"/>
              </w:rPr>
              <w:t>月</w:t>
            </w:r>
          </w:p>
        </w:tc>
        <w:tc>
          <w:tcPr>
            <w:tcW w:w="686" w:type="dxa"/>
            <w:shd w:val="clear" w:color="auto" w:fill="FFFFFF"/>
            <w:noWrap/>
            <w:vAlign w:val="center"/>
          </w:tcPr>
          <w:p w14:paraId="69210A6A">
            <w:pPr>
              <w:jc w:val="center"/>
              <w:rPr>
                <w:rFonts w:ascii="宋体" w:hAnsi="宋体" w:cs="宋体"/>
                <w:kern w:val="2"/>
                <w:sz w:val="21"/>
                <w:szCs w:val="21"/>
              </w:rPr>
            </w:pPr>
            <w:r>
              <w:rPr>
                <w:rFonts w:hint="eastAsia" w:ascii="宋体" w:hAnsi="宋体" w:cs="宋体"/>
                <w:kern w:val="2"/>
                <w:sz w:val="21"/>
                <w:szCs w:val="21"/>
              </w:rPr>
              <w:t>月</w:t>
            </w:r>
          </w:p>
        </w:tc>
        <w:tc>
          <w:tcPr>
            <w:tcW w:w="709" w:type="dxa"/>
            <w:vMerge w:val="restart"/>
            <w:shd w:val="clear" w:color="auto" w:fill="FFFFFF"/>
            <w:vAlign w:val="center"/>
          </w:tcPr>
          <w:p w14:paraId="339965D7">
            <w:pPr>
              <w:rPr>
                <w:rFonts w:ascii="宋体" w:hAnsi="宋体" w:cs="宋体"/>
                <w:kern w:val="2"/>
                <w:sz w:val="21"/>
                <w:szCs w:val="21"/>
              </w:rPr>
            </w:pPr>
            <w:r>
              <w:rPr>
                <w:rFonts w:hint="eastAsia" w:ascii="宋体" w:hAnsi="宋体" w:cs="宋体"/>
                <w:kern w:val="2"/>
                <w:sz w:val="21"/>
                <w:szCs w:val="21"/>
              </w:rPr>
              <w:t>各级绩效评审</w:t>
            </w:r>
          </w:p>
        </w:tc>
        <w:tc>
          <w:tcPr>
            <w:tcW w:w="896" w:type="dxa"/>
            <w:vMerge w:val="restart"/>
            <w:shd w:val="clear" w:color="auto" w:fill="FFFFFF"/>
            <w:vAlign w:val="center"/>
          </w:tcPr>
          <w:p w14:paraId="1EE4C113">
            <w:pPr>
              <w:rPr>
                <w:rFonts w:ascii="宋体" w:hAnsi="宋体" w:cs="宋体"/>
                <w:kern w:val="2"/>
                <w:sz w:val="21"/>
                <w:szCs w:val="21"/>
              </w:rPr>
            </w:pPr>
            <w:r>
              <w:rPr>
                <w:rFonts w:hint="eastAsia" w:ascii="宋体" w:hAnsi="宋体" w:cs="宋体"/>
                <w:kern w:val="2"/>
                <w:sz w:val="21"/>
                <w:szCs w:val="21"/>
              </w:rPr>
              <w:t>会议、研讨、内部联络单等</w:t>
            </w:r>
          </w:p>
        </w:tc>
        <w:tc>
          <w:tcPr>
            <w:tcW w:w="1109" w:type="dxa"/>
            <w:shd w:val="clear" w:color="auto" w:fill="FFFFFF"/>
            <w:vAlign w:val="center"/>
          </w:tcPr>
          <w:p w14:paraId="48CFB2D2">
            <w:pPr>
              <w:rPr>
                <w:rFonts w:ascii="宋体" w:hAnsi="宋体" w:cs="宋体"/>
                <w:kern w:val="2"/>
                <w:sz w:val="21"/>
                <w:szCs w:val="21"/>
              </w:rPr>
            </w:pPr>
            <w:r>
              <w:rPr>
                <w:rFonts w:hint="eastAsia" w:ascii="宋体" w:hAnsi="宋体" w:cs="宋体"/>
                <w:kern w:val="2"/>
                <w:sz w:val="21"/>
                <w:szCs w:val="21"/>
              </w:rPr>
              <w:t>财务部</w:t>
            </w:r>
          </w:p>
        </w:tc>
      </w:tr>
      <w:tr w14:paraId="14F9F7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731" w:type="dxa"/>
            <w:vMerge w:val="continue"/>
            <w:shd w:val="clear" w:color="auto" w:fill="FFFFFF"/>
            <w:vAlign w:val="center"/>
          </w:tcPr>
          <w:p w14:paraId="5BF44542">
            <w:pPr>
              <w:jc w:val="center"/>
              <w:rPr>
                <w:rFonts w:ascii="宋体" w:hAnsi="宋体" w:cs="宋体"/>
                <w:kern w:val="2"/>
                <w:sz w:val="21"/>
                <w:szCs w:val="21"/>
              </w:rPr>
            </w:pPr>
          </w:p>
        </w:tc>
        <w:tc>
          <w:tcPr>
            <w:tcW w:w="2188" w:type="dxa"/>
            <w:shd w:val="clear" w:color="auto" w:fill="FFFFFF"/>
            <w:vAlign w:val="center"/>
          </w:tcPr>
          <w:p w14:paraId="4511CC0B">
            <w:pPr>
              <w:rPr>
                <w:rFonts w:ascii="宋体" w:hAnsi="宋体" w:cs="宋体"/>
                <w:kern w:val="2"/>
                <w:sz w:val="21"/>
                <w:szCs w:val="21"/>
              </w:rPr>
            </w:pPr>
            <w:r>
              <w:rPr>
                <w:rFonts w:hint="eastAsia" w:ascii="宋体" w:hAnsi="宋体" w:cs="宋体"/>
                <w:kern w:val="2"/>
                <w:sz w:val="21"/>
                <w:szCs w:val="21"/>
              </w:rPr>
              <w:t>可记录工伤次数、可记录工伤金额</w:t>
            </w:r>
          </w:p>
        </w:tc>
        <w:tc>
          <w:tcPr>
            <w:tcW w:w="1559" w:type="dxa"/>
            <w:shd w:val="clear" w:color="auto" w:fill="FFFFFF"/>
            <w:vAlign w:val="center"/>
          </w:tcPr>
          <w:p w14:paraId="56CD9E62">
            <w:pPr>
              <w:rPr>
                <w:rFonts w:ascii="宋体" w:hAnsi="宋体" w:cs="宋体"/>
                <w:kern w:val="2"/>
                <w:sz w:val="21"/>
                <w:szCs w:val="21"/>
              </w:rPr>
            </w:pPr>
            <w:r>
              <w:rPr>
                <w:rFonts w:hint="eastAsia" w:ascii="宋体" w:hAnsi="宋体" w:cs="宋体"/>
                <w:kern w:val="2"/>
                <w:sz w:val="21"/>
                <w:szCs w:val="21"/>
              </w:rPr>
              <w:t>安全事故统计表</w:t>
            </w:r>
          </w:p>
        </w:tc>
        <w:tc>
          <w:tcPr>
            <w:tcW w:w="871" w:type="dxa"/>
            <w:shd w:val="clear" w:color="auto" w:fill="FFFFFF"/>
            <w:vAlign w:val="center"/>
          </w:tcPr>
          <w:p w14:paraId="2941EE05">
            <w:pPr>
              <w:jc w:val="center"/>
              <w:rPr>
                <w:rFonts w:ascii="宋体" w:hAnsi="宋体"/>
                <w:kern w:val="2"/>
                <w:sz w:val="21"/>
                <w:szCs w:val="21"/>
              </w:rPr>
            </w:pPr>
            <w:r>
              <w:rPr>
                <w:rFonts w:hint="eastAsia" w:ascii="宋体" w:hAnsi="宋体" w:cs="宋体"/>
                <w:kern w:val="2"/>
                <w:sz w:val="21"/>
                <w:szCs w:val="21"/>
              </w:rPr>
              <w:t>行政部</w:t>
            </w:r>
          </w:p>
        </w:tc>
        <w:tc>
          <w:tcPr>
            <w:tcW w:w="711" w:type="dxa"/>
            <w:shd w:val="clear" w:color="auto" w:fill="FFFFFF"/>
            <w:noWrap/>
            <w:vAlign w:val="center"/>
          </w:tcPr>
          <w:p w14:paraId="6154F62E">
            <w:pPr>
              <w:jc w:val="center"/>
              <w:rPr>
                <w:rFonts w:ascii="宋体" w:hAnsi="宋体" w:cs="宋体"/>
                <w:kern w:val="2"/>
                <w:sz w:val="21"/>
                <w:szCs w:val="21"/>
              </w:rPr>
            </w:pPr>
            <w:r>
              <w:rPr>
                <w:rFonts w:hint="eastAsia" w:ascii="宋体" w:hAnsi="宋体" w:cs="宋体"/>
                <w:kern w:val="2"/>
                <w:sz w:val="21"/>
                <w:szCs w:val="21"/>
              </w:rPr>
              <w:t>月</w:t>
            </w:r>
          </w:p>
        </w:tc>
        <w:tc>
          <w:tcPr>
            <w:tcW w:w="686" w:type="dxa"/>
            <w:shd w:val="clear" w:color="auto" w:fill="FFFFFF"/>
            <w:noWrap/>
            <w:vAlign w:val="center"/>
          </w:tcPr>
          <w:p w14:paraId="13751DAD">
            <w:pPr>
              <w:jc w:val="center"/>
              <w:rPr>
                <w:rFonts w:ascii="宋体" w:hAnsi="宋体" w:cs="宋体"/>
                <w:kern w:val="2"/>
                <w:sz w:val="21"/>
                <w:szCs w:val="21"/>
              </w:rPr>
            </w:pPr>
            <w:r>
              <w:rPr>
                <w:rFonts w:hint="eastAsia" w:ascii="宋体" w:hAnsi="宋体" w:cs="宋体"/>
                <w:kern w:val="2"/>
                <w:sz w:val="21"/>
                <w:szCs w:val="21"/>
              </w:rPr>
              <w:t>月</w:t>
            </w:r>
          </w:p>
        </w:tc>
        <w:tc>
          <w:tcPr>
            <w:tcW w:w="709" w:type="dxa"/>
            <w:vMerge w:val="continue"/>
            <w:shd w:val="clear" w:color="auto" w:fill="FFFFFF"/>
            <w:vAlign w:val="center"/>
          </w:tcPr>
          <w:p w14:paraId="0F003CF5">
            <w:pPr>
              <w:rPr>
                <w:rFonts w:ascii="宋体" w:hAnsi="宋体" w:cs="宋体"/>
                <w:kern w:val="2"/>
                <w:sz w:val="21"/>
                <w:szCs w:val="21"/>
              </w:rPr>
            </w:pPr>
          </w:p>
        </w:tc>
        <w:tc>
          <w:tcPr>
            <w:tcW w:w="896" w:type="dxa"/>
            <w:vMerge w:val="continue"/>
            <w:shd w:val="clear" w:color="auto" w:fill="FFFFFF"/>
            <w:vAlign w:val="center"/>
          </w:tcPr>
          <w:p w14:paraId="172F44F2">
            <w:pPr>
              <w:rPr>
                <w:rFonts w:ascii="宋体" w:hAnsi="宋体" w:cs="宋体"/>
                <w:kern w:val="2"/>
                <w:sz w:val="21"/>
                <w:szCs w:val="21"/>
              </w:rPr>
            </w:pPr>
          </w:p>
        </w:tc>
        <w:tc>
          <w:tcPr>
            <w:tcW w:w="1109" w:type="dxa"/>
            <w:shd w:val="clear" w:color="auto" w:fill="FFFFFF"/>
            <w:vAlign w:val="center"/>
          </w:tcPr>
          <w:p w14:paraId="0B74A566">
            <w:pPr>
              <w:rPr>
                <w:rFonts w:ascii="宋体" w:hAnsi="宋体"/>
                <w:kern w:val="2"/>
                <w:sz w:val="21"/>
                <w:szCs w:val="21"/>
              </w:rPr>
            </w:pPr>
            <w:r>
              <w:rPr>
                <w:rFonts w:hint="eastAsia" w:ascii="宋体" w:hAnsi="宋体" w:cs="宋体"/>
                <w:kern w:val="2"/>
                <w:sz w:val="21"/>
                <w:szCs w:val="21"/>
              </w:rPr>
              <w:t>行政部</w:t>
            </w:r>
          </w:p>
        </w:tc>
      </w:tr>
      <w:tr w14:paraId="03A45B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731" w:type="dxa"/>
            <w:vMerge w:val="continue"/>
            <w:shd w:val="clear" w:color="auto" w:fill="FFFFFF"/>
            <w:vAlign w:val="center"/>
          </w:tcPr>
          <w:p w14:paraId="5492DB23">
            <w:pPr>
              <w:jc w:val="center"/>
              <w:rPr>
                <w:rFonts w:ascii="宋体" w:hAnsi="宋体" w:cs="宋体"/>
                <w:kern w:val="2"/>
                <w:sz w:val="21"/>
                <w:szCs w:val="21"/>
              </w:rPr>
            </w:pPr>
          </w:p>
        </w:tc>
        <w:tc>
          <w:tcPr>
            <w:tcW w:w="2188" w:type="dxa"/>
            <w:shd w:val="clear" w:color="auto" w:fill="FFFFFF"/>
            <w:vAlign w:val="center"/>
          </w:tcPr>
          <w:p w14:paraId="20EDA456">
            <w:pPr>
              <w:rPr>
                <w:rFonts w:ascii="宋体" w:hAnsi="宋体" w:cs="宋体"/>
                <w:kern w:val="2"/>
                <w:sz w:val="21"/>
                <w:szCs w:val="21"/>
              </w:rPr>
            </w:pPr>
            <w:r>
              <w:rPr>
                <w:rFonts w:hint="eastAsia" w:ascii="宋体" w:hAnsi="宋体" w:cs="宋体"/>
                <w:kern w:val="2"/>
                <w:sz w:val="21"/>
                <w:szCs w:val="21"/>
              </w:rPr>
              <w:t>员工满意度</w:t>
            </w:r>
          </w:p>
        </w:tc>
        <w:tc>
          <w:tcPr>
            <w:tcW w:w="1559" w:type="dxa"/>
            <w:shd w:val="clear" w:color="auto" w:fill="FFFFFF"/>
            <w:vAlign w:val="center"/>
          </w:tcPr>
          <w:p w14:paraId="57C629D1">
            <w:pPr>
              <w:rPr>
                <w:rFonts w:ascii="宋体" w:hAnsi="宋体" w:cs="宋体"/>
                <w:kern w:val="2"/>
                <w:sz w:val="21"/>
                <w:szCs w:val="21"/>
              </w:rPr>
            </w:pPr>
            <w:r>
              <w:rPr>
                <w:rFonts w:hint="eastAsia" w:ascii="宋体" w:hAnsi="宋体" w:cs="宋体"/>
                <w:kern w:val="2"/>
                <w:sz w:val="21"/>
                <w:szCs w:val="21"/>
              </w:rPr>
              <w:t>员工满意度调查</w:t>
            </w:r>
          </w:p>
        </w:tc>
        <w:tc>
          <w:tcPr>
            <w:tcW w:w="871" w:type="dxa"/>
            <w:shd w:val="clear" w:color="auto" w:fill="FFFFFF"/>
            <w:vAlign w:val="center"/>
          </w:tcPr>
          <w:p w14:paraId="683F2811">
            <w:pPr>
              <w:jc w:val="center"/>
              <w:rPr>
                <w:rFonts w:ascii="宋体" w:hAnsi="宋体" w:cs="宋体"/>
                <w:kern w:val="2"/>
                <w:sz w:val="21"/>
                <w:szCs w:val="21"/>
              </w:rPr>
            </w:pPr>
            <w:r>
              <w:rPr>
                <w:rFonts w:hint="eastAsia" w:ascii="宋体" w:hAnsi="宋体" w:cs="宋体"/>
                <w:kern w:val="2"/>
                <w:sz w:val="21"/>
                <w:szCs w:val="21"/>
              </w:rPr>
              <w:t>行政部</w:t>
            </w:r>
          </w:p>
        </w:tc>
        <w:tc>
          <w:tcPr>
            <w:tcW w:w="711" w:type="dxa"/>
            <w:shd w:val="clear" w:color="auto" w:fill="FFFFFF"/>
            <w:noWrap/>
            <w:vAlign w:val="center"/>
          </w:tcPr>
          <w:p w14:paraId="59F0F8A7">
            <w:pPr>
              <w:jc w:val="center"/>
              <w:rPr>
                <w:rFonts w:ascii="宋体" w:hAnsi="宋体" w:cs="宋体"/>
                <w:kern w:val="2"/>
                <w:sz w:val="21"/>
                <w:szCs w:val="21"/>
              </w:rPr>
            </w:pPr>
            <w:r>
              <w:rPr>
                <w:rFonts w:hint="eastAsia" w:ascii="宋体" w:hAnsi="宋体" w:cs="宋体"/>
                <w:kern w:val="2"/>
                <w:sz w:val="21"/>
                <w:szCs w:val="21"/>
              </w:rPr>
              <w:t>月</w:t>
            </w:r>
          </w:p>
        </w:tc>
        <w:tc>
          <w:tcPr>
            <w:tcW w:w="686" w:type="dxa"/>
            <w:shd w:val="clear" w:color="auto" w:fill="FFFFFF"/>
            <w:noWrap/>
            <w:vAlign w:val="center"/>
          </w:tcPr>
          <w:p w14:paraId="0C800EC4">
            <w:pPr>
              <w:jc w:val="center"/>
              <w:rPr>
                <w:rFonts w:ascii="宋体" w:hAnsi="宋体" w:cs="宋体"/>
                <w:kern w:val="2"/>
                <w:sz w:val="21"/>
                <w:szCs w:val="21"/>
              </w:rPr>
            </w:pPr>
            <w:r>
              <w:rPr>
                <w:rFonts w:hint="eastAsia" w:ascii="宋体" w:hAnsi="宋体" w:cs="宋体"/>
                <w:kern w:val="2"/>
                <w:sz w:val="21"/>
                <w:szCs w:val="21"/>
              </w:rPr>
              <w:t>月</w:t>
            </w:r>
          </w:p>
        </w:tc>
        <w:tc>
          <w:tcPr>
            <w:tcW w:w="709" w:type="dxa"/>
            <w:vMerge w:val="continue"/>
            <w:shd w:val="clear" w:color="auto" w:fill="FFFFFF"/>
            <w:vAlign w:val="center"/>
          </w:tcPr>
          <w:p w14:paraId="27C31E7E">
            <w:pPr>
              <w:rPr>
                <w:rFonts w:ascii="宋体" w:hAnsi="宋体" w:cs="宋体"/>
                <w:kern w:val="2"/>
                <w:sz w:val="21"/>
                <w:szCs w:val="21"/>
              </w:rPr>
            </w:pPr>
          </w:p>
        </w:tc>
        <w:tc>
          <w:tcPr>
            <w:tcW w:w="896" w:type="dxa"/>
            <w:vMerge w:val="continue"/>
            <w:shd w:val="clear" w:color="auto" w:fill="FFFFFF"/>
            <w:vAlign w:val="center"/>
          </w:tcPr>
          <w:p w14:paraId="03757E7A">
            <w:pPr>
              <w:rPr>
                <w:rFonts w:ascii="宋体" w:hAnsi="宋体" w:cs="宋体"/>
                <w:kern w:val="2"/>
                <w:sz w:val="21"/>
                <w:szCs w:val="21"/>
              </w:rPr>
            </w:pPr>
          </w:p>
        </w:tc>
        <w:tc>
          <w:tcPr>
            <w:tcW w:w="1109" w:type="dxa"/>
            <w:shd w:val="clear" w:color="auto" w:fill="FFFFFF"/>
            <w:vAlign w:val="center"/>
          </w:tcPr>
          <w:p w14:paraId="4D81B25C">
            <w:pPr>
              <w:rPr>
                <w:rFonts w:ascii="宋体" w:hAnsi="宋体" w:cs="宋体"/>
                <w:kern w:val="2"/>
                <w:sz w:val="21"/>
                <w:szCs w:val="21"/>
              </w:rPr>
            </w:pPr>
            <w:r>
              <w:rPr>
                <w:rFonts w:hint="eastAsia" w:ascii="宋体" w:hAnsi="宋体" w:cs="宋体"/>
                <w:kern w:val="2"/>
                <w:sz w:val="21"/>
                <w:szCs w:val="21"/>
              </w:rPr>
              <w:t>行政部</w:t>
            </w:r>
          </w:p>
        </w:tc>
      </w:tr>
      <w:tr w14:paraId="7454B4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731" w:type="dxa"/>
            <w:vMerge w:val="continue"/>
            <w:shd w:val="clear" w:color="auto" w:fill="FFFFFF"/>
            <w:vAlign w:val="center"/>
          </w:tcPr>
          <w:p w14:paraId="53541C91">
            <w:pPr>
              <w:jc w:val="center"/>
              <w:rPr>
                <w:rFonts w:ascii="宋体" w:hAnsi="宋体" w:cs="宋体"/>
                <w:kern w:val="2"/>
                <w:sz w:val="21"/>
                <w:szCs w:val="21"/>
              </w:rPr>
            </w:pPr>
          </w:p>
        </w:tc>
        <w:tc>
          <w:tcPr>
            <w:tcW w:w="2188" w:type="dxa"/>
            <w:shd w:val="clear" w:color="auto" w:fill="FFFFFF"/>
            <w:vAlign w:val="center"/>
          </w:tcPr>
          <w:p w14:paraId="5CD8DAD0">
            <w:pPr>
              <w:rPr>
                <w:rFonts w:ascii="宋体" w:hAnsi="宋体" w:cs="宋体"/>
                <w:kern w:val="2"/>
                <w:sz w:val="21"/>
                <w:szCs w:val="21"/>
              </w:rPr>
            </w:pPr>
            <w:r>
              <w:rPr>
                <w:rFonts w:hint="eastAsia" w:ascii="宋体" w:hAnsi="宋体" w:cs="宋体"/>
                <w:kern w:val="2"/>
                <w:sz w:val="21"/>
                <w:szCs w:val="21"/>
              </w:rPr>
              <w:t>重大经营活动违法违规事件数</w:t>
            </w:r>
          </w:p>
        </w:tc>
        <w:tc>
          <w:tcPr>
            <w:tcW w:w="1559" w:type="dxa"/>
            <w:shd w:val="clear" w:color="auto" w:fill="FFFFFF"/>
            <w:vAlign w:val="center"/>
          </w:tcPr>
          <w:p w14:paraId="064F4C3C">
            <w:pPr>
              <w:jc w:val="both"/>
              <w:rPr>
                <w:rFonts w:ascii="宋体" w:hAnsi="宋体"/>
                <w:kern w:val="2"/>
                <w:sz w:val="21"/>
                <w:szCs w:val="21"/>
              </w:rPr>
            </w:pPr>
            <w:r>
              <w:rPr>
                <w:rFonts w:hint="eastAsia" w:ascii="宋体" w:hAnsi="宋体" w:cs="宋体"/>
                <w:kern w:val="2"/>
                <w:sz w:val="21"/>
                <w:szCs w:val="21"/>
              </w:rPr>
              <w:t>统计报表</w:t>
            </w:r>
          </w:p>
        </w:tc>
        <w:tc>
          <w:tcPr>
            <w:tcW w:w="871" w:type="dxa"/>
            <w:shd w:val="clear" w:color="auto" w:fill="FFFFFF"/>
            <w:vAlign w:val="center"/>
          </w:tcPr>
          <w:p w14:paraId="2B2C5824">
            <w:pPr>
              <w:jc w:val="center"/>
              <w:rPr>
                <w:rFonts w:ascii="宋体" w:hAnsi="宋体"/>
                <w:kern w:val="2"/>
                <w:sz w:val="21"/>
                <w:szCs w:val="21"/>
              </w:rPr>
            </w:pPr>
            <w:r>
              <w:rPr>
                <w:rFonts w:hint="eastAsia" w:ascii="宋体" w:hAnsi="宋体" w:cs="宋体"/>
                <w:kern w:val="2"/>
                <w:sz w:val="21"/>
                <w:szCs w:val="21"/>
              </w:rPr>
              <w:t>第三方</w:t>
            </w:r>
          </w:p>
        </w:tc>
        <w:tc>
          <w:tcPr>
            <w:tcW w:w="711" w:type="dxa"/>
            <w:shd w:val="clear" w:color="auto" w:fill="FFFFFF"/>
            <w:noWrap/>
            <w:vAlign w:val="center"/>
          </w:tcPr>
          <w:p w14:paraId="5F3E1559">
            <w:pPr>
              <w:jc w:val="center"/>
              <w:rPr>
                <w:rFonts w:ascii="宋体" w:hAnsi="宋体" w:cs="宋体"/>
                <w:kern w:val="2"/>
                <w:sz w:val="21"/>
                <w:szCs w:val="21"/>
              </w:rPr>
            </w:pPr>
            <w:r>
              <w:rPr>
                <w:rFonts w:hint="eastAsia" w:ascii="宋体" w:hAnsi="宋体" w:cs="宋体"/>
                <w:kern w:val="2"/>
                <w:sz w:val="21"/>
                <w:szCs w:val="21"/>
              </w:rPr>
              <w:t>月</w:t>
            </w:r>
          </w:p>
        </w:tc>
        <w:tc>
          <w:tcPr>
            <w:tcW w:w="686" w:type="dxa"/>
            <w:shd w:val="clear" w:color="auto" w:fill="FFFFFF"/>
            <w:noWrap/>
            <w:vAlign w:val="center"/>
          </w:tcPr>
          <w:p w14:paraId="6BC5E0FB">
            <w:pPr>
              <w:jc w:val="center"/>
              <w:rPr>
                <w:rFonts w:ascii="宋体" w:hAnsi="宋体" w:cs="宋体"/>
                <w:kern w:val="2"/>
                <w:sz w:val="21"/>
                <w:szCs w:val="21"/>
              </w:rPr>
            </w:pPr>
            <w:r>
              <w:rPr>
                <w:rFonts w:hint="eastAsia" w:ascii="宋体" w:hAnsi="宋体" w:cs="宋体"/>
                <w:kern w:val="2"/>
                <w:sz w:val="21"/>
                <w:szCs w:val="21"/>
              </w:rPr>
              <w:t>月</w:t>
            </w:r>
          </w:p>
        </w:tc>
        <w:tc>
          <w:tcPr>
            <w:tcW w:w="709" w:type="dxa"/>
            <w:vMerge w:val="continue"/>
            <w:shd w:val="clear" w:color="auto" w:fill="FFFFFF"/>
            <w:vAlign w:val="center"/>
          </w:tcPr>
          <w:p w14:paraId="2154DB5F">
            <w:pPr>
              <w:rPr>
                <w:rFonts w:ascii="宋体" w:hAnsi="宋体" w:cs="宋体"/>
                <w:kern w:val="2"/>
                <w:sz w:val="21"/>
                <w:szCs w:val="21"/>
              </w:rPr>
            </w:pPr>
          </w:p>
        </w:tc>
        <w:tc>
          <w:tcPr>
            <w:tcW w:w="896" w:type="dxa"/>
            <w:vMerge w:val="continue"/>
            <w:shd w:val="clear" w:color="auto" w:fill="FFFFFF"/>
            <w:vAlign w:val="center"/>
          </w:tcPr>
          <w:p w14:paraId="4F708B6D">
            <w:pPr>
              <w:rPr>
                <w:rFonts w:ascii="宋体" w:hAnsi="宋体" w:cs="宋体"/>
                <w:kern w:val="2"/>
                <w:sz w:val="21"/>
                <w:szCs w:val="21"/>
              </w:rPr>
            </w:pPr>
          </w:p>
        </w:tc>
        <w:tc>
          <w:tcPr>
            <w:tcW w:w="1109" w:type="dxa"/>
            <w:shd w:val="clear" w:color="auto" w:fill="FFFFFF"/>
            <w:vAlign w:val="center"/>
          </w:tcPr>
          <w:p w14:paraId="2BA1AC1E">
            <w:pPr>
              <w:rPr>
                <w:rFonts w:ascii="宋体" w:hAnsi="宋体"/>
                <w:kern w:val="2"/>
                <w:sz w:val="21"/>
                <w:szCs w:val="21"/>
              </w:rPr>
            </w:pPr>
            <w:r>
              <w:rPr>
                <w:rFonts w:hint="eastAsia" w:ascii="宋体" w:hAnsi="宋体" w:cs="宋体"/>
                <w:kern w:val="2"/>
                <w:sz w:val="21"/>
                <w:szCs w:val="21"/>
              </w:rPr>
              <w:t>第三方</w:t>
            </w:r>
          </w:p>
        </w:tc>
      </w:tr>
      <w:tr w14:paraId="47FFA3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jc w:val="center"/>
        </w:trPr>
        <w:tc>
          <w:tcPr>
            <w:tcW w:w="731" w:type="dxa"/>
            <w:vMerge w:val="continue"/>
            <w:shd w:val="clear" w:color="auto" w:fill="FFFFFF"/>
            <w:vAlign w:val="center"/>
          </w:tcPr>
          <w:p w14:paraId="70986033">
            <w:pPr>
              <w:rPr>
                <w:rFonts w:ascii="宋体" w:hAnsi="宋体" w:cs="宋体"/>
                <w:kern w:val="2"/>
                <w:sz w:val="21"/>
                <w:szCs w:val="21"/>
              </w:rPr>
            </w:pPr>
          </w:p>
        </w:tc>
        <w:tc>
          <w:tcPr>
            <w:tcW w:w="2188" w:type="dxa"/>
            <w:shd w:val="clear" w:color="auto" w:fill="FFFFFF"/>
            <w:vAlign w:val="center"/>
          </w:tcPr>
          <w:p w14:paraId="20AF6DA7">
            <w:pPr>
              <w:rPr>
                <w:rFonts w:ascii="宋体" w:hAnsi="宋体" w:cs="宋体"/>
                <w:kern w:val="2"/>
                <w:sz w:val="21"/>
                <w:szCs w:val="21"/>
              </w:rPr>
            </w:pPr>
            <w:r>
              <w:rPr>
                <w:rFonts w:hint="eastAsia" w:ascii="宋体" w:hAnsi="宋体" w:cs="宋体"/>
                <w:kern w:val="2"/>
                <w:sz w:val="21"/>
                <w:szCs w:val="21"/>
              </w:rPr>
              <w:t>公益支持（万元）</w:t>
            </w:r>
          </w:p>
        </w:tc>
        <w:tc>
          <w:tcPr>
            <w:tcW w:w="1559" w:type="dxa"/>
            <w:shd w:val="clear" w:color="auto" w:fill="FFFFFF"/>
            <w:vAlign w:val="center"/>
          </w:tcPr>
          <w:p w14:paraId="050E7384">
            <w:pPr>
              <w:jc w:val="both"/>
              <w:rPr>
                <w:rFonts w:ascii="宋体" w:hAnsi="宋体" w:cs="宋体"/>
                <w:kern w:val="2"/>
                <w:sz w:val="21"/>
                <w:szCs w:val="21"/>
              </w:rPr>
            </w:pPr>
            <w:r>
              <w:rPr>
                <w:rFonts w:hint="eastAsia" w:ascii="宋体" w:hAnsi="宋体" w:cs="宋体"/>
                <w:kern w:val="2"/>
                <w:sz w:val="21"/>
                <w:szCs w:val="21"/>
              </w:rPr>
              <w:t>财务报表</w:t>
            </w:r>
          </w:p>
        </w:tc>
        <w:tc>
          <w:tcPr>
            <w:tcW w:w="871" w:type="dxa"/>
            <w:shd w:val="clear" w:color="auto" w:fill="FFFFFF"/>
            <w:vAlign w:val="center"/>
          </w:tcPr>
          <w:p w14:paraId="16724C3F">
            <w:pPr>
              <w:jc w:val="center"/>
              <w:rPr>
                <w:rFonts w:ascii="宋体" w:hAnsi="宋体" w:cs="宋体"/>
                <w:kern w:val="2"/>
                <w:sz w:val="21"/>
                <w:szCs w:val="21"/>
              </w:rPr>
            </w:pPr>
            <w:r>
              <w:rPr>
                <w:rFonts w:hint="eastAsia" w:ascii="宋体" w:hAnsi="宋体" w:cs="宋体"/>
                <w:kern w:val="2"/>
                <w:sz w:val="21"/>
                <w:szCs w:val="21"/>
              </w:rPr>
              <w:t>行政部</w:t>
            </w:r>
          </w:p>
        </w:tc>
        <w:tc>
          <w:tcPr>
            <w:tcW w:w="711" w:type="dxa"/>
            <w:shd w:val="clear" w:color="auto" w:fill="FFFFFF"/>
            <w:noWrap/>
            <w:vAlign w:val="center"/>
          </w:tcPr>
          <w:p w14:paraId="39E3D6B1">
            <w:pPr>
              <w:jc w:val="center"/>
              <w:rPr>
                <w:rFonts w:ascii="宋体" w:hAnsi="宋体" w:cs="宋体"/>
                <w:kern w:val="2"/>
                <w:sz w:val="21"/>
                <w:szCs w:val="21"/>
              </w:rPr>
            </w:pPr>
            <w:r>
              <w:rPr>
                <w:rFonts w:hint="eastAsia" w:ascii="宋体" w:hAnsi="宋体" w:cs="宋体"/>
                <w:kern w:val="2"/>
                <w:sz w:val="21"/>
                <w:szCs w:val="21"/>
              </w:rPr>
              <w:t>月</w:t>
            </w:r>
          </w:p>
        </w:tc>
        <w:tc>
          <w:tcPr>
            <w:tcW w:w="686" w:type="dxa"/>
            <w:shd w:val="clear" w:color="auto" w:fill="FFFFFF"/>
            <w:noWrap/>
            <w:vAlign w:val="center"/>
          </w:tcPr>
          <w:p w14:paraId="74B01AEA">
            <w:pPr>
              <w:jc w:val="center"/>
              <w:rPr>
                <w:rFonts w:ascii="宋体" w:hAnsi="宋体" w:cs="宋体"/>
                <w:kern w:val="2"/>
                <w:sz w:val="21"/>
                <w:szCs w:val="21"/>
              </w:rPr>
            </w:pPr>
            <w:r>
              <w:rPr>
                <w:rFonts w:hint="eastAsia" w:ascii="宋体" w:hAnsi="宋体" w:cs="宋体"/>
                <w:kern w:val="2"/>
                <w:sz w:val="21"/>
                <w:szCs w:val="21"/>
              </w:rPr>
              <w:t>月</w:t>
            </w:r>
          </w:p>
        </w:tc>
        <w:tc>
          <w:tcPr>
            <w:tcW w:w="709" w:type="dxa"/>
            <w:vMerge w:val="continue"/>
            <w:shd w:val="clear" w:color="auto" w:fill="FFFFFF"/>
            <w:vAlign w:val="center"/>
          </w:tcPr>
          <w:p w14:paraId="23058250">
            <w:pPr>
              <w:rPr>
                <w:rFonts w:ascii="宋体" w:hAnsi="宋体" w:cs="宋体"/>
                <w:kern w:val="2"/>
                <w:sz w:val="21"/>
                <w:szCs w:val="21"/>
              </w:rPr>
            </w:pPr>
          </w:p>
        </w:tc>
        <w:tc>
          <w:tcPr>
            <w:tcW w:w="896" w:type="dxa"/>
            <w:vMerge w:val="continue"/>
            <w:shd w:val="clear" w:color="auto" w:fill="FFFFFF"/>
            <w:vAlign w:val="center"/>
          </w:tcPr>
          <w:p w14:paraId="256501EB">
            <w:pPr>
              <w:rPr>
                <w:rFonts w:ascii="宋体" w:hAnsi="宋体" w:cs="宋体"/>
                <w:kern w:val="2"/>
                <w:sz w:val="21"/>
                <w:szCs w:val="21"/>
              </w:rPr>
            </w:pPr>
          </w:p>
        </w:tc>
        <w:tc>
          <w:tcPr>
            <w:tcW w:w="1109" w:type="dxa"/>
            <w:shd w:val="clear" w:color="auto" w:fill="FFFFFF"/>
            <w:vAlign w:val="center"/>
          </w:tcPr>
          <w:p w14:paraId="2F075975">
            <w:pPr>
              <w:rPr>
                <w:rFonts w:ascii="宋体" w:hAnsi="宋体" w:cs="宋体"/>
                <w:kern w:val="2"/>
                <w:sz w:val="21"/>
                <w:szCs w:val="21"/>
              </w:rPr>
            </w:pPr>
            <w:r>
              <w:rPr>
                <w:rFonts w:hint="eastAsia" w:ascii="宋体" w:hAnsi="宋体" w:cs="宋体"/>
                <w:kern w:val="2"/>
                <w:sz w:val="21"/>
                <w:szCs w:val="21"/>
              </w:rPr>
              <w:t>行政部</w:t>
            </w:r>
          </w:p>
        </w:tc>
      </w:tr>
    </w:tbl>
    <w:p w14:paraId="35215F8F">
      <w:pPr>
        <w:spacing w:line="360" w:lineRule="auto"/>
        <w:rPr>
          <w:rFonts w:ascii="黑体" w:hAnsi="黑体" w:eastAsia="黑体" w:cs="黑体"/>
          <w:b/>
          <w:bCs/>
        </w:rPr>
      </w:pPr>
    </w:p>
    <w:p w14:paraId="5C5BCA7D">
      <w:pPr>
        <w:autoSpaceDE w:val="0"/>
        <w:autoSpaceDN w:val="0"/>
        <w:jc w:val="center"/>
        <w:rPr>
          <w:rFonts w:ascii="黑体" w:hAnsi="黑体" w:eastAsia="黑体"/>
          <w:b/>
          <w:sz w:val="21"/>
          <w:szCs w:val="21"/>
        </w:rPr>
      </w:pPr>
    </w:p>
    <w:p w14:paraId="4873F992">
      <w:pPr>
        <w:autoSpaceDE w:val="0"/>
        <w:autoSpaceDN w:val="0"/>
        <w:jc w:val="center"/>
        <w:rPr>
          <w:rFonts w:ascii="黑体" w:hAnsi="黑体" w:eastAsia="黑体"/>
          <w:b/>
          <w:sz w:val="21"/>
          <w:szCs w:val="21"/>
        </w:rPr>
      </w:pPr>
    </w:p>
    <w:p w14:paraId="243A3FEA">
      <w:pPr>
        <w:autoSpaceDE w:val="0"/>
        <w:autoSpaceDN w:val="0"/>
        <w:jc w:val="center"/>
        <w:rPr>
          <w:rFonts w:ascii="黑体" w:hAnsi="黑体" w:eastAsia="黑体"/>
          <w:b/>
          <w:sz w:val="21"/>
          <w:szCs w:val="21"/>
        </w:rPr>
      </w:pPr>
    </w:p>
    <w:p w14:paraId="69B2C0BB">
      <w:pPr>
        <w:autoSpaceDE w:val="0"/>
        <w:autoSpaceDN w:val="0"/>
        <w:jc w:val="center"/>
        <w:rPr>
          <w:rFonts w:ascii="黑体" w:hAnsi="黑体" w:eastAsia="黑体"/>
          <w:b/>
          <w:sz w:val="21"/>
          <w:szCs w:val="21"/>
        </w:rPr>
      </w:pPr>
    </w:p>
    <w:p w14:paraId="0998C624">
      <w:pPr>
        <w:autoSpaceDE w:val="0"/>
        <w:autoSpaceDN w:val="0"/>
        <w:jc w:val="center"/>
        <w:rPr>
          <w:rFonts w:ascii="黑体" w:hAnsi="黑体" w:eastAsia="黑体"/>
          <w:b/>
          <w:sz w:val="21"/>
          <w:szCs w:val="21"/>
        </w:rPr>
      </w:pPr>
    </w:p>
    <w:p w14:paraId="44F5FE63">
      <w:pPr>
        <w:autoSpaceDE w:val="0"/>
        <w:autoSpaceDN w:val="0"/>
        <w:jc w:val="center"/>
        <w:rPr>
          <w:rFonts w:ascii="黑体" w:hAnsi="黑体" w:eastAsia="黑体"/>
          <w:b/>
          <w:sz w:val="21"/>
          <w:szCs w:val="21"/>
        </w:rPr>
      </w:pPr>
    </w:p>
    <w:p w14:paraId="2C2CF55B">
      <w:pPr>
        <w:autoSpaceDE w:val="0"/>
        <w:autoSpaceDN w:val="0"/>
        <w:jc w:val="center"/>
        <w:rPr>
          <w:rFonts w:ascii="黑体" w:hAnsi="黑体" w:eastAsia="黑体"/>
          <w:b/>
          <w:sz w:val="21"/>
          <w:szCs w:val="21"/>
        </w:rPr>
      </w:pPr>
    </w:p>
    <w:p w14:paraId="53CD7248">
      <w:pPr>
        <w:autoSpaceDE w:val="0"/>
        <w:autoSpaceDN w:val="0"/>
        <w:jc w:val="center"/>
        <w:rPr>
          <w:rFonts w:ascii="黑体" w:hAnsi="黑体" w:eastAsia="黑体"/>
          <w:b/>
          <w:sz w:val="21"/>
          <w:szCs w:val="21"/>
        </w:rPr>
      </w:pPr>
      <w:r>
        <w:rPr>
          <w:rFonts w:hint="eastAsia" w:ascii="黑体" w:hAnsi="黑体" w:eastAsia="黑体"/>
          <w:b/>
          <w:sz w:val="21"/>
          <w:szCs w:val="21"/>
        </w:rPr>
        <w:t>图4.6.2-2 组织绩效测量系统</w:t>
      </w:r>
    </w:p>
    <w:p w14:paraId="0BA62647">
      <w:pPr>
        <w:spacing w:line="360" w:lineRule="auto"/>
        <w:ind w:firstLine="472" w:firstLineChars="196"/>
        <w:rPr>
          <w:rFonts w:ascii="黑体" w:hAnsi="黑体" w:eastAsia="黑体" w:cs="黑体"/>
          <w:b/>
          <w:bCs/>
        </w:rPr>
      </w:pPr>
      <w:r>
        <w:rPr>
          <w:rFonts w:ascii="黑体" w:hAnsi="黑体" w:eastAsia="黑体" w:cs="黑体"/>
          <w:b/>
          <w:bCs/>
        </w:rPr>
        <w:drawing>
          <wp:inline distT="0" distB="0" distL="114300" distR="114300">
            <wp:extent cx="5619750" cy="3810000"/>
            <wp:effectExtent l="0" t="0" r="0" b="0"/>
            <wp:docPr id="2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7"/>
                    <pic:cNvPicPr>
                      <a:picLocks noChangeAspect="1"/>
                    </pic:cNvPicPr>
                  </pic:nvPicPr>
                  <pic:blipFill>
                    <a:blip r:embed="rId36"/>
                    <a:stretch>
                      <a:fillRect/>
                    </a:stretch>
                  </pic:blipFill>
                  <pic:spPr>
                    <a:xfrm>
                      <a:off x="0" y="0"/>
                      <a:ext cx="5619750" cy="3810000"/>
                    </a:xfrm>
                    <a:prstGeom prst="rect">
                      <a:avLst/>
                    </a:prstGeom>
                    <a:noFill/>
                    <a:ln>
                      <a:noFill/>
                    </a:ln>
                  </pic:spPr>
                </pic:pic>
              </a:graphicData>
            </a:graphic>
          </wp:inline>
        </w:drawing>
      </w:r>
    </w:p>
    <w:p w14:paraId="00171769">
      <w:pPr>
        <w:pStyle w:val="6"/>
        <w:rPr>
          <w:rFonts w:cs="宋体"/>
          <w:sz w:val="24"/>
          <w:szCs w:val="24"/>
        </w:rPr>
      </w:pPr>
      <w:r>
        <w:rPr>
          <w:rFonts w:hint="eastAsia" w:cs="宋体"/>
          <w:sz w:val="24"/>
          <w:szCs w:val="24"/>
        </w:rPr>
        <w:t>4.6.2.2.2</w:t>
      </w:r>
      <w:r>
        <w:rPr>
          <w:rFonts w:hint="eastAsia"/>
          <w:sz w:val="24"/>
          <w:szCs w:val="24"/>
        </w:rPr>
        <w:t>有效应用关键对比数据和信息，支持决策、改进和创新</w:t>
      </w:r>
    </w:p>
    <w:p w14:paraId="10E9D1AB">
      <w:pPr>
        <w:spacing w:line="360" w:lineRule="auto"/>
        <w:ind w:firstLine="480" w:firstLineChars="200"/>
        <w:rPr>
          <w:rFonts w:ascii="宋体" w:hAnsi="宋体"/>
        </w:rPr>
      </w:pPr>
      <w:r>
        <w:rPr>
          <w:rFonts w:hint="eastAsia" w:ascii="宋体" w:hAnsi="宋体"/>
        </w:rPr>
        <w:t>公司建立了数据和信息对比管理体系，定期通报关键绩效数据，开展内部对比、竞争对比和标杆对比，为战略制定和日常决策、为改进和创新提供支持，见表4.6.2-2。</w:t>
      </w:r>
    </w:p>
    <w:p w14:paraId="751D3B47">
      <w:pPr>
        <w:autoSpaceDE w:val="0"/>
        <w:autoSpaceDN w:val="0"/>
        <w:spacing w:line="360" w:lineRule="auto"/>
        <w:jc w:val="center"/>
        <w:rPr>
          <w:rFonts w:ascii="黑体" w:hAnsi="黑体" w:eastAsia="黑体"/>
          <w:b/>
          <w:sz w:val="21"/>
          <w:szCs w:val="21"/>
        </w:rPr>
      </w:pPr>
      <w:r>
        <w:rPr>
          <w:rFonts w:hint="eastAsia" w:ascii="黑体" w:hAnsi="黑体" w:eastAsia="黑体"/>
          <w:b/>
          <w:sz w:val="21"/>
          <w:szCs w:val="21"/>
        </w:rPr>
        <w:t>表4.6.2-2 标杆和竞争对手比较</w:t>
      </w:r>
    </w:p>
    <w:tbl>
      <w:tblPr>
        <w:tblStyle w:val="22"/>
        <w:tblW w:w="892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453"/>
        <w:gridCol w:w="1900"/>
        <w:gridCol w:w="1906"/>
        <w:gridCol w:w="966"/>
        <w:gridCol w:w="1697"/>
      </w:tblGrid>
      <w:tr w14:paraId="40E290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tblHeader/>
          <w:jc w:val="center"/>
        </w:trPr>
        <w:tc>
          <w:tcPr>
            <w:tcW w:w="2453" w:type="dxa"/>
            <w:tcBorders>
              <w:top w:val="double" w:color="auto" w:sz="4" w:space="0"/>
              <w:bottom w:val="single" w:color="auto" w:sz="6" w:space="0"/>
            </w:tcBorders>
            <w:shd w:val="clear" w:color="auto" w:fill="948A54"/>
            <w:vAlign w:val="center"/>
          </w:tcPr>
          <w:p w14:paraId="7D77F617">
            <w:pPr>
              <w:jc w:val="center"/>
              <w:rPr>
                <w:rFonts w:ascii="宋体" w:hAnsi="宋体"/>
                <w:b/>
                <w:color w:val="FFFFFF"/>
                <w:kern w:val="2"/>
                <w:sz w:val="21"/>
                <w:szCs w:val="21"/>
              </w:rPr>
            </w:pPr>
            <w:r>
              <w:rPr>
                <w:rFonts w:hint="eastAsia" w:ascii="宋体" w:hAnsi="宋体"/>
                <w:b/>
                <w:color w:val="FFFFFF"/>
                <w:kern w:val="2"/>
                <w:sz w:val="21"/>
                <w:szCs w:val="21"/>
              </w:rPr>
              <w:t>数据类别</w:t>
            </w:r>
          </w:p>
        </w:tc>
        <w:tc>
          <w:tcPr>
            <w:tcW w:w="1900" w:type="dxa"/>
            <w:tcBorders>
              <w:top w:val="double" w:color="auto" w:sz="4" w:space="0"/>
              <w:bottom w:val="single" w:color="auto" w:sz="6" w:space="0"/>
            </w:tcBorders>
            <w:shd w:val="clear" w:color="auto" w:fill="948A54"/>
            <w:vAlign w:val="center"/>
          </w:tcPr>
          <w:p w14:paraId="7E28BC53">
            <w:pPr>
              <w:jc w:val="center"/>
              <w:rPr>
                <w:rFonts w:ascii="宋体" w:hAnsi="宋体"/>
                <w:b/>
                <w:color w:val="FFFFFF"/>
                <w:kern w:val="2"/>
                <w:sz w:val="21"/>
                <w:szCs w:val="21"/>
              </w:rPr>
            </w:pPr>
            <w:r>
              <w:rPr>
                <w:rFonts w:hint="eastAsia" w:ascii="宋体" w:hAnsi="宋体"/>
                <w:b/>
                <w:color w:val="FFFFFF"/>
                <w:kern w:val="2"/>
                <w:sz w:val="21"/>
                <w:szCs w:val="21"/>
              </w:rPr>
              <w:t>信息来源</w:t>
            </w:r>
          </w:p>
        </w:tc>
        <w:tc>
          <w:tcPr>
            <w:tcW w:w="1906" w:type="dxa"/>
            <w:tcBorders>
              <w:top w:val="double" w:color="auto" w:sz="4" w:space="0"/>
              <w:bottom w:val="single" w:color="auto" w:sz="6" w:space="0"/>
            </w:tcBorders>
            <w:shd w:val="clear" w:color="auto" w:fill="948A54"/>
            <w:vAlign w:val="center"/>
          </w:tcPr>
          <w:p w14:paraId="7BCDB29C">
            <w:pPr>
              <w:jc w:val="center"/>
              <w:rPr>
                <w:rFonts w:ascii="宋体" w:hAnsi="宋体"/>
                <w:b/>
                <w:color w:val="FFFFFF"/>
                <w:kern w:val="2"/>
                <w:sz w:val="21"/>
                <w:szCs w:val="21"/>
              </w:rPr>
            </w:pPr>
            <w:r>
              <w:rPr>
                <w:rFonts w:hint="eastAsia" w:ascii="宋体" w:hAnsi="宋体"/>
                <w:b/>
                <w:color w:val="FFFFFF"/>
                <w:kern w:val="2"/>
                <w:sz w:val="21"/>
                <w:szCs w:val="21"/>
              </w:rPr>
              <w:t>收集主题</w:t>
            </w:r>
          </w:p>
        </w:tc>
        <w:tc>
          <w:tcPr>
            <w:tcW w:w="966" w:type="dxa"/>
            <w:tcBorders>
              <w:top w:val="double" w:color="auto" w:sz="4" w:space="0"/>
              <w:bottom w:val="single" w:color="auto" w:sz="6" w:space="0"/>
            </w:tcBorders>
            <w:shd w:val="clear" w:color="auto" w:fill="948A54"/>
            <w:vAlign w:val="center"/>
          </w:tcPr>
          <w:p w14:paraId="1D4A119F">
            <w:pPr>
              <w:jc w:val="center"/>
              <w:rPr>
                <w:rFonts w:ascii="宋体" w:hAnsi="宋体"/>
                <w:b/>
                <w:color w:val="FFFFFF"/>
                <w:kern w:val="2"/>
                <w:sz w:val="21"/>
                <w:szCs w:val="21"/>
              </w:rPr>
            </w:pPr>
            <w:r>
              <w:rPr>
                <w:rFonts w:hint="eastAsia" w:ascii="宋体" w:hAnsi="宋体"/>
                <w:b/>
                <w:color w:val="FFFFFF"/>
                <w:kern w:val="2"/>
                <w:sz w:val="21"/>
                <w:szCs w:val="21"/>
              </w:rPr>
              <w:t>频次</w:t>
            </w:r>
          </w:p>
        </w:tc>
        <w:tc>
          <w:tcPr>
            <w:tcW w:w="1697" w:type="dxa"/>
            <w:tcBorders>
              <w:top w:val="double" w:color="auto" w:sz="4" w:space="0"/>
              <w:bottom w:val="single" w:color="auto" w:sz="6" w:space="0"/>
            </w:tcBorders>
            <w:shd w:val="clear" w:color="auto" w:fill="948A54"/>
            <w:vAlign w:val="center"/>
          </w:tcPr>
          <w:p w14:paraId="3D92B97C">
            <w:pPr>
              <w:jc w:val="center"/>
              <w:rPr>
                <w:rFonts w:ascii="宋体" w:hAnsi="宋体"/>
                <w:b/>
                <w:color w:val="FFFFFF"/>
                <w:kern w:val="2"/>
                <w:sz w:val="21"/>
                <w:szCs w:val="21"/>
              </w:rPr>
            </w:pPr>
            <w:r>
              <w:rPr>
                <w:rFonts w:hint="eastAsia" w:ascii="宋体" w:hAnsi="宋体"/>
                <w:b/>
                <w:color w:val="FFFFFF"/>
                <w:kern w:val="2"/>
                <w:sz w:val="21"/>
                <w:szCs w:val="21"/>
              </w:rPr>
              <w:t>信息平台</w:t>
            </w:r>
          </w:p>
        </w:tc>
      </w:tr>
      <w:tr w14:paraId="2849BC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86" w:hRule="atLeast"/>
          <w:tblHeader/>
          <w:jc w:val="center"/>
        </w:trPr>
        <w:tc>
          <w:tcPr>
            <w:tcW w:w="2453" w:type="dxa"/>
            <w:tcBorders>
              <w:top w:val="single" w:color="auto" w:sz="6" w:space="0"/>
            </w:tcBorders>
            <w:shd w:val="clear" w:color="auto" w:fill="FFFFFF"/>
            <w:vAlign w:val="center"/>
          </w:tcPr>
          <w:p w14:paraId="4ED90E1D">
            <w:pPr>
              <w:rPr>
                <w:rFonts w:ascii="宋体" w:hAnsi="宋体" w:cs="宋体"/>
                <w:kern w:val="2"/>
                <w:sz w:val="21"/>
                <w:szCs w:val="21"/>
              </w:rPr>
            </w:pPr>
            <w:r>
              <w:rPr>
                <w:rFonts w:hint="eastAsia" w:ascii="宋体" w:hAnsi="宋体" w:cs="宋体"/>
                <w:kern w:val="2"/>
                <w:sz w:val="21"/>
                <w:szCs w:val="21"/>
              </w:rPr>
              <w:t>标杆企业：</w:t>
            </w:r>
          </w:p>
          <w:p w14:paraId="77FF56FB">
            <w:pPr>
              <w:rPr>
                <w:rFonts w:ascii="宋体" w:hAnsi="宋体" w:cs="宋体"/>
                <w:kern w:val="2"/>
                <w:sz w:val="21"/>
                <w:szCs w:val="21"/>
              </w:rPr>
            </w:pPr>
            <w:r>
              <w:rPr>
                <w:rFonts w:hint="eastAsia" w:ascii="宋体" w:hAnsi="宋体" w:cs="宋体"/>
                <w:kern w:val="2"/>
                <w:sz w:val="21"/>
                <w:szCs w:val="21"/>
              </w:rPr>
              <w:t>三棵树涂料股份有限公司</w:t>
            </w:r>
          </w:p>
        </w:tc>
        <w:tc>
          <w:tcPr>
            <w:tcW w:w="1900" w:type="dxa"/>
            <w:vMerge w:val="restart"/>
            <w:tcBorders>
              <w:top w:val="single" w:color="auto" w:sz="6" w:space="0"/>
            </w:tcBorders>
            <w:shd w:val="clear" w:color="auto" w:fill="FFFFFF"/>
            <w:vAlign w:val="center"/>
          </w:tcPr>
          <w:p w14:paraId="19B8E355">
            <w:pPr>
              <w:rPr>
                <w:rFonts w:ascii="宋体" w:hAnsi="宋体" w:cs="宋体"/>
                <w:kern w:val="2"/>
                <w:sz w:val="21"/>
                <w:szCs w:val="21"/>
              </w:rPr>
            </w:pPr>
            <w:r>
              <w:rPr>
                <w:rFonts w:hint="eastAsia" w:ascii="宋体" w:hAnsi="宋体" w:cs="宋体"/>
                <w:kern w:val="2"/>
                <w:sz w:val="21"/>
                <w:szCs w:val="21"/>
              </w:rPr>
              <w:t>市场占有率、配套份额、制造成本、技术应用水平和技术能力、关键绩效指标等</w:t>
            </w:r>
          </w:p>
        </w:tc>
        <w:tc>
          <w:tcPr>
            <w:tcW w:w="1906" w:type="dxa"/>
            <w:vMerge w:val="restart"/>
            <w:tcBorders>
              <w:top w:val="single" w:color="auto" w:sz="6" w:space="0"/>
            </w:tcBorders>
            <w:shd w:val="clear" w:color="auto" w:fill="FFFFFF"/>
            <w:vAlign w:val="center"/>
          </w:tcPr>
          <w:p w14:paraId="64F5E900">
            <w:pPr>
              <w:rPr>
                <w:rFonts w:ascii="宋体" w:hAnsi="宋体" w:cs="宋体"/>
                <w:kern w:val="2"/>
                <w:sz w:val="21"/>
                <w:szCs w:val="21"/>
              </w:rPr>
            </w:pPr>
            <w:r>
              <w:rPr>
                <w:rFonts w:hint="eastAsia" w:ascii="宋体" w:hAnsi="宋体" w:cs="宋体"/>
                <w:kern w:val="2"/>
                <w:sz w:val="21"/>
                <w:szCs w:val="21"/>
              </w:rPr>
              <w:t>趋势分析、对比分析</w:t>
            </w:r>
          </w:p>
        </w:tc>
        <w:tc>
          <w:tcPr>
            <w:tcW w:w="966" w:type="dxa"/>
            <w:vMerge w:val="restart"/>
            <w:tcBorders>
              <w:top w:val="single" w:color="auto" w:sz="6" w:space="0"/>
            </w:tcBorders>
            <w:shd w:val="clear" w:color="auto" w:fill="FFFFFF"/>
            <w:vAlign w:val="center"/>
          </w:tcPr>
          <w:p w14:paraId="48F89CE3">
            <w:pPr>
              <w:jc w:val="center"/>
              <w:rPr>
                <w:rFonts w:ascii="宋体" w:hAnsi="宋体" w:cs="宋体"/>
                <w:kern w:val="2"/>
                <w:sz w:val="21"/>
                <w:szCs w:val="21"/>
              </w:rPr>
            </w:pPr>
            <w:r>
              <w:rPr>
                <w:rFonts w:hint="eastAsia" w:ascii="宋体" w:hAnsi="宋体" w:cs="宋体"/>
                <w:kern w:val="2"/>
                <w:sz w:val="21"/>
                <w:szCs w:val="21"/>
              </w:rPr>
              <w:t>年度</w:t>
            </w:r>
          </w:p>
        </w:tc>
        <w:tc>
          <w:tcPr>
            <w:tcW w:w="1697" w:type="dxa"/>
            <w:vMerge w:val="restart"/>
            <w:tcBorders>
              <w:top w:val="single" w:color="auto" w:sz="6" w:space="0"/>
            </w:tcBorders>
            <w:shd w:val="clear" w:color="auto" w:fill="FFFFFF"/>
            <w:vAlign w:val="center"/>
          </w:tcPr>
          <w:p w14:paraId="04A77BEC">
            <w:pPr>
              <w:jc w:val="both"/>
              <w:rPr>
                <w:rFonts w:ascii="宋体" w:hAnsi="宋体" w:cs="宋体"/>
                <w:kern w:val="2"/>
                <w:sz w:val="21"/>
                <w:szCs w:val="21"/>
              </w:rPr>
            </w:pPr>
            <w:r>
              <w:rPr>
                <w:rFonts w:hint="eastAsia" w:ascii="宋体" w:hAnsi="宋体" w:cs="宋体"/>
                <w:kern w:val="2"/>
                <w:sz w:val="21"/>
                <w:szCs w:val="21"/>
              </w:rPr>
              <w:t>年报、网站、协会信息、顾客提供信息、展览会</w:t>
            </w:r>
            <w:r>
              <w:rPr>
                <w:rFonts w:hint="eastAsia" w:ascii="宋体" w:hAnsi="宋体"/>
                <w:kern w:val="2"/>
                <w:sz w:val="21"/>
                <w:szCs w:val="21"/>
              </w:rPr>
              <w:t>、</w:t>
            </w:r>
            <w:r>
              <w:rPr>
                <w:rFonts w:hint="eastAsia" w:ascii="宋体" w:hAnsi="宋体" w:cs="宋体"/>
                <w:kern w:val="2"/>
                <w:sz w:val="21"/>
                <w:szCs w:val="21"/>
              </w:rPr>
              <w:t>论坛</w:t>
            </w:r>
            <w:r>
              <w:rPr>
                <w:rFonts w:hint="eastAsia" w:ascii="宋体" w:hAnsi="宋体"/>
                <w:kern w:val="2"/>
                <w:sz w:val="21"/>
                <w:szCs w:val="21"/>
              </w:rPr>
              <w:t>、第三方机构</w:t>
            </w:r>
            <w:r>
              <w:rPr>
                <w:rFonts w:hint="eastAsia" w:ascii="宋体" w:hAnsi="宋体" w:cs="宋体"/>
                <w:kern w:val="2"/>
                <w:sz w:val="21"/>
                <w:szCs w:val="21"/>
              </w:rPr>
              <w:t>等</w:t>
            </w:r>
          </w:p>
        </w:tc>
      </w:tr>
      <w:tr w14:paraId="7CD886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83" w:hRule="atLeast"/>
          <w:tblHeader/>
          <w:jc w:val="center"/>
        </w:trPr>
        <w:tc>
          <w:tcPr>
            <w:tcW w:w="2453" w:type="dxa"/>
            <w:shd w:val="clear" w:color="auto" w:fill="FFFFFF"/>
            <w:vAlign w:val="center"/>
          </w:tcPr>
          <w:p w14:paraId="2FDE4F1C">
            <w:pPr>
              <w:rPr>
                <w:rFonts w:ascii="宋体" w:hAnsi="宋体" w:cs="宋体"/>
                <w:kern w:val="2"/>
                <w:sz w:val="21"/>
                <w:szCs w:val="21"/>
              </w:rPr>
            </w:pPr>
            <w:r>
              <w:rPr>
                <w:rFonts w:hint="eastAsia" w:ascii="宋体" w:hAnsi="宋体" w:cs="宋体"/>
                <w:kern w:val="2"/>
                <w:sz w:val="21"/>
                <w:szCs w:val="21"/>
              </w:rPr>
              <w:t>竞争对手：</w:t>
            </w:r>
          </w:p>
          <w:p w14:paraId="7E8DB830">
            <w:pPr>
              <w:rPr>
                <w:rFonts w:ascii="宋体" w:hAnsi="宋体" w:cs="宋体"/>
                <w:kern w:val="2"/>
                <w:sz w:val="21"/>
                <w:szCs w:val="21"/>
              </w:rPr>
            </w:pPr>
            <w:r>
              <w:rPr>
                <w:rFonts w:ascii="宋体" w:hAnsi="宋体" w:eastAsia="宋体" w:cs="宋体"/>
                <w:sz w:val="24"/>
                <w:szCs w:val="24"/>
              </w:rPr>
              <w:t>浙江志强涂料有限公司</w:t>
            </w:r>
          </w:p>
        </w:tc>
        <w:tc>
          <w:tcPr>
            <w:tcW w:w="1900" w:type="dxa"/>
            <w:vMerge w:val="continue"/>
            <w:shd w:val="clear" w:color="auto" w:fill="FFFFFF"/>
            <w:vAlign w:val="center"/>
          </w:tcPr>
          <w:p w14:paraId="1DE01388">
            <w:pPr>
              <w:rPr>
                <w:rFonts w:ascii="宋体" w:hAnsi="宋体" w:cs="宋体"/>
                <w:kern w:val="2"/>
                <w:sz w:val="21"/>
                <w:szCs w:val="21"/>
              </w:rPr>
            </w:pPr>
          </w:p>
        </w:tc>
        <w:tc>
          <w:tcPr>
            <w:tcW w:w="1906" w:type="dxa"/>
            <w:vMerge w:val="continue"/>
            <w:shd w:val="clear" w:color="auto" w:fill="FFFFFF"/>
            <w:vAlign w:val="center"/>
          </w:tcPr>
          <w:p w14:paraId="385A1941">
            <w:pPr>
              <w:rPr>
                <w:rFonts w:ascii="宋体" w:hAnsi="宋体" w:cs="宋体"/>
                <w:kern w:val="2"/>
                <w:sz w:val="21"/>
                <w:szCs w:val="21"/>
              </w:rPr>
            </w:pPr>
          </w:p>
        </w:tc>
        <w:tc>
          <w:tcPr>
            <w:tcW w:w="966" w:type="dxa"/>
            <w:vMerge w:val="continue"/>
            <w:shd w:val="clear" w:color="auto" w:fill="FFFFFF"/>
            <w:vAlign w:val="center"/>
          </w:tcPr>
          <w:p w14:paraId="7387AC13">
            <w:pPr>
              <w:jc w:val="center"/>
              <w:rPr>
                <w:rFonts w:ascii="宋体" w:hAnsi="宋体" w:cs="宋体"/>
                <w:kern w:val="2"/>
                <w:sz w:val="21"/>
                <w:szCs w:val="21"/>
              </w:rPr>
            </w:pPr>
          </w:p>
        </w:tc>
        <w:tc>
          <w:tcPr>
            <w:tcW w:w="1697" w:type="dxa"/>
            <w:vMerge w:val="continue"/>
            <w:shd w:val="clear" w:color="auto" w:fill="FFFFFF"/>
            <w:vAlign w:val="center"/>
          </w:tcPr>
          <w:p w14:paraId="36E15076">
            <w:pPr>
              <w:jc w:val="center"/>
              <w:rPr>
                <w:rFonts w:ascii="宋体" w:hAnsi="宋体" w:cs="宋体"/>
                <w:kern w:val="2"/>
                <w:sz w:val="21"/>
                <w:szCs w:val="21"/>
              </w:rPr>
            </w:pPr>
          </w:p>
        </w:tc>
      </w:tr>
    </w:tbl>
    <w:p w14:paraId="19AF88BA">
      <w:pPr>
        <w:spacing w:before="156" w:beforeLines="50" w:line="360" w:lineRule="auto"/>
        <w:ind w:firstLine="480" w:firstLineChars="200"/>
        <w:rPr>
          <w:rFonts w:ascii="宋体" w:hAnsi="宋体"/>
        </w:rPr>
      </w:pPr>
      <w:r>
        <w:rPr>
          <w:rFonts w:hint="eastAsia" w:ascii="宋体" w:hAnsi="宋体"/>
        </w:rPr>
        <w:t>通过比较找出差距，对差距进行分析，并同时检讨公司的绩效测量系统是否适应公司战略发展的要求，以及是否适应各层次绩效评审、内外部审核所提出的改进需求。</w:t>
      </w:r>
    </w:p>
    <w:p w14:paraId="7E1CFA71">
      <w:pPr>
        <w:pStyle w:val="6"/>
        <w:rPr>
          <w:sz w:val="24"/>
          <w:szCs w:val="24"/>
        </w:rPr>
      </w:pPr>
      <w:r>
        <w:rPr>
          <w:rFonts w:hint="eastAsia"/>
          <w:sz w:val="24"/>
          <w:szCs w:val="24"/>
        </w:rPr>
        <w:t>4.6.2.2.3评价绩效测量系统，确保对组织内外部的快速变化保持敏感性</w:t>
      </w:r>
    </w:p>
    <w:p w14:paraId="38C0CE11">
      <w:pPr>
        <w:spacing w:line="360" w:lineRule="auto"/>
        <w:ind w:firstLine="480" w:firstLineChars="200"/>
        <w:rPr>
          <w:rFonts w:ascii="宋体" w:hAnsi="宋体"/>
        </w:rPr>
      </w:pPr>
      <w:r>
        <w:rPr>
          <w:rFonts w:hint="eastAsia" w:ascii="宋体" w:hAnsi="宋体"/>
        </w:rPr>
        <w:t>公司通过识别内、外部变化保持必要的敏感性，能够对快速或未预期到的组织内外部变化做出响应。公司定期对测量系统进行评审，必要时调整战略计划，避免内、外部变化影响到公司的未来发展。</w:t>
      </w:r>
    </w:p>
    <w:p w14:paraId="57AE3652">
      <w:pPr>
        <w:spacing w:line="360" w:lineRule="auto"/>
        <w:ind w:firstLine="480" w:firstLineChars="200"/>
        <w:rPr>
          <w:rFonts w:ascii="宋体" w:hAnsi="宋体" w:cs="宋体"/>
        </w:rPr>
      </w:pPr>
      <w:r>
        <w:rPr>
          <w:rFonts w:hint="eastAsia" w:ascii="宋体" w:hAnsi="宋体"/>
        </w:rPr>
        <w:t>外部变化包括法律法规和政策变化、行业标准和环境变化、顾客需求和市场变化、竞争对手及竞争环境变化，内部变化包括供应链变化、体系流程变化、技术工艺变化、材料变革、各方/各级管理评审结果。绩效测量指标的评审过程见图</w:t>
      </w:r>
      <w:r>
        <w:rPr>
          <w:rFonts w:hint="eastAsia" w:ascii="宋体" w:hAnsi="宋体" w:cs="宋体"/>
        </w:rPr>
        <w:t>4.6.2-3。</w:t>
      </w:r>
    </w:p>
    <w:p w14:paraId="5166C0F4">
      <w:pPr>
        <w:autoSpaceDE w:val="0"/>
        <w:autoSpaceDN w:val="0"/>
        <w:snapToGrid w:val="0"/>
        <w:spacing w:before="156" w:beforeLines="50"/>
        <w:contextualSpacing/>
        <w:jc w:val="center"/>
        <w:rPr>
          <w:rFonts w:ascii="黑体" w:hAnsi="黑体" w:eastAsia="黑体"/>
          <w:b/>
          <w:sz w:val="21"/>
          <w:szCs w:val="21"/>
        </w:rPr>
      </w:pPr>
    </w:p>
    <w:p w14:paraId="6E053052">
      <w:pPr>
        <w:autoSpaceDE w:val="0"/>
        <w:autoSpaceDN w:val="0"/>
        <w:snapToGrid w:val="0"/>
        <w:spacing w:before="156" w:beforeLines="50"/>
        <w:contextualSpacing/>
        <w:jc w:val="center"/>
        <w:rPr>
          <w:rFonts w:ascii="黑体" w:hAnsi="黑体" w:eastAsia="黑体"/>
          <w:b/>
          <w:sz w:val="21"/>
          <w:szCs w:val="21"/>
        </w:rPr>
      </w:pPr>
      <w:r>
        <w:rPr>
          <w:rFonts w:ascii="黑体" w:hAnsi="黑体" w:eastAsia="黑体"/>
          <w:b/>
          <w:sz w:val="21"/>
          <w:szCs w:val="21"/>
        </w:rPr>
        <mc:AlternateContent>
          <mc:Choice Requires="wps">
            <w:drawing>
              <wp:anchor distT="0" distB="0" distL="114300" distR="114300" simplePos="0" relativeHeight="251716608" behindDoc="0" locked="0" layoutInCell="1" allowOverlap="1">
                <wp:simplePos x="0" y="0"/>
                <wp:positionH relativeFrom="column">
                  <wp:posOffset>539115</wp:posOffset>
                </wp:positionH>
                <wp:positionV relativeFrom="paragraph">
                  <wp:posOffset>229235</wp:posOffset>
                </wp:positionV>
                <wp:extent cx="5142865" cy="3675380"/>
                <wp:effectExtent l="6350" t="6350" r="13335" b="13970"/>
                <wp:wrapNone/>
                <wp:docPr id="116" name="文本框 116"/>
                <wp:cNvGraphicFramePr/>
                <a:graphic xmlns:a="http://schemas.openxmlformats.org/drawingml/2006/main">
                  <a:graphicData uri="http://schemas.microsoft.com/office/word/2010/wordprocessingShape">
                    <wps:wsp>
                      <wps:cNvSpPr txBox="1"/>
                      <wps:spPr>
                        <a:xfrm>
                          <a:off x="0" y="0"/>
                          <a:ext cx="5142865" cy="3675380"/>
                        </a:xfrm>
                        <a:prstGeom prst="rect">
                          <a:avLst/>
                        </a:prstGeom>
                        <a:gradFill rotWithShape="0">
                          <a:gsLst>
                            <a:gs pos="0">
                              <a:srgbClr val="FFFFFF"/>
                            </a:gs>
                            <a:gs pos="100000">
                              <a:srgbClr val="FFFFFF"/>
                            </a:gs>
                          </a:gsLst>
                          <a:lin ang="0" scaled="1"/>
                          <a:tileRect/>
                        </a:gradFill>
                        <a:ln w="12700" cap="flat" cmpd="sng">
                          <a:solidFill>
                            <a:srgbClr val="FFFFFF"/>
                          </a:solidFill>
                          <a:prstDash val="solid"/>
                          <a:miter/>
                          <a:headEnd type="none" w="med" len="med"/>
                          <a:tailEnd type="none" w="med" len="med"/>
                        </a:ln>
                        <a:effectLst/>
                      </wps:spPr>
                      <wps:txbx>
                        <w:txbxContent>
                          <w:p w14:paraId="7934E0D8">
                            <w:pPr>
                              <w:spacing w:before="-62" w:beforeLines="-20" w:beforeAutospacing="1"/>
                            </w:pPr>
                            <w:r>
                              <w:drawing>
                                <wp:inline distT="0" distB="0" distL="114300" distR="114300">
                                  <wp:extent cx="4819650" cy="3419475"/>
                                  <wp:effectExtent l="0" t="0" r="0" b="9525"/>
                                  <wp:docPr id="2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8"/>
                                          <pic:cNvPicPr>
                                            <a:picLocks noChangeAspect="1"/>
                                          </pic:cNvPicPr>
                                        </pic:nvPicPr>
                                        <pic:blipFill>
                                          <a:blip r:embed="rId37"/>
                                          <a:stretch>
                                            <a:fillRect/>
                                          </a:stretch>
                                        </pic:blipFill>
                                        <pic:spPr>
                                          <a:xfrm>
                                            <a:off x="0" y="0"/>
                                            <a:ext cx="4819650" cy="3419475"/>
                                          </a:xfrm>
                                          <a:prstGeom prst="rect">
                                            <a:avLst/>
                                          </a:prstGeom>
                                          <a:noFill/>
                                          <a:ln>
                                            <a:noFill/>
                                          </a:ln>
                                        </pic:spPr>
                                      </pic:pic>
                                    </a:graphicData>
                                  </a:graphic>
                                </wp:inline>
                              </w:drawing>
                            </w:r>
                          </w:p>
                        </w:txbxContent>
                      </wps:txbx>
                      <wps:bodyPr wrap="square" upright="1"/>
                    </wps:wsp>
                  </a:graphicData>
                </a:graphic>
              </wp:anchor>
            </w:drawing>
          </mc:Choice>
          <mc:Fallback>
            <w:pict>
              <v:shape id="_x0000_s1026" o:spid="_x0000_s1026" o:spt="202" type="#_x0000_t202" style="position:absolute;left:0pt;margin-left:42.45pt;margin-top:18.05pt;height:289.4pt;width:404.95pt;z-index:251716608;mso-width-relative:page;mso-height-relative:page;" fillcolor="#FFFFFF" filled="t" stroked="t" coordsize="21600,21600" o:gfxdata="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cCwWy2AAA&#10;AAkBAAAPAAAAAAAAAAEAIAAAACIAAABkcnMvZG93bnJldi54bWxQSwECFAAUAAAACACHTuJAHnEO&#10;HFcCAADqBAAADgAAAAAAAAABACAAAAAnAQAAZHJzL2Uyb0RvYy54bWxQSwUGAAAAAAYABgBZAQAA&#10;8AUAAAAA&#10;">
                <v:fill type="gradient" on="t" color2="#FFFFFF" angle="90" focus="100%" focussize="0,0"/>
                <v:stroke weight="1pt" color="#FFFFFF" joinstyle="miter"/>
                <v:imagedata o:title=""/>
                <o:lock v:ext="edit" aspectratio="f"/>
                <v:textbox>
                  <w:txbxContent>
                    <w:p w14:paraId="7934E0D8">
                      <w:pPr>
                        <w:spacing w:before="-62" w:beforeLines="-20" w:beforeAutospacing="1"/>
                      </w:pPr>
                      <w:r>
                        <w:drawing>
                          <wp:inline distT="0" distB="0" distL="114300" distR="114300">
                            <wp:extent cx="4819650" cy="3419475"/>
                            <wp:effectExtent l="0" t="0" r="0" b="9525"/>
                            <wp:docPr id="2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8"/>
                                    <pic:cNvPicPr>
                                      <a:picLocks noChangeAspect="1"/>
                                    </pic:cNvPicPr>
                                  </pic:nvPicPr>
                                  <pic:blipFill>
                                    <a:blip r:embed="rId37"/>
                                    <a:stretch>
                                      <a:fillRect/>
                                    </a:stretch>
                                  </pic:blipFill>
                                  <pic:spPr>
                                    <a:xfrm>
                                      <a:off x="0" y="0"/>
                                      <a:ext cx="4819650" cy="3419475"/>
                                    </a:xfrm>
                                    <a:prstGeom prst="rect">
                                      <a:avLst/>
                                    </a:prstGeom>
                                    <a:noFill/>
                                    <a:ln>
                                      <a:noFill/>
                                    </a:ln>
                                  </pic:spPr>
                                </pic:pic>
                              </a:graphicData>
                            </a:graphic>
                          </wp:inline>
                        </w:drawing>
                      </w:r>
                    </w:p>
                  </w:txbxContent>
                </v:textbox>
              </v:shape>
            </w:pict>
          </mc:Fallback>
        </mc:AlternateContent>
      </w:r>
      <w:r>
        <w:rPr>
          <w:rFonts w:hint="eastAsia" w:ascii="黑体" w:hAnsi="黑体" w:eastAsia="黑体"/>
          <w:b/>
          <w:sz w:val="21"/>
          <w:szCs w:val="21"/>
        </w:rPr>
        <w:t>图4.6.2-3 绩效测量指标评审过程</w:t>
      </w:r>
    </w:p>
    <w:p w14:paraId="581BB844">
      <w:pPr>
        <w:rPr>
          <w:rFonts w:ascii="黑体" w:hAnsi="黑体" w:cs="黑体"/>
          <w:bCs/>
        </w:rPr>
      </w:pPr>
    </w:p>
    <w:p w14:paraId="3A78F9EC">
      <w:pPr>
        <w:rPr>
          <w:rFonts w:ascii="黑体" w:hAnsi="黑体" w:cs="黑体"/>
          <w:bCs/>
        </w:rPr>
      </w:pPr>
    </w:p>
    <w:p w14:paraId="4E1897D1">
      <w:pPr>
        <w:rPr>
          <w:rFonts w:ascii="黑体" w:hAnsi="黑体" w:cs="黑体"/>
          <w:bCs/>
        </w:rPr>
      </w:pPr>
    </w:p>
    <w:p w14:paraId="208518E6">
      <w:pPr>
        <w:rPr>
          <w:rFonts w:ascii="黑体" w:hAnsi="黑体" w:cs="黑体"/>
          <w:bCs/>
        </w:rPr>
      </w:pPr>
    </w:p>
    <w:p w14:paraId="2D18FF94">
      <w:pPr>
        <w:rPr>
          <w:rFonts w:ascii="黑体" w:hAnsi="黑体" w:cs="黑体"/>
          <w:bCs/>
        </w:rPr>
      </w:pPr>
    </w:p>
    <w:p w14:paraId="3311AA4E">
      <w:pPr>
        <w:rPr>
          <w:rFonts w:ascii="黑体" w:hAnsi="黑体" w:cs="黑体"/>
          <w:bCs/>
        </w:rPr>
      </w:pPr>
    </w:p>
    <w:p w14:paraId="47BF4E7F">
      <w:pPr>
        <w:rPr>
          <w:rFonts w:ascii="黑体" w:hAnsi="黑体" w:cs="黑体"/>
          <w:bCs/>
        </w:rPr>
      </w:pPr>
    </w:p>
    <w:p w14:paraId="11334803">
      <w:pPr>
        <w:rPr>
          <w:rFonts w:ascii="黑体" w:hAnsi="黑体" w:cs="黑体"/>
          <w:bCs/>
        </w:rPr>
      </w:pPr>
    </w:p>
    <w:p w14:paraId="775E67D0">
      <w:pPr>
        <w:rPr>
          <w:rFonts w:ascii="黑体" w:hAnsi="黑体" w:cs="黑体"/>
          <w:bCs/>
        </w:rPr>
      </w:pPr>
    </w:p>
    <w:p w14:paraId="7BC196C3">
      <w:pPr>
        <w:rPr>
          <w:rFonts w:ascii="黑体" w:hAnsi="黑体" w:cs="黑体"/>
          <w:bCs/>
        </w:rPr>
      </w:pPr>
    </w:p>
    <w:p w14:paraId="4CC1AEF3">
      <w:pPr>
        <w:rPr>
          <w:rFonts w:ascii="黑体" w:hAnsi="黑体" w:cs="黑体"/>
          <w:bCs/>
        </w:rPr>
      </w:pPr>
    </w:p>
    <w:p w14:paraId="3D6180B6">
      <w:pPr>
        <w:rPr>
          <w:rFonts w:ascii="黑体" w:hAnsi="黑体" w:cs="黑体"/>
          <w:bCs/>
        </w:rPr>
      </w:pPr>
    </w:p>
    <w:p w14:paraId="60939730">
      <w:pPr>
        <w:rPr>
          <w:rFonts w:ascii="黑体" w:hAnsi="黑体" w:cs="黑体"/>
          <w:bCs/>
        </w:rPr>
      </w:pPr>
    </w:p>
    <w:p w14:paraId="191BFACF">
      <w:pPr>
        <w:rPr>
          <w:rFonts w:ascii="黑体" w:hAnsi="黑体" w:cs="黑体"/>
          <w:bCs/>
        </w:rPr>
      </w:pPr>
    </w:p>
    <w:p w14:paraId="6171A007">
      <w:pPr>
        <w:rPr>
          <w:rFonts w:ascii="黑体" w:hAnsi="黑体" w:cs="黑体"/>
          <w:bCs/>
        </w:rPr>
      </w:pPr>
    </w:p>
    <w:p w14:paraId="5F151BA9">
      <w:pPr>
        <w:rPr>
          <w:rFonts w:ascii="黑体" w:hAnsi="黑体" w:cs="黑体"/>
          <w:bCs/>
        </w:rPr>
      </w:pPr>
    </w:p>
    <w:p w14:paraId="47D30A8B">
      <w:pPr>
        <w:rPr>
          <w:rFonts w:ascii="黑体" w:hAnsi="黑体" w:cs="黑体"/>
          <w:bCs/>
        </w:rPr>
      </w:pPr>
    </w:p>
    <w:p w14:paraId="064862C5">
      <w:pPr>
        <w:rPr>
          <w:rFonts w:ascii="黑体" w:hAnsi="黑体" w:cs="黑体"/>
          <w:bCs/>
        </w:rPr>
      </w:pPr>
    </w:p>
    <w:p w14:paraId="2201E51A">
      <w:pPr>
        <w:spacing w:line="360" w:lineRule="auto"/>
        <w:ind w:firstLine="480" w:firstLineChars="200"/>
        <w:rPr>
          <w:rFonts w:ascii="宋体" w:hAnsi="宋体" w:cs="宋体"/>
          <w:szCs w:val="32"/>
        </w:rPr>
      </w:pPr>
    </w:p>
    <w:p w14:paraId="3DBEDF80">
      <w:pPr>
        <w:spacing w:line="360" w:lineRule="auto"/>
        <w:ind w:firstLine="480" w:firstLineChars="200"/>
        <w:rPr>
          <w:rFonts w:ascii="宋体" w:hAnsi="宋体" w:cs="宋体"/>
          <w:szCs w:val="32"/>
        </w:rPr>
      </w:pPr>
      <w:r>
        <w:rPr>
          <w:rFonts w:hint="eastAsia" w:ascii="宋体" w:hAnsi="宋体" w:cs="宋体"/>
          <w:szCs w:val="32"/>
        </w:rPr>
        <w:t>另外，公司根据《绩效管理制度》持续监测整个测量系统，在需要时适当调整，这些调整主要是基于组织战略和行动计划的改变，新项目或服务的开展，或者意料之外的市场变化，比如公司引进新设备的管理，因而增加设备综合效率等指标的管理。</w:t>
      </w:r>
    </w:p>
    <w:p w14:paraId="5E910F29">
      <w:pPr>
        <w:pStyle w:val="5"/>
        <w:spacing w:after="0" w:line="360" w:lineRule="auto"/>
      </w:pPr>
      <w:r>
        <w:t xml:space="preserve">4.6.2.3 </w:t>
      </w:r>
      <w:r>
        <w:rPr>
          <w:rFonts w:hint="eastAsia"/>
        </w:rPr>
        <w:t>绩效分析和评价</w:t>
      </w:r>
    </w:p>
    <w:p w14:paraId="7DFF73AE">
      <w:pPr>
        <w:pStyle w:val="6"/>
        <w:rPr>
          <w:sz w:val="24"/>
          <w:szCs w:val="24"/>
        </w:rPr>
      </w:pPr>
      <w:r>
        <w:rPr>
          <w:rFonts w:hint="eastAsia"/>
          <w:sz w:val="24"/>
          <w:szCs w:val="24"/>
        </w:rPr>
        <w:t>4.6.2.3.1科学分析、评价组织绩效，合理评价</w:t>
      </w:r>
    </w:p>
    <w:p w14:paraId="4C05C79B">
      <w:pPr>
        <w:spacing w:line="360" w:lineRule="auto"/>
        <w:ind w:firstLine="480" w:firstLineChars="200"/>
        <w:rPr>
          <w:rFonts w:ascii="宋体" w:hAnsi="宋体" w:cs="宋体"/>
          <w:szCs w:val="32"/>
        </w:rPr>
      </w:pPr>
      <w:r>
        <w:rPr>
          <w:rFonts w:hint="eastAsia" w:ascii="宋体" w:hAnsi="宋体" w:cs="宋体"/>
          <w:szCs w:val="32"/>
        </w:rPr>
        <w:t>公司对绩效的分析与评价工作相当重视，主要评价方式通过管理评审、经营分析会、专题研讨会等多种分析方法支持战略计划和关键绩效指标的评审，对战略目标、年度目标和各过程关键测量绩效，公司采用经过整合、分析和总结的具有决策质量的信息来支持战略计划、组织绩效评审以及日常运营管理。并根据数据类型以及达到目的所需要分析的层次来选取分析工具。进行系统的分析和科学的评价，以确保规划、目标和各绩效测量指标的有效性和科学性。见图4.6.2-4和表 4.6.3-3。</w:t>
      </w:r>
    </w:p>
    <w:p w14:paraId="14C766A5">
      <w:pPr>
        <w:autoSpaceDE w:val="0"/>
        <w:autoSpaceDN w:val="0"/>
        <w:spacing w:before="156" w:beforeLines="50"/>
        <w:jc w:val="center"/>
        <w:rPr>
          <w:rFonts w:ascii="黑体" w:hAnsi="黑体" w:eastAsia="黑体"/>
          <w:b/>
          <w:sz w:val="21"/>
          <w:szCs w:val="21"/>
        </w:rPr>
      </w:pPr>
      <w:r>
        <w:rPr>
          <w:rFonts w:hint="eastAsia" w:ascii="黑体" w:hAnsi="黑体" w:eastAsia="黑体"/>
          <w:b/>
          <w:sz w:val="21"/>
          <w:szCs w:val="21"/>
        </w:rPr>
        <w:t>图4.6.3-4 绩效目标体系</w:t>
      </w:r>
    </w:p>
    <w:p w14:paraId="40B9798B">
      <w:pPr>
        <w:autoSpaceDE w:val="0"/>
        <w:autoSpaceDN w:val="0"/>
        <w:jc w:val="center"/>
        <w:rPr>
          <w:rFonts w:ascii="黑体" w:hAnsi="黑体" w:eastAsia="黑体"/>
          <w:b/>
        </w:rPr>
      </w:pPr>
      <w:r>
        <w:rPr>
          <w:rFonts w:ascii="黑体" w:hAnsi="黑体" w:eastAsia="黑体"/>
          <w:b/>
        </w:rPr>
        <w:drawing>
          <wp:inline distT="0" distB="0" distL="114300" distR="114300">
            <wp:extent cx="4810125" cy="4333875"/>
            <wp:effectExtent l="0" t="0" r="0" b="0"/>
            <wp:docPr id="26" name="图片 19" descr="未命名文件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9" descr="未命名文件 (7)"/>
                    <pic:cNvPicPr>
                      <a:picLocks noChangeAspect="1"/>
                    </pic:cNvPicPr>
                  </pic:nvPicPr>
                  <pic:blipFill>
                    <a:blip r:embed="rId38"/>
                    <a:stretch>
                      <a:fillRect/>
                    </a:stretch>
                  </pic:blipFill>
                  <pic:spPr>
                    <a:xfrm>
                      <a:off x="0" y="0"/>
                      <a:ext cx="4810125" cy="4333875"/>
                    </a:xfrm>
                    <a:prstGeom prst="rect">
                      <a:avLst/>
                    </a:prstGeom>
                    <a:noFill/>
                    <a:ln>
                      <a:noFill/>
                    </a:ln>
                  </pic:spPr>
                </pic:pic>
              </a:graphicData>
            </a:graphic>
          </wp:inline>
        </w:drawing>
      </w:r>
    </w:p>
    <w:p w14:paraId="2678ACC7">
      <w:pPr>
        <w:autoSpaceDE w:val="0"/>
        <w:autoSpaceDN w:val="0"/>
        <w:spacing w:before="156" w:beforeLines="50"/>
        <w:jc w:val="center"/>
        <w:rPr>
          <w:rFonts w:ascii="黑体" w:hAnsi="黑体" w:eastAsia="黑体"/>
          <w:b/>
          <w:sz w:val="21"/>
          <w:szCs w:val="21"/>
        </w:rPr>
      </w:pPr>
      <w:r>
        <w:rPr>
          <w:rFonts w:hint="eastAsia" w:ascii="黑体" w:hAnsi="黑体" w:eastAsia="黑体"/>
          <w:b/>
          <w:sz w:val="21"/>
          <w:szCs w:val="21"/>
        </w:rPr>
        <w:t>表4.6.2-3 公司数据评价、分析表</w:t>
      </w:r>
    </w:p>
    <w:tbl>
      <w:tblPr>
        <w:tblStyle w:val="22"/>
        <w:tblpPr w:leftFromText="180" w:rightFromText="180" w:vertAnchor="text" w:horzAnchor="margin" w:tblpXSpec="center" w:tblpY="66"/>
        <w:tblW w:w="8772" w:type="dxa"/>
        <w:jc w:val="center"/>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Layout w:type="fixed"/>
        <w:tblCellMar>
          <w:top w:w="0" w:type="dxa"/>
          <w:left w:w="108" w:type="dxa"/>
          <w:bottom w:w="0" w:type="dxa"/>
          <w:right w:w="108" w:type="dxa"/>
        </w:tblCellMar>
      </w:tblPr>
      <w:tblGrid>
        <w:gridCol w:w="675"/>
        <w:gridCol w:w="709"/>
        <w:gridCol w:w="1615"/>
        <w:gridCol w:w="1787"/>
        <w:gridCol w:w="2754"/>
        <w:gridCol w:w="1232"/>
      </w:tblGrid>
      <w:tr w14:paraId="21BBD6EE">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539" w:hRule="atLeast"/>
          <w:tblHeader/>
          <w:jc w:val="center"/>
        </w:trPr>
        <w:tc>
          <w:tcPr>
            <w:tcW w:w="675" w:type="dxa"/>
            <w:tcBorders>
              <w:top w:val="threeDEngrave" w:color="4F6228" w:sz="12" w:space="0"/>
              <w:bottom w:val="single" w:color="4F6228" w:sz="6" w:space="0"/>
            </w:tcBorders>
            <w:shd w:val="clear" w:color="auto" w:fill="948A54"/>
            <w:vAlign w:val="center"/>
          </w:tcPr>
          <w:p w14:paraId="7E891B9E">
            <w:pPr>
              <w:jc w:val="center"/>
              <w:rPr>
                <w:rFonts w:ascii="宋体" w:hAnsi="宋体"/>
                <w:b/>
                <w:color w:val="FFFFFF"/>
                <w:kern w:val="2"/>
                <w:sz w:val="21"/>
                <w:szCs w:val="21"/>
              </w:rPr>
            </w:pPr>
            <w:r>
              <w:rPr>
                <w:rFonts w:hint="eastAsia" w:ascii="宋体" w:hAnsi="宋体"/>
                <w:b/>
                <w:color w:val="FFFFFF"/>
                <w:kern w:val="2"/>
                <w:sz w:val="21"/>
                <w:szCs w:val="21"/>
              </w:rPr>
              <w:t>组织</w:t>
            </w:r>
          </w:p>
          <w:p w14:paraId="6CF5679E">
            <w:pPr>
              <w:jc w:val="center"/>
              <w:rPr>
                <w:rFonts w:ascii="宋体" w:hAnsi="宋体"/>
                <w:b/>
                <w:color w:val="FFFFFF"/>
                <w:kern w:val="2"/>
                <w:sz w:val="21"/>
                <w:szCs w:val="21"/>
              </w:rPr>
            </w:pPr>
            <w:r>
              <w:rPr>
                <w:rFonts w:hint="eastAsia" w:ascii="宋体" w:hAnsi="宋体"/>
                <w:b/>
                <w:color w:val="FFFFFF"/>
                <w:kern w:val="2"/>
                <w:sz w:val="21"/>
                <w:szCs w:val="21"/>
              </w:rPr>
              <w:t>层面</w:t>
            </w:r>
          </w:p>
        </w:tc>
        <w:tc>
          <w:tcPr>
            <w:tcW w:w="709" w:type="dxa"/>
            <w:tcBorders>
              <w:top w:val="threeDEngrave" w:color="4F6228" w:sz="12" w:space="0"/>
              <w:bottom w:val="single" w:color="4F6228" w:sz="6" w:space="0"/>
            </w:tcBorders>
            <w:shd w:val="clear" w:color="auto" w:fill="948A54"/>
            <w:vAlign w:val="center"/>
          </w:tcPr>
          <w:p w14:paraId="1D9515E8">
            <w:pPr>
              <w:jc w:val="center"/>
              <w:rPr>
                <w:rFonts w:ascii="宋体" w:hAnsi="宋体"/>
                <w:b/>
                <w:color w:val="FFFFFF"/>
                <w:kern w:val="2"/>
                <w:sz w:val="21"/>
                <w:szCs w:val="21"/>
              </w:rPr>
            </w:pPr>
            <w:r>
              <w:rPr>
                <w:rFonts w:hint="eastAsia" w:ascii="宋体" w:hAnsi="宋体"/>
                <w:b/>
                <w:color w:val="FFFFFF"/>
                <w:kern w:val="2"/>
                <w:sz w:val="21"/>
                <w:szCs w:val="21"/>
              </w:rPr>
              <w:t>管理</w:t>
            </w:r>
          </w:p>
          <w:p w14:paraId="7B762258">
            <w:pPr>
              <w:jc w:val="center"/>
              <w:rPr>
                <w:rFonts w:ascii="宋体" w:hAnsi="宋体"/>
                <w:b/>
                <w:color w:val="FFFFFF"/>
                <w:kern w:val="2"/>
                <w:sz w:val="21"/>
                <w:szCs w:val="21"/>
              </w:rPr>
            </w:pPr>
            <w:r>
              <w:rPr>
                <w:rFonts w:hint="eastAsia" w:ascii="宋体" w:hAnsi="宋体"/>
                <w:b/>
                <w:color w:val="FFFFFF"/>
                <w:kern w:val="2"/>
                <w:sz w:val="21"/>
                <w:szCs w:val="21"/>
              </w:rPr>
              <w:t>环节</w:t>
            </w:r>
          </w:p>
        </w:tc>
        <w:tc>
          <w:tcPr>
            <w:tcW w:w="1615" w:type="dxa"/>
            <w:tcBorders>
              <w:top w:val="threeDEngrave" w:color="4F6228" w:sz="12" w:space="0"/>
              <w:bottom w:val="single" w:color="4F6228" w:sz="6" w:space="0"/>
            </w:tcBorders>
            <w:shd w:val="clear" w:color="auto" w:fill="948A54"/>
            <w:vAlign w:val="center"/>
          </w:tcPr>
          <w:p w14:paraId="7E108B97">
            <w:pPr>
              <w:jc w:val="center"/>
              <w:rPr>
                <w:rFonts w:ascii="宋体" w:hAnsi="宋体"/>
                <w:b/>
                <w:color w:val="FFFFFF"/>
                <w:kern w:val="2"/>
                <w:sz w:val="21"/>
                <w:szCs w:val="21"/>
              </w:rPr>
            </w:pPr>
            <w:r>
              <w:rPr>
                <w:rFonts w:hint="eastAsia" w:ascii="宋体" w:hAnsi="宋体"/>
                <w:b/>
                <w:color w:val="FFFFFF"/>
                <w:kern w:val="2"/>
                <w:sz w:val="21"/>
                <w:szCs w:val="21"/>
              </w:rPr>
              <w:t>分析形式</w:t>
            </w:r>
          </w:p>
        </w:tc>
        <w:tc>
          <w:tcPr>
            <w:tcW w:w="1787" w:type="dxa"/>
            <w:tcBorders>
              <w:top w:val="threeDEngrave" w:color="4F6228" w:sz="12" w:space="0"/>
              <w:bottom w:val="single" w:color="4F6228" w:sz="6" w:space="0"/>
            </w:tcBorders>
            <w:shd w:val="clear" w:color="auto" w:fill="948A54"/>
            <w:vAlign w:val="center"/>
          </w:tcPr>
          <w:p w14:paraId="5BC82959">
            <w:pPr>
              <w:jc w:val="center"/>
              <w:rPr>
                <w:rFonts w:ascii="宋体" w:hAnsi="宋体"/>
                <w:b/>
                <w:color w:val="FFFFFF"/>
                <w:kern w:val="2"/>
                <w:sz w:val="21"/>
                <w:szCs w:val="21"/>
              </w:rPr>
            </w:pPr>
            <w:r>
              <w:rPr>
                <w:rFonts w:hint="eastAsia" w:ascii="宋体" w:hAnsi="宋体"/>
                <w:b/>
                <w:color w:val="FFFFFF"/>
                <w:kern w:val="2"/>
                <w:sz w:val="21"/>
                <w:szCs w:val="21"/>
              </w:rPr>
              <w:t>分析内容</w:t>
            </w:r>
          </w:p>
        </w:tc>
        <w:tc>
          <w:tcPr>
            <w:tcW w:w="2754" w:type="dxa"/>
            <w:tcBorders>
              <w:top w:val="threeDEngrave" w:color="4F6228" w:sz="12" w:space="0"/>
              <w:bottom w:val="single" w:color="4F6228" w:sz="6" w:space="0"/>
            </w:tcBorders>
            <w:shd w:val="clear" w:color="auto" w:fill="948A54"/>
            <w:vAlign w:val="center"/>
          </w:tcPr>
          <w:p w14:paraId="28E72129">
            <w:pPr>
              <w:jc w:val="center"/>
              <w:rPr>
                <w:rFonts w:ascii="宋体" w:hAnsi="宋体"/>
                <w:b/>
                <w:color w:val="FFFFFF"/>
                <w:kern w:val="2"/>
                <w:sz w:val="21"/>
                <w:szCs w:val="21"/>
              </w:rPr>
            </w:pPr>
            <w:r>
              <w:rPr>
                <w:rFonts w:hint="eastAsia" w:ascii="宋体" w:hAnsi="宋体"/>
                <w:b/>
                <w:color w:val="FFFFFF"/>
                <w:kern w:val="2"/>
                <w:sz w:val="21"/>
                <w:szCs w:val="21"/>
              </w:rPr>
              <w:t>评价方法及结果</w:t>
            </w:r>
          </w:p>
        </w:tc>
        <w:tc>
          <w:tcPr>
            <w:tcW w:w="1232" w:type="dxa"/>
            <w:tcBorders>
              <w:top w:val="threeDEngrave" w:color="4F6228" w:sz="12" w:space="0"/>
              <w:bottom w:val="single" w:color="4F6228" w:sz="6" w:space="0"/>
            </w:tcBorders>
            <w:shd w:val="clear" w:color="auto" w:fill="948A54"/>
            <w:vAlign w:val="center"/>
          </w:tcPr>
          <w:p w14:paraId="45EFF5F7">
            <w:pPr>
              <w:jc w:val="center"/>
              <w:rPr>
                <w:rFonts w:ascii="宋体" w:hAnsi="宋体"/>
                <w:b/>
                <w:color w:val="FFFFFF"/>
                <w:kern w:val="2"/>
                <w:sz w:val="21"/>
                <w:szCs w:val="21"/>
              </w:rPr>
            </w:pPr>
            <w:r>
              <w:rPr>
                <w:rFonts w:hint="eastAsia" w:ascii="宋体" w:hAnsi="宋体"/>
                <w:b/>
                <w:color w:val="FFFFFF"/>
                <w:kern w:val="2"/>
                <w:sz w:val="21"/>
                <w:szCs w:val="21"/>
              </w:rPr>
              <w:t>参与部门</w:t>
            </w:r>
          </w:p>
        </w:tc>
      </w:tr>
      <w:tr w14:paraId="0FFD0D9B">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1081" w:hRule="atLeast"/>
          <w:jc w:val="center"/>
        </w:trPr>
        <w:tc>
          <w:tcPr>
            <w:tcW w:w="675" w:type="dxa"/>
            <w:vMerge w:val="restart"/>
            <w:tcBorders>
              <w:top w:val="single" w:color="4F6228" w:sz="6" w:space="0"/>
            </w:tcBorders>
            <w:textDirection w:val="tbRlV"/>
            <w:vAlign w:val="center"/>
          </w:tcPr>
          <w:p w14:paraId="3E3125E7">
            <w:pPr>
              <w:jc w:val="center"/>
              <w:rPr>
                <w:rFonts w:ascii="宋体" w:hAnsi="宋体" w:cs="宋体"/>
                <w:b/>
                <w:bCs/>
                <w:color w:val="000000"/>
                <w:kern w:val="2"/>
                <w:sz w:val="20"/>
                <w:szCs w:val="20"/>
              </w:rPr>
            </w:pPr>
            <w:r>
              <w:rPr>
                <w:rFonts w:hint="eastAsia" w:ascii="宋体" w:hAnsi="宋体" w:cs="宋体"/>
                <w:b/>
                <w:bCs/>
                <w:color w:val="000000"/>
                <w:kern w:val="2"/>
                <w:sz w:val="20"/>
                <w:szCs w:val="20"/>
              </w:rPr>
              <w:t>战 略 层</w:t>
            </w:r>
          </w:p>
        </w:tc>
        <w:tc>
          <w:tcPr>
            <w:tcW w:w="709" w:type="dxa"/>
            <w:vMerge w:val="restart"/>
            <w:tcBorders>
              <w:top w:val="single" w:color="4F6228" w:sz="6" w:space="0"/>
            </w:tcBorders>
            <w:vAlign w:val="center"/>
          </w:tcPr>
          <w:p w14:paraId="7E87E6A8">
            <w:pPr>
              <w:jc w:val="center"/>
              <w:rPr>
                <w:rFonts w:ascii="宋体" w:hAnsi="宋体" w:cs="宋体"/>
                <w:color w:val="000000"/>
                <w:kern w:val="2"/>
                <w:sz w:val="20"/>
                <w:szCs w:val="20"/>
              </w:rPr>
            </w:pPr>
            <w:r>
              <w:rPr>
                <w:rFonts w:hint="eastAsia" w:ascii="宋体" w:hAnsi="宋体" w:cs="宋体"/>
                <w:color w:val="000000"/>
                <w:kern w:val="2"/>
                <w:sz w:val="20"/>
                <w:szCs w:val="20"/>
              </w:rPr>
              <w:t>高层</w:t>
            </w:r>
          </w:p>
          <w:p w14:paraId="3EA8AFC5">
            <w:pPr>
              <w:jc w:val="center"/>
              <w:rPr>
                <w:rFonts w:ascii="宋体" w:hAnsi="宋体" w:cs="宋体"/>
                <w:color w:val="000000"/>
                <w:kern w:val="2"/>
                <w:sz w:val="20"/>
                <w:szCs w:val="20"/>
              </w:rPr>
            </w:pPr>
            <w:r>
              <w:rPr>
                <w:rFonts w:hint="eastAsia" w:ascii="宋体" w:hAnsi="宋体" w:cs="宋体"/>
                <w:color w:val="000000"/>
                <w:kern w:val="2"/>
                <w:sz w:val="20"/>
                <w:szCs w:val="20"/>
              </w:rPr>
              <w:t>管理</w:t>
            </w:r>
          </w:p>
        </w:tc>
        <w:tc>
          <w:tcPr>
            <w:tcW w:w="1615" w:type="dxa"/>
            <w:tcBorders>
              <w:top w:val="single" w:color="4F6228" w:sz="6" w:space="0"/>
            </w:tcBorders>
            <w:vAlign w:val="center"/>
          </w:tcPr>
          <w:p w14:paraId="686BF267">
            <w:pPr>
              <w:jc w:val="center"/>
              <w:rPr>
                <w:rFonts w:ascii="宋体" w:hAnsi="宋体" w:cs="宋体"/>
                <w:color w:val="000000"/>
                <w:kern w:val="2"/>
                <w:sz w:val="20"/>
                <w:szCs w:val="20"/>
              </w:rPr>
            </w:pPr>
            <w:r>
              <w:rPr>
                <w:rFonts w:hint="eastAsia" w:ascii="宋体" w:hAnsi="宋体" w:cs="宋体"/>
                <w:color w:val="000000"/>
                <w:kern w:val="2"/>
                <w:sz w:val="20"/>
                <w:szCs w:val="20"/>
              </w:rPr>
              <w:t>战略研讨会</w:t>
            </w:r>
          </w:p>
        </w:tc>
        <w:tc>
          <w:tcPr>
            <w:tcW w:w="1787" w:type="dxa"/>
            <w:tcBorders>
              <w:top w:val="single" w:color="4F6228" w:sz="6" w:space="0"/>
            </w:tcBorders>
            <w:vAlign w:val="center"/>
          </w:tcPr>
          <w:p w14:paraId="103F5175">
            <w:pPr>
              <w:rPr>
                <w:rFonts w:ascii="宋体" w:hAnsi="宋体" w:cs="宋体"/>
                <w:color w:val="000000"/>
                <w:kern w:val="2"/>
                <w:sz w:val="20"/>
                <w:szCs w:val="20"/>
              </w:rPr>
            </w:pPr>
            <w:r>
              <w:rPr>
                <w:rFonts w:hint="eastAsia" w:ascii="宋体" w:hAnsi="宋体" w:cs="宋体"/>
                <w:color w:val="000000"/>
                <w:kern w:val="2"/>
                <w:sz w:val="20"/>
                <w:szCs w:val="20"/>
              </w:rPr>
              <w:t>宏观环境信息、机会和挑战、竞争特点、优势、劣势、内部资源要素</w:t>
            </w:r>
          </w:p>
        </w:tc>
        <w:tc>
          <w:tcPr>
            <w:tcW w:w="2754" w:type="dxa"/>
            <w:tcBorders>
              <w:top w:val="single" w:color="4F6228" w:sz="6" w:space="0"/>
            </w:tcBorders>
            <w:vAlign w:val="center"/>
          </w:tcPr>
          <w:p w14:paraId="6824A887">
            <w:pPr>
              <w:rPr>
                <w:rFonts w:ascii="宋体" w:hAnsi="宋体" w:cs="宋体"/>
                <w:color w:val="000000"/>
                <w:kern w:val="2"/>
                <w:sz w:val="20"/>
                <w:szCs w:val="20"/>
              </w:rPr>
            </w:pPr>
            <w:r>
              <w:rPr>
                <w:rFonts w:hint="eastAsia" w:ascii="宋体" w:hAnsi="宋体" w:cs="宋体"/>
                <w:color w:val="000000"/>
                <w:kern w:val="2"/>
                <w:sz w:val="20"/>
                <w:szCs w:val="20"/>
              </w:rPr>
              <w:t>PEST、SWOT、波特五力分析、对比分析、差异分析、头脑风暴、战略分析报告</w:t>
            </w:r>
          </w:p>
        </w:tc>
        <w:tc>
          <w:tcPr>
            <w:tcW w:w="1232" w:type="dxa"/>
            <w:vMerge w:val="restart"/>
            <w:tcBorders>
              <w:top w:val="single" w:color="4F6228" w:sz="6" w:space="0"/>
            </w:tcBorders>
            <w:vAlign w:val="center"/>
          </w:tcPr>
          <w:p w14:paraId="616237A1">
            <w:pPr>
              <w:jc w:val="center"/>
              <w:rPr>
                <w:rFonts w:ascii="宋体" w:hAnsi="宋体" w:cs="宋体"/>
                <w:color w:val="000000"/>
                <w:kern w:val="2"/>
                <w:sz w:val="20"/>
                <w:szCs w:val="20"/>
              </w:rPr>
            </w:pPr>
            <w:r>
              <w:rPr>
                <w:rFonts w:hint="eastAsia" w:ascii="宋体" w:hAnsi="宋体" w:cs="宋体"/>
                <w:color w:val="000000"/>
                <w:kern w:val="2"/>
                <w:sz w:val="20"/>
                <w:szCs w:val="20"/>
              </w:rPr>
              <w:t>公司领导层</w:t>
            </w:r>
          </w:p>
        </w:tc>
      </w:tr>
      <w:tr w14:paraId="5DDCEBC0">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798" w:hRule="atLeast"/>
          <w:jc w:val="center"/>
        </w:trPr>
        <w:tc>
          <w:tcPr>
            <w:tcW w:w="675" w:type="dxa"/>
            <w:vMerge w:val="continue"/>
            <w:vAlign w:val="center"/>
          </w:tcPr>
          <w:p w14:paraId="79FFBF48">
            <w:pPr>
              <w:rPr>
                <w:rFonts w:ascii="宋体" w:hAnsi="宋体" w:cs="宋体"/>
                <w:b/>
                <w:bCs/>
                <w:color w:val="000000"/>
                <w:kern w:val="2"/>
                <w:sz w:val="20"/>
                <w:szCs w:val="20"/>
              </w:rPr>
            </w:pPr>
          </w:p>
        </w:tc>
        <w:tc>
          <w:tcPr>
            <w:tcW w:w="709" w:type="dxa"/>
            <w:vMerge w:val="continue"/>
            <w:vAlign w:val="center"/>
          </w:tcPr>
          <w:p w14:paraId="635A3466">
            <w:pPr>
              <w:rPr>
                <w:rFonts w:ascii="宋体" w:hAnsi="宋体" w:cs="宋体"/>
                <w:color w:val="000000"/>
                <w:kern w:val="2"/>
                <w:sz w:val="20"/>
                <w:szCs w:val="20"/>
              </w:rPr>
            </w:pPr>
          </w:p>
        </w:tc>
        <w:tc>
          <w:tcPr>
            <w:tcW w:w="1615" w:type="dxa"/>
            <w:vAlign w:val="center"/>
          </w:tcPr>
          <w:p w14:paraId="16992804">
            <w:pPr>
              <w:jc w:val="center"/>
              <w:rPr>
                <w:rFonts w:ascii="宋体" w:hAnsi="宋体" w:cs="宋体"/>
                <w:color w:val="000000"/>
                <w:kern w:val="2"/>
                <w:sz w:val="20"/>
                <w:szCs w:val="20"/>
              </w:rPr>
            </w:pPr>
            <w:r>
              <w:rPr>
                <w:rFonts w:hint="eastAsia" w:ascii="宋体" w:hAnsi="宋体" w:cs="宋体"/>
                <w:color w:val="000000"/>
                <w:kern w:val="2"/>
                <w:sz w:val="20"/>
                <w:szCs w:val="20"/>
              </w:rPr>
              <w:t>公司季度经营分析会</w:t>
            </w:r>
          </w:p>
        </w:tc>
        <w:tc>
          <w:tcPr>
            <w:tcW w:w="1787" w:type="dxa"/>
            <w:vAlign w:val="center"/>
          </w:tcPr>
          <w:p w14:paraId="0CA0D7B4">
            <w:pPr>
              <w:rPr>
                <w:rFonts w:ascii="宋体" w:hAnsi="宋体" w:cs="宋体"/>
                <w:color w:val="000000"/>
                <w:kern w:val="2"/>
                <w:sz w:val="20"/>
                <w:szCs w:val="20"/>
              </w:rPr>
            </w:pPr>
            <w:r>
              <w:rPr>
                <w:rFonts w:hint="eastAsia" w:ascii="宋体" w:hAnsi="宋体" w:cs="宋体"/>
                <w:color w:val="000000"/>
                <w:kern w:val="2"/>
                <w:sz w:val="20"/>
                <w:szCs w:val="20"/>
              </w:rPr>
              <w:t>公司季度经营分析</w:t>
            </w:r>
          </w:p>
        </w:tc>
        <w:tc>
          <w:tcPr>
            <w:tcW w:w="2754" w:type="dxa"/>
            <w:vAlign w:val="center"/>
          </w:tcPr>
          <w:p w14:paraId="117FDB5A">
            <w:pPr>
              <w:rPr>
                <w:rFonts w:ascii="宋体" w:hAnsi="宋体" w:cs="宋体"/>
                <w:color w:val="000000"/>
                <w:kern w:val="2"/>
                <w:sz w:val="20"/>
                <w:szCs w:val="20"/>
              </w:rPr>
            </w:pPr>
            <w:r>
              <w:rPr>
                <w:rFonts w:hint="eastAsia" w:ascii="宋体" w:hAnsi="宋体" w:cs="宋体"/>
                <w:color w:val="000000"/>
                <w:kern w:val="2"/>
                <w:sz w:val="20"/>
                <w:szCs w:val="20"/>
              </w:rPr>
              <w:t>差异分析、对比分析、相关分析、SWOT分析、因果分析、头脑风暴、经营分析报告</w:t>
            </w:r>
          </w:p>
        </w:tc>
        <w:tc>
          <w:tcPr>
            <w:tcW w:w="1232" w:type="dxa"/>
            <w:vMerge w:val="continue"/>
            <w:vAlign w:val="center"/>
          </w:tcPr>
          <w:p w14:paraId="710EBFB1">
            <w:pPr>
              <w:rPr>
                <w:rFonts w:ascii="宋体" w:hAnsi="宋体" w:cs="宋体"/>
                <w:color w:val="000000"/>
                <w:kern w:val="2"/>
                <w:sz w:val="20"/>
                <w:szCs w:val="20"/>
              </w:rPr>
            </w:pPr>
          </w:p>
        </w:tc>
      </w:tr>
      <w:tr w14:paraId="698C07C7">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799" w:hRule="atLeast"/>
          <w:jc w:val="center"/>
        </w:trPr>
        <w:tc>
          <w:tcPr>
            <w:tcW w:w="675" w:type="dxa"/>
            <w:vMerge w:val="continue"/>
            <w:vAlign w:val="center"/>
          </w:tcPr>
          <w:p w14:paraId="7F4D07BA">
            <w:pPr>
              <w:rPr>
                <w:rFonts w:ascii="宋体" w:hAnsi="宋体" w:cs="宋体"/>
                <w:b/>
                <w:bCs/>
                <w:color w:val="000000"/>
                <w:kern w:val="2"/>
                <w:sz w:val="20"/>
                <w:szCs w:val="20"/>
              </w:rPr>
            </w:pPr>
          </w:p>
        </w:tc>
        <w:tc>
          <w:tcPr>
            <w:tcW w:w="709" w:type="dxa"/>
            <w:vMerge w:val="continue"/>
            <w:vAlign w:val="center"/>
          </w:tcPr>
          <w:p w14:paraId="492E68C0">
            <w:pPr>
              <w:rPr>
                <w:rFonts w:ascii="宋体" w:hAnsi="宋体" w:cs="宋体"/>
                <w:color w:val="000000"/>
                <w:kern w:val="2"/>
                <w:sz w:val="20"/>
                <w:szCs w:val="20"/>
              </w:rPr>
            </w:pPr>
          </w:p>
        </w:tc>
        <w:tc>
          <w:tcPr>
            <w:tcW w:w="1615" w:type="dxa"/>
            <w:vAlign w:val="center"/>
          </w:tcPr>
          <w:p w14:paraId="14756319">
            <w:pPr>
              <w:jc w:val="center"/>
              <w:rPr>
                <w:rFonts w:ascii="宋体" w:hAnsi="宋体" w:cs="宋体"/>
                <w:color w:val="000000"/>
                <w:kern w:val="2"/>
                <w:sz w:val="20"/>
                <w:szCs w:val="20"/>
              </w:rPr>
            </w:pPr>
            <w:r>
              <w:rPr>
                <w:rFonts w:hint="eastAsia" w:ascii="宋体" w:hAnsi="宋体" w:cs="宋体"/>
                <w:color w:val="000000"/>
                <w:kern w:val="2"/>
                <w:sz w:val="20"/>
                <w:szCs w:val="20"/>
              </w:rPr>
              <w:t>管理评审会</w:t>
            </w:r>
          </w:p>
        </w:tc>
        <w:tc>
          <w:tcPr>
            <w:tcW w:w="1787" w:type="dxa"/>
            <w:vAlign w:val="center"/>
          </w:tcPr>
          <w:p w14:paraId="76676549">
            <w:pPr>
              <w:rPr>
                <w:rFonts w:ascii="宋体" w:hAnsi="宋体" w:cs="宋体"/>
                <w:color w:val="000000"/>
                <w:kern w:val="2"/>
                <w:sz w:val="20"/>
                <w:szCs w:val="20"/>
              </w:rPr>
            </w:pPr>
            <w:r>
              <w:rPr>
                <w:rFonts w:hint="eastAsia" w:ascii="宋体" w:hAnsi="宋体" w:cs="宋体"/>
                <w:color w:val="000000"/>
                <w:kern w:val="2"/>
                <w:sz w:val="20"/>
                <w:szCs w:val="20"/>
              </w:rPr>
              <w:t>体系运行情况、质量方针、目标的实现情况</w:t>
            </w:r>
          </w:p>
        </w:tc>
        <w:tc>
          <w:tcPr>
            <w:tcW w:w="2754" w:type="dxa"/>
            <w:vAlign w:val="center"/>
          </w:tcPr>
          <w:p w14:paraId="77A58BFD">
            <w:pPr>
              <w:rPr>
                <w:rFonts w:ascii="宋体" w:hAnsi="宋体" w:cs="宋体"/>
                <w:color w:val="000000"/>
                <w:kern w:val="2"/>
                <w:sz w:val="20"/>
                <w:szCs w:val="20"/>
              </w:rPr>
            </w:pPr>
            <w:r>
              <w:rPr>
                <w:rFonts w:hint="eastAsia" w:ascii="宋体" w:hAnsi="宋体" w:cs="宋体"/>
                <w:color w:val="000000"/>
                <w:kern w:val="2"/>
                <w:sz w:val="20"/>
                <w:szCs w:val="20"/>
              </w:rPr>
              <w:t>相关分析、因果分析、管理评审报告</w:t>
            </w:r>
          </w:p>
        </w:tc>
        <w:tc>
          <w:tcPr>
            <w:tcW w:w="1232" w:type="dxa"/>
            <w:vMerge w:val="continue"/>
            <w:vAlign w:val="center"/>
          </w:tcPr>
          <w:p w14:paraId="24F86D76">
            <w:pPr>
              <w:rPr>
                <w:rFonts w:ascii="宋体" w:hAnsi="宋体" w:cs="宋体"/>
                <w:color w:val="000000"/>
                <w:kern w:val="2"/>
                <w:sz w:val="20"/>
                <w:szCs w:val="20"/>
              </w:rPr>
            </w:pPr>
          </w:p>
        </w:tc>
      </w:tr>
      <w:tr w14:paraId="252614DD">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844" w:hRule="atLeast"/>
          <w:jc w:val="center"/>
        </w:trPr>
        <w:tc>
          <w:tcPr>
            <w:tcW w:w="675" w:type="dxa"/>
            <w:vMerge w:val="restart"/>
            <w:textDirection w:val="tbRlV"/>
            <w:vAlign w:val="center"/>
          </w:tcPr>
          <w:p w14:paraId="3C135B2C">
            <w:pPr>
              <w:jc w:val="center"/>
              <w:rPr>
                <w:rFonts w:ascii="宋体" w:hAnsi="宋体" w:cs="宋体"/>
                <w:b/>
                <w:bCs/>
                <w:color w:val="000000"/>
                <w:kern w:val="2"/>
                <w:sz w:val="20"/>
                <w:szCs w:val="20"/>
              </w:rPr>
            </w:pPr>
            <w:r>
              <w:rPr>
                <w:rFonts w:hint="eastAsia" w:ascii="宋体" w:hAnsi="宋体" w:cs="宋体"/>
                <w:b/>
                <w:bCs/>
                <w:color w:val="000000"/>
                <w:kern w:val="2"/>
                <w:sz w:val="20"/>
                <w:szCs w:val="20"/>
              </w:rPr>
              <w:t>管 理 层</w:t>
            </w:r>
          </w:p>
        </w:tc>
        <w:tc>
          <w:tcPr>
            <w:tcW w:w="709" w:type="dxa"/>
            <w:vAlign w:val="center"/>
          </w:tcPr>
          <w:p w14:paraId="4D9D86D1">
            <w:pPr>
              <w:jc w:val="center"/>
              <w:rPr>
                <w:rFonts w:ascii="宋体" w:hAnsi="宋体" w:cs="宋体"/>
                <w:color w:val="000000"/>
                <w:kern w:val="2"/>
                <w:sz w:val="20"/>
                <w:szCs w:val="20"/>
              </w:rPr>
            </w:pPr>
            <w:r>
              <w:rPr>
                <w:rFonts w:hint="eastAsia" w:ascii="宋体" w:hAnsi="宋体" w:cs="宋体"/>
                <w:color w:val="000000"/>
                <w:kern w:val="2"/>
                <w:sz w:val="20"/>
                <w:szCs w:val="20"/>
              </w:rPr>
              <w:t>招投标管理</w:t>
            </w:r>
          </w:p>
        </w:tc>
        <w:tc>
          <w:tcPr>
            <w:tcW w:w="1615" w:type="dxa"/>
            <w:vAlign w:val="center"/>
          </w:tcPr>
          <w:p w14:paraId="2F49E5FB">
            <w:pPr>
              <w:rPr>
                <w:rFonts w:ascii="宋体" w:hAnsi="宋体" w:cs="宋体"/>
                <w:color w:val="000000"/>
                <w:kern w:val="2"/>
                <w:sz w:val="20"/>
                <w:szCs w:val="20"/>
              </w:rPr>
            </w:pPr>
            <w:r>
              <w:rPr>
                <w:rFonts w:hint="eastAsia" w:ascii="宋体" w:hAnsi="宋体" w:cs="宋体"/>
                <w:color w:val="000000"/>
                <w:kern w:val="2"/>
                <w:sz w:val="20"/>
                <w:szCs w:val="20"/>
              </w:rPr>
              <w:t>经营形势分析会、顾客满意度调查、顾客意见征求</w:t>
            </w:r>
          </w:p>
        </w:tc>
        <w:tc>
          <w:tcPr>
            <w:tcW w:w="1787" w:type="dxa"/>
            <w:vAlign w:val="center"/>
          </w:tcPr>
          <w:p w14:paraId="410890CC">
            <w:pPr>
              <w:rPr>
                <w:rFonts w:ascii="宋体" w:hAnsi="宋体" w:cs="宋体"/>
                <w:color w:val="000000"/>
                <w:kern w:val="2"/>
                <w:sz w:val="20"/>
                <w:szCs w:val="20"/>
              </w:rPr>
            </w:pPr>
            <w:r>
              <w:rPr>
                <w:rFonts w:hint="eastAsia" w:ascii="宋体" w:hAnsi="宋体" w:cs="宋体"/>
                <w:color w:val="000000"/>
                <w:kern w:val="2"/>
                <w:sz w:val="20"/>
                <w:szCs w:val="20"/>
              </w:rPr>
              <w:t>招标文件评审、合同评审、合同交底、中标项目质量</w:t>
            </w:r>
          </w:p>
        </w:tc>
        <w:tc>
          <w:tcPr>
            <w:tcW w:w="2754" w:type="dxa"/>
            <w:vAlign w:val="center"/>
          </w:tcPr>
          <w:p w14:paraId="00A7A7F2">
            <w:pPr>
              <w:rPr>
                <w:rFonts w:ascii="宋体" w:hAnsi="宋体" w:cs="宋体"/>
                <w:color w:val="000000"/>
                <w:kern w:val="2"/>
                <w:sz w:val="20"/>
                <w:szCs w:val="20"/>
              </w:rPr>
            </w:pPr>
            <w:r>
              <w:rPr>
                <w:rFonts w:hint="eastAsia" w:ascii="宋体" w:hAnsi="宋体" w:cs="宋体"/>
                <w:color w:val="000000"/>
                <w:kern w:val="2"/>
                <w:sz w:val="20"/>
                <w:szCs w:val="20"/>
              </w:rPr>
              <w:t>趋势、对比、差异、因果分析、市场分析报告、满意度调查报告</w:t>
            </w:r>
          </w:p>
        </w:tc>
        <w:tc>
          <w:tcPr>
            <w:tcW w:w="1232" w:type="dxa"/>
            <w:vAlign w:val="center"/>
          </w:tcPr>
          <w:p w14:paraId="3AE2AD7B">
            <w:pPr>
              <w:jc w:val="center"/>
              <w:rPr>
                <w:rFonts w:ascii="宋体" w:hAnsi="宋体" w:cs="宋体"/>
                <w:color w:val="000000"/>
                <w:kern w:val="2"/>
                <w:sz w:val="20"/>
                <w:szCs w:val="20"/>
              </w:rPr>
            </w:pPr>
            <w:r>
              <w:rPr>
                <w:rFonts w:hint="eastAsia" w:ascii="宋体" w:hAnsi="宋体" w:cs="宋体"/>
                <w:color w:val="000000"/>
                <w:kern w:val="2"/>
                <w:sz w:val="20"/>
                <w:szCs w:val="20"/>
              </w:rPr>
              <w:t>销售部</w:t>
            </w:r>
          </w:p>
        </w:tc>
      </w:tr>
      <w:tr w14:paraId="53BD60EA">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844" w:hRule="atLeast"/>
          <w:jc w:val="center"/>
        </w:trPr>
        <w:tc>
          <w:tcPr>
            <w:tcW w:w="675" w:type="dxa"/>
            <w:vMerge w:val="continue"/>
            <w:vAlign w:val="center"/>
          </w:tcPr>
          <w:p w14:paraId="40FB24AC">
            <w:pPr>
              <w:rPr>
                <w:rFonts w:ascii="宋体" w:hAnsi="宋体" w:cs="宋体"/>
                <w:b/>
                <w:bCs/>
                <w:color w:val="000000"/>
                <w:kern w:val="2"/>
                <w:sz w:val="20"/>
                <w:szCs w:val="20"/>
              </w:rPr>
            </w:pPr>
          </w:p>
        </w:tc>
        <w:tc>
          <w:tcPr>
            <w:tcW w:w="709" w:type="dxa"/>
            <w:vAlign w:val="center"/>
          </w:tcPr>
          <w:p w14:paraId="7DBAB1C6">
            <w:pPr>
              <w:jc w:val="center"/>
              <w:rPr>
                <w:rFonts w:ascii="宋体" w:hAnsi="宋体" w:cs="宋体"/>
                <w:color w:val="000000"/>
                <w:kern w:val="2"/>
                <w:sz w:val="20"/>
                <w:szCs w:val="20"/>
              </w:rPr>
            </w:pPr>
            <w:r>
              <w:rPr>
                <w:rFonts w:hint="eastAsia" w:ascii="宋体" w:hAnsi="宋体" w:cs="宋体"/>
                <w:color w:val="000000"/>
                <w:kern w:val="2"/>
                <w:sz w:val="20"/>
                <w:szCs w:val="20"/>
              </w:rPr>
              <w:t>人力资源管理</w:t>
            </w:r>
          </w:p>
        </w:tc>
        <w:tc>
          <w:tcPr>
            <w:tcW w:w="1615" w:type="dxa"/>
            <w:vAlign w:val="center"/>
          </w:tcPr>
          <w:p w14:paraId="7E42EA38">
            <w:pPr>
              <w:rPr>
                <w:rFonts w:ascii="宋体" w:hAnsi="宋体" w:cs="宋体"/>
                <w:color w:val="000000"/>
                <w:kern w:val="2"/>
                <w:sz w:val="20"/>
                <w:szCs w:val="20"/>
              </w:rPr>
            </w:pPr>
            <w:r>
              <w:rPr>
                <w:rFonts w:hint="eastAsia" w:ascii="宋体" w:hAnsi="宋体" w:cs="宋体"/>
                <w:color w:val="000000"/>
                <w:kern w:val="2"/>
                <w:sz w:val="20"/>
                <w:szCs w:val="20"/>
              </w:rPr>
              <w:t>员工满意度调查、员工流失率调查</w:t>
            </w:r>
          </w:p>
        </w:tc>
        <w:tc>
          <w:tcPr>
            <w:tcW w:w="1787" w:type="dxa"/>
            <w:vAlign w:val="center"/>
          </w:tcPr>
          <w:p w14:paraId="682058C2">
            <w:pPr>
              <w:jc w:val="center"/>
              <w:rPr>
                <w:rFonts w:ascii="宋体" w:hAnsi="宋体" w:cs="宋体"/>
                <w:color w:val="000000"/>
                <w:kern w:val="2"/>
                <w:sz w:val="20"/>
                <w:szCs w:val="20"/>
              </w:rPr>
            </w:pPr>
            <w:r>
              <w:rPr>
                <w:rFonts w:hint="eastAsia" w:ascii="宋体" w:hAnsi="宋体" w:cs="宋体"/>
                <w:color w:val="000000"/>
                <w:kern w:val="2"/>
                <w:sz w:val="20"/>
                <w:szCs w:val="20"/>
              </w:rPr>
              <w:t>人力资源管理</w:t>
            </w:r>
          </w:p>
        </w:tc>
        <w:tc>
          <w:tcPr>
            <w:tcW w:w="2754" w:type="dxa"/>
            <w:vAlign w:val="center"/>
          </w:tcPr>
          <w:p w14:paraId="3BF9F267">
            <w:pPr>
              <w:rPr>
                <w:rFonts w:ascii="宋体" w:hAnsi="宋体" w:cs="宋体"/>
                <w:color w:val="000000"/>
                <w:kern w:val="2"/>
                <w:sz w:val="20"/>
                <w:szCs w:val="20"/>
              </w:rPr>
            </w:pPr>
            <w:r>
              <w:rPr>
                <w:rFonts w:hint="eastAsia" w:ascii="宋体" w:hAnsi="宋体" w:cs="宋体"/>
                <w:color w:val="000000"/>
                <w:kern w:val="2"/>
                <w:sz w:val="20"/>
                <w:szCs w:val="20"/>
              </w:rPr>
              <w:t>对比分析法、员工满意度调查报告、员工流失率调查分析报告</w:t>
            </w:r>
          </w:p>
        </w:tc>
        <w:tc>
          <w:tcPr>
            <w:tcW w:w="1232" w:type="dxa"/>
            <w:vAlign w:val="center"/>
          </w:tcPr>
          <w:p w14:paraId="7ED530C8">
            <w:pPr>
              <w:jc w:val="center"/>
              <w:rPr>
                <w:rFonts w:ascii="宋体" w:hAnsi="宋体" w:cs="宋体"/>
                <w:color w:val="000000"/>
                <w:kern w:val="2"/>
                <w:sz w:val="20"/>
                <w:szCs w:val="20"/>
              </w:rPr>
            </w:pPr>
            <w:r>
              <w:rPr>
                <w:rFonts w:hint="eastAsia" w:ascii="宋体" w:hAnsi="宋体" w:cs="宋体"/>
                <w:color w:val="000000"/>
                <w:kern w:val="2"/>
                <w:sz w:val="20"/>
                <w:szCs w:val="20"/>
              </w:rPr>
              <w:t>行政部</w:t>
            </w:r>
          </w:p>
        </w:tc>
      </w:tr>
      <w:tr w14:paraId="3C6CD1C2">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632" w:hRule="atLeast"/>
          <w:jc w:val="center"/>
        </w:trPr>
        <w:tc>
          <w:tcPr>
            <w:tcW w:w="675" w:type="dxa"/>
            <w:vMerge w:val="continue"/>
            <w:vAlign w:val="center"/>
          </w:tcPr>
          <w:p w14:paraId="233BDF61">
            <w:pPr>
              <w:rPr>
                <w:rFonts w:ascii="宋体" w:hAnsi="宋体" w:cs="宋体"/>
                <w:b/>
                <w:bCs/>
                <w:color w:val="000000"/>
                <w:kern w:val="2"/>
                <w:sz w:val="20"/>
                <w:szCs w:val="20"/>
              </w:rPr>
            </w:pPr>
          </w:p>
        </w:tc>
        <w:tc>
          <w:tcPr>
            <w:tcW w:w="709" w:type="dxa"/>
            <w:vAlign w:val="center"/>
          </w:tcPr>
          <w:p w14:paraId="4AF55511">
            <w:pPr>
              <w:jc w:val="center"/>
              <w:rPr>
                <w:rFonts w:ascii="宋体" w:hAnsi="宋体" w:cs="宋体"/>
                <w:color w:val="000000"/>
                <w:kern w:val="2"/>
                <w:sz w:val="20"/>
                <w:szCs w:val="20"/>
              </w:rPr>
            </w:pPr>
            <w:r>
              <w:rPr>
                <w:rFonts w:hint="eastAsia" w:ascii="宋体" w:hAnsi="宋体" w:cs="宋体"/>
                <w:color w:val="000000"/>
                <w:kern w:val="2"/>
                <w:sz w:val="20"/>
                <w:szCs w:val="20"/>
              </w:rPr>
              <w:t>供应链管理</w:t>
            </w:r>
          </w:p>
        </w:tc>
        <w:tc>
          <w:tcPr>
            <w:tcW w:w="1615" w:type="dxa"/>
            <w:vAlign w:val="center"/>
          </w:tcPr>
          <w:p w14:paraId="40CD5C4B">
            <w:pPr>
              <w:rPr>
                <w:rFonts w:ascii="宋体" w:hAnsi="宋体" w:cs="宋体"/>
                <w:color w:val="000000"/>
                <w:kern w:val="2"/>
                <w:sz w:val="20"/>
                <w:szCs w:val="20"/>
              </w:rPr>
            </w:pPr>
            <w:r>
              <w:rPr>
                <w:rFonts w:hint="eastAsia" w:ascii="宋体" w:hAnsi="宋体" w:cs="宋体"/>
                <w:color w:val="000000"/>
                <w:kern w:val="2"/>
                <w:sz w:val="20"/>
                <w:szCs w:val="20"/>
              </w:rPr>
              <w:t>采购形势分析会、供方调查</w:t>
            </w:r>
          </w:p>
        </w:tc>
        <w:tc>
          <w:tcPr>
            <w:tcW w:w="1787" w:type="dxa"/>
            <w:vAlign w:val="center"/>
          </w:tcPr>
          <w:p w14:paraId="215A9166">
            <w:pPr>
              <w:jc w:val="center"/>
              <w:rPr>
                <w:rFonts w:ascii="宋体" w:hAnsi="宋体" w:cs="宋体"/>
                <w:color w:val="000000"/>
                <w:kern w:val="2"/>
                <w:sz w:val="20"/>
                <w:szCs w:val="20"/>
              </w:rPr>
            </w:pPr>
            <w:r>
              <w:rPr>
                <w:rFonts w:hint="eastAsia" w:ascii="宋体" w:hAnsi="宋体" w:cs="宋体"/>
                <w:color w:val="000000"/>
                <w:kern w:val="2"/>
                <w:sz w:val="20"/>
                <w:szCs w:val="20"/>
              </w:rPr>
              <w:t>供应链管理</w:t>
            </w:r>
          </w:p>
        </w:tc>
        <w:tc>
          <w:tcPr>
            <w:tcW w:w="2754" w:type="dxa"/>
            <w:vAlign w:val="center"/>
          </w:tcPr>
          <w:p w14:paraId="2A88BBF7">
            <w:pPr>
              <w:rPr>
                <w:rFonts w:ascii="宋体" w:hAnsi="宋体" w:cs="宋体"/>
                <w:color w:val="000000"/>
                <w:kern w:val="2"/>
                <w:sz w:val="20"/>
                <w:szCs w:val="20"/>
              </w:rPr>
            </w:pPr>
            <w:r>
              <w:rPr>
                <w:rFonts w:hint="eastAsia" w:ascii="宋体" w:hAnsi="宋体" w:cs="宋体"/>
                <w:color w:val="000000"/>
                <w:kern w:val="2"/>
                <w:sz w:val="20"/>
                <w:szCs w:val="20"/>
              </w:rPr>
              <w:t>对比分析、采购形式报告、供方综合能力评价报告</w:t>
            </w:r>
          </w:p>
        </w:tc>
        <w:tc>
          <w:tcPr>
            <w:tcW w:w="1232" w:type="dxa"/>
            <w:vAlign w:val="center"/>
          </w:tcPr>
          <w:p w14:paraId="5A9FB843">
            <w:pPr>
              <w:jc w:val="center"/>
              <w:rPr>
                <w:rFonts w:ascii="宋体" w:hAnsi="宋体" w:cs="宋体"/>
                <w:color w:val="000000"/>
                <w:kern w:val="2"/>
                <w:sz w:val="20"/>
                <w:szCs w:val="20"/>
              </w:rPr>
            </w:pPr>
            <w:r>
              <w:rPr>
                <w:rFonts w:hint="eastAsia" w:ascii="宋体" w:hAnsi="宋体" w:cs="宋体"/>
                <w:color w:val="000000"/>
                <w:kern w:val="2"/>
                <w:sz w:val="20"/>
                <w:szCs w:val="20"/>
              </w:rPr>
              <w:t>物控部</w:t>
            </w:r>
          </w:p>
        </w:tc>
      </w:tr>
      <w:tr w14:paraId="31D6C2ED">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310" w:hRule="atLeast"/>
          <w:jc w:val="center"/>
        </w:trPr>
        <w:tc>
          <w:tcPr>
            <w:tcW w:w="675" w:type="dxa"/>
            <w:vMerge w:val="continue"/>
            <w:vAlign w:val="center"/>
          </w:tcPr>
          <w:p w14:paraId="35B7DD23">
            <w:pPr>
              <w:rPr>
                <w:rFonts w:ascii="宋体" w:hAnsi="宋体" w:cs="宋体"/>
                <w:b/>
                <w:bCs/>
                <w:color w:val="000000"/>
                <w:kern w:val="2"/>
                <w:sz w:val="20"/>
                <w:szCs w:val="20"/>
              </w:rPr>
            </w:pPr>
          </w:p>
        </w:tc>
        <w:tc>
          <w:tcPr>
            <w:tcW w:w="709" w:type="dxa"/>
            <w:vAlign w:val="center"/>
          </w:tcPr>
          <w:p w14:paraId="69AB6380">
            <w:pPr>
              <w:jc w:val="center"/>
              <w:rPr>
                <w:rFonts w:ascii="宋体" w:hAnsi="宋体" w:cs="宋体"/>
                <w:color w:val="000000"/>
                <w:kern w:val="2"/>
                <w:sz w:val="20"/>
                <w:szCs w:val="20"/>
              </w:rPr>
            </w:pPr>
            <w:r>
              <w:rPr>
                <w:rFonts w:hint="eastAsia" w:ascii="宋体" w:hAnsi="宋体" w:cs="宋体"/>
                <w:color w:val="000000"/>
                <w:kern w:val="2"/>
                <w:sz w:val="20"/>
                <w:szCs w:val="20"/>
              </w:rPr>
              <w:t>财务管理</w:t>
            </w:r>
          </w:p>
        </w:tc>
        <w:tc>
          <w:tcPr>
            <w:tcW w:w="1615" w:type="dxa"/>
            <w:vAlign w:val="center"/>
          </w:tcPr>
          <w:p w14:paraId="6F1512E5">
            <w:pPr>
              <w:jc w:val="center"/>
              <w:rPr>
                <w:rFonts w:ascii="宋体" w:hAnsi="宋体" w:cs="宋体"/>
                <w:color w:val="000000"/>
                <w:kern w:val="2"/>
                <w:sz w:val="20"/>
                <w:szCs w:val="20"/>
              </w:rPr>
            </w:pPr>
            <w:r>
              <w:rPr>
                <w:rFonts w:hint="eastAsia" w:ascii="宋体" w:hAnsi="宋体" w:cs="宋体"/>
                <w:color w:val="000000"/>
                <w:kern w:val="2"/>
                <w:sz w:val="20"/>
                <w:szCs w:val="20"/>
              </w:rPr>
              <w:t>财务活动分析会</w:t>
            </w:r>
          </w:p>
        </w:tc>
        <w:tc>
          <w:tcPr>
            <w:tcW w:w="1787" w:type="dxa"/>
            <w:vAlign w:val="center"/>
          </w:tcPr>
          <w:p w14:paraId="1682BC87">
            <w:pPr>
              <w:jc w:val="center"/>
              <w:rPr>
                <w:rFonts w:ascii="宋体" w:hAnsi="宋体" w:cs="宋体"/>
                <w:color w:val="000000"/>
                <w:kern w:val="2"/>
                <w:sz w:val="20"/>
                <w:szCs w:val="20"/>
              </w:rPr>
            </w:pPr>
            <w:r>
              <w:rPr>
                <w:rFonts w:hint="eastAsia" w:ascii="宋体" w:hAnsi="宋体" w:cs="宋体"/>
                <w:color w:val="000000"/>
                <w:kern w:val="2"/>
                <w:sz w:val="20"/>
                <w:szCs w:val="20"/>
              </w:rPr>
              <w:t>财务管理</w:t>
            </w:r>
          </w:p>
        </w:tc>
        <w:tc>
          <w:tcPr>
            <w:tcW w:w="2754" w:type="dxa"/>
            <w:vAlign w:val="center"/>
          </w:tcPr>
          <w:p w14:paraId="308738B9">
            <w:pPr>
              <w:rPr>
                <w:rFonts w:ascii="宋体" w:hAnsi="宋体" w:cs="宋体"/>
                <w:color w:val="000000"/>
                <w:kern w:val="2"/>
                <w:sz w:val="20"/>
                <w:szCs w:val="20"/>
              </w:rPr>
            </w:pPr>
            <w:r>
              <w:rPr>
                <w:rFonts w:hint="eastAsia" w:ascii="宋体" w:hAnsi="宋体" w:cs="宋体"/>
                <w:color w:val="000000"/>
                <w:kern w:val="2"/>
                <w:sz w:val="20"/>
                <w:szCs w:val="20"/>
              </w:rPr>
              <w:t>趋势、对比、差异、因果分析；财务分析报告</w:t>
            </w:r>
          </w:p>
        </w:tc>
        <w:tc>
          <w:tcPr>
            <w:tcW w:w="1232" w:type="dxa"/>
            <w:vAlign w:val="center"/>
          </w:tcPr>
          <w:p w14:paraId="4E97D517">
            <w:pPr>
              <w:jc w:val="center"/>
              <w:rPr>
                <w:rFonts w:ascii="宋体" w:hAnsi="宋体" w:cs="宋体"/>
                <w:color w:val="000000"/>
                <w:kern w:val="2"/>
                <w:sz w:val="20"/>
                <w:szCs w:val="20"/>
              </w:rPr>
            </w:pPr>
            <w:r>
              <w:rPr>
                <w:rFonts w:hint="eastAsia" w:ascii="宋体" w:hAnsi="宋体" w:cs="宋体"/>
                <w:color w:val="000000"/>
                <w:kern w:val="2"/>
                <w:sz w:val="20"/>
                <w:szCs w:val="20"/>
              </w:rPr>
              <w:t>财务部</w:t>
            </w:r>
          </w:p>
        </w:tc>
      </w:tr>
      <w:tr w14:paraId="52C0B435">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645" w:hRule="atLeast"/>
          <w:jc w:val="center"/>
        </w:trPr>
        <w:tc>
          <w:tcPr>
            <w:tcW w:w="675" w:type="dxa"/>
            <w:vMerge w:val="continue"/>
            <w:vAlign w:val="center"/>
          </w:tcPr>
          <w:p w14:paraId="1700C356">
            <w:pPr>
              <w:rPr>
                <w:rFonts w:ascii="宋体" w:hAnsi="宋体" w:cs="宋体"/>
                <w:b/>
                <w:bCs/>
                <w:color w:val="000000"/>
                <w:kern w:val="2"/>
                <w:sz w:val="20"/>
                <w:szCs w:val="20"/>
              </w:rPr>
            </w:pPr>
          </w:p>
        </w:tc>
        <w:tc>
          <w:tcPr>
            <w:tcW w:w="709" w:type="dxa"/>
            <w:vAlign w:val="center"/>
          </w:tcPr>
          <w:p w14:paraId="1352676D">
            <w:pPr>
              <w:jc w:val="center"/>
              <w:rPr>
                <w:rFonts w:ascii="宋体" w:hAnsi="宋体" w:cs="宋体"/>
                <w:color w:val="000000"/>
                <w:kern w:val="2"/>
                <w:sz w:val="20"/>
                <w:szCs w:val="20"/>
              </w:rPr>
            </w:pPr>
            <w:r>
              <w:rPr>
                <w:rFonts w:hint="eastAsia" w:ascii="宋体" w:hAnsi="宋体" w:cs="宋体"/>
                <w:color w:val="000000"/>
                <w:kern w:val="2"/>
                <w:sz w:val="20"/>
                <w:szCs w:val="20"/>
              </w:rPr>
              <w:t>设备管理</w:t>
            </w:r>
          </w:p>
        </w:tc>
        <w:tc>
          <w:tcPr>
            <w:tcW w:w="1615" w:type="dxa"/>
            <w:vAlign w:val="center"/>
          </w:tcPr>
          <w:p w14:paraId="5B568861">
            <w:pPr>
              <w:jc w:val="center"/>
              <w:rPr>
                <w:rFonts w:ascii="宋体" w:hAnsi="宋体" w:cs="宋体"/>
                <w:color w:val="000000"/>
                <w:kern w:val="2"/>
                <w:sz w:val="20"/>
                <w:szCs w:val="20"/>
              </w:rPr>
            </w:pPr>
            <w:r>
              <w:rPr>
                <w:rFonts w:hint="eastAsia" w:ascii="宋体" w:hAnsi="宋体" w:cs="宋体"/>
                <w:color w:val="000000"/>
                <w:kern w:val="2"/>
                <w:sz w:val="20"/>
                <w:szCs w:val="20"/>
              </w:rPr>
              <w:t>定期检测</w:t>
            </w:r>
          </w:p>
        </w:tc>
        <w:tc>
          <w:tcPr>
            <w:tcW w:w="1787" w:type="dxa"/>
            <w:vAlign w:val="center"/>
          </w:tcPr>
          <w:p w14:paraId="21BACB87">
            <w:pPr>
              <w:jc w:val="center"/>
              <w:rPr>
                <w:rFonts w:ascii="宋体" w:hAnsi="宋体" w:cs="宋体"/>
                <w:color w:val="000000"/>
                <w:kern w:val="2"/>
                <w:sz w:val="20"/>
                <w:szCs w:val="20"/>
              </w:rPr>
            </w:pPr>
            <w:r>
              <w:rPr>
                <w:rFonts w:hint="eastAsia" w:ascii="宋体" w:hAnsi="宋体" w:cs="宋体"/>
                <w:color w:val="000000"/>
                <w:kern w:val="2"/>
                <w:sz w:val="20"/>
                <w:szCs w:val="20"/>
              </w:rPr>
              <w:t>设备管理</w:t>
            </w:r>
          </w:p>
        </w:tc>
        <w:tc>
          <w:tcPr>
            <w:tcW w:w="2754" w:type="dxa"/>
            <w:vAlign w:val="center"/>
          </w:tcPr>
          <w:p w14:paraId="161ECF2A">
            <w:pPr>
              <w:rPr>
                <w:rFonts w:ascii="宋体" w:hAnsi="宋体" w:cs="宋体"/>
                <w:color w:val="000000"/>
                <w:kern w:val="2"/>
                <w:sz w:val="20"/>
                <w:szCs w:val="20"/>
              </w:rPr>
            </w:pPr>
            <w:r>
              <w:rPr>
                <w:rFonts w:hint="eastAsia" w:ascii="宋体" w:hAnsi="宋体" w:cs="宋体"/>
                <w:color w:val="000000"/>
                <w:kern w:val="2"/>
                <w:sz w:val="20"/>
                <w:szCs w:val="20"/>
              </w:rPr>
              <w:t>对比分析、设备新度系数、利用率</w:t>
            </w:r>
          </w:p>
        </w:tc>
        <w:tc>
          <w:tcPr>
            <w:tcW w:w="1232" w:type="dxa"/>
            <w:vAlign w:val="center"/>
          </w:tcPr>
          <w:p w14:paraId="36FE3EEC">
            <w:pPr>
              <w:jc w:val="center"/>
              <w:rPr>
                <w:rFonts w:ascii="宋体" w:hAnsi="宋体" w:cs="宋体"/>
                <w:color w:val="000000"/>
                <w:kern w:val="2"/>
                <w:sz w:val="20"/>
                <w:szCs w:val="20"/>
              </w:rPr>
            </w:pPr>
            <w:r>
              <w:rPr>
                <w:rFonts w:hint="eastAsia" w:ascii="宋体" w:hAnsi="宋体" w:cs="宋体"/>
                <w:color w:val="000000"/>
                <w:kern w:val="2"/>
                <w:sz w:val="20"/>
                <w:szCs w:val="20"/>
              </w:rPr>
              <w:t>生产部</w:t>
            </w:r>
          </w:p>
        </w:tc>
      </w:tr>
      <w:tr w14:paraId="4C18A813">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723" w:hRule="atLeast"/>
          <w:jc w:val="center"/>
        </w:trPr>
        <w:tc>
          <w:tcPr>
            <w:tcW w:w="675" w:type="dxa"/>
            <w:vMerge w:val="continue"/>
            <w:vAlign w:val="center"/>
          </w:tcPr>
          <w:p w14:paraId="45CE323D">
            <w:pPr>
              <w:rPr>
                <w:rFonts w:ascii="宋体" w:hAnsi="宋体" w:cs="宋体"/>
                <w:b/>
                <w:bCs/>
                <w:color w:val="000000"/>
                <w:kern w:val="2"/>
                <w:sz w:val="20"/>
                <w:szCs w:val="20"/>
              </w:rPr>
            </w:pPr>
          </w:p>
        </w:tc>
        <w:tc>
          <w:tcPr>
            <w:tcW w:w="709" w:type="dxa"/>
            <w:vAlign w:val="center"/>
          </w:tcPr>
          <w:p w14:paraId="126A37F6">
            <w:pPr>
              <w:jc w:val="center"/>
              <w:rPr>
                <w:rFonts w:ascii="宋体" w:hAnsi="宋体" w:cs="宋体"/>
                <w:color w:val="000000"/>
                <w:kern w:val="2"/>
                <w:sz w:val="20"/>
                <w:szCs w:val="20"/>
              </w:rPr>
            </w:pPr>
            <w:r>
              <w:rPr>
                <w:rFonts w:hint="eastAsia" w:ascii="宋体" w:hAnsi="宋体" w:cs="宋体"/>
                <w:color w:val="000000"/>
                <w:kern w:val="2"/>
                <w:sz w:val="20"/>
                <w:szCs w:val="20"/>
              </w:rPr>
              <w:t>技术创新管理</w:t>
            </w:r>
          </w:p>
        </w:tc>
        <w:tc>
          <w:tcPr>
            <w:tcW w:w="1615" w:type="dxa"/>
            <w:vAlign w:val="center"/>
          </w:tcPr>
          <w:p w14:paraId="0FF19E21">
            <w:pPr>
              <w:rPr>
                <w:rFonts w:ascii="宋体" w:hAnsi="宋体" w:cs="宋体"/>
                <w:color w:val="000000"/>
                <w:kern w:val="2"/>
                <w:sz w:val="20"/>
                <w:szCs w:val="20"/>
              </w:rPr>
            </w:pPr>
            <w:r>
              <w:rPr>
                <w:rFonts w:hint="eastAsia" w:ascii="宋体" w:hAnsi="宋体" w:cs="宋体"/>
                <w:color w:val="000000"/>
                <w:kern w:val="2"/>
                <w:sz w:val="20"/>
                <w:szCs w:val="20"/>
              </w:rPr>
              <w:t>成果鉴定会、年度技术工作总结会</w:t>
            </w:r>
          </w:p>
        </w:tc>
        <w:tc>
          <w:tcPr>
            <w:tcW w:w="1787" w:type="dxa"/>
            <w:vAlign w:val="center"/>
          </w:tcPr>
          <w:p w14:paraId="434C0F96">
            <w:pPr>
              <w:jc w:val="center"/>
              <w:rPr>
                <w:rFonts w:ascii="宋体" w:hAnsi="宋体" w:cs="宋体"/>
                <w:color w:val="000000"/>
                <w:kern w:val="2"/>
                <w:sz w:val="20"/>
                <w:szCs w:val="20"/>
              </w:rPr>
            </w:pPr>
            <w:r>
              <w:rPr>
                <w:rFonts w:hint="eastAsia" w:ascii="宋体" w:hAnsi="宋体" w:cs="宋体"/>
                <w:color w:val="000000"/>
                <w:kern w:val="2"/>
                <w:sz w:val="20"/>
                <w:szCs w:val="20"/>
              </w:rPr>
              <w:t>技术创新</w:t>
            </w:r>
          </w:p>
        </w:tc>
        <w:tc>
          <w:tcPr>
            <w:tcW w:w="2754" w:type="dxa"/>
            <w:vAlign w:val="center"/>
          </w:tcPr>
          <w:p w14:paraId="57FEBECA">
            <w:pPr>
              <w:rPr>
                <w:rFonts w:ascii="宋体" w:hAnsi="宋体" w:cs="宋体"/>
                <w:color w:val="000000"/>
                <w:kern w:val="2"/>
                <w:sz w:val="20"/>
                <w:szCs w:val="20"/>
              </w:rPr>
            </w:pPr>
            <w:r>
              <w:rPr>
                <w:rFonts w:hint="eastAsia" w:ascii="宋体" w:hAnsi="宋体" w:cs="宋体"/>
                <w:color w:val="000000"/>
                <w:kern w:val="2"/>
                <w:sz w:val="20"/>
                <w:szCs w:val="20"/>
              </w:rPr>
              <w:t>对比、差异、因果分析、可行性分析；新技术、新产品开发计划</w:t>
            </w:r>
          </w:p>
        </w:tc>
        <w:tc>
          <w:tcPr>
            <w:tcW w:w="1232" w:type="dxa"/>
            <w:vAlign w:val="center"/>
          </w:tcPr>
          <w:p w14:paraId="62EA284B">
            <w:pPr>
              <w:jc w:val="center"/>
              <w:rPr>
                <w:rFonts w:ascii="宋体" w:hAnsi="宋体" w:cs="宋体"/>
                <w:color w:val="000000"/>
                <w:kern w:val="2"/>
                <w:sz w:val="20"/>
                <w:szCs w:val="20"/>
              </w:rPr>
            </w:pPr>
            <w:r>
              <w:rPr>
                <w:rFonts w:hint="eastAsia" w:ascii="宋体" w:hAnsi="宋体" w:cs="宋体"/>
                <w:color w:val="000000"/>
                <w:kern w:val="2"/>
                <w:sz w:val="20"/>
                <w:szCs w:val="20"/>
              </w:rPr>
              <w:t>技术部</w:t>
            </w:r>
          </w:p>
        </w:tc>
      </w:tr>
      <w:tr w14:paraId="716612FB">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527" w:hRule="atLeast"/>
          <w:jc w:val="center"/>
        </w:trPr>
        <w:tc>
          <w:tcPr>
            <w:tcW w:w="675" w:type="dxa"/>
            <w:vMerge w:val="continue"/>
            <w:vAlign w:val="center"/>
          </w:tcPr>
          <w:p w14:paraId="68F4D125">
            <w:pPr>
              <w:rPr>
                <w:rFonts w:ascii="宋体" w:hAnsi="宋体" w:cs="宋体"/>
                <w:b/>
                <w:bCs/>
                <w:color w:val="000000"/>
                <w:kern w:val="2"/>
                <w:sz w:val="20"/>
                <w:szCs w:val="20"/>
              </w:rPr>
            </w:pPr>
          </w:p>
        </w:tc>
        <w:tc>
          <w:tcPr>
            <w:tcW w:w="709" w:type="dxa"/>
            <w:vAlign w:val="center"/>
          </w:tcPr>
          <w:p w14:paraId="13085608">
            <w:pPr>
              <w:jc w:val="center"/>
              <w:rPr>
                <w:rFonts w:ascii="宋体" w:hAnsi="宋体" w:cs="宋体"/>
                <w:color w:val="000000"/>
                <w:kern w:val="2"/>
                <w:sz w:val="20"/>
                <w:szCs w:val="20"/>
              </w:rPr>
            </w:pPr>
            <w:r>
              <w:rPr>
                <w:rFonts w:hint="eastAsia" w:ascii="宋体" w:hAnsi="宋体" w:cs="宋体"/>
                <w:color w:val="000000"/>
                <w:kern w:val="2"/>
                <w:sz w:val="20"/>
                <w:szCs w:val="20"/>
              </w:rPr>
              <w:t>信息规划管理</w:t>
            </w:r>
          </w:p>
        </w:tc>
        <w:tc>
          <w:tcPr>
            <w:tcW w:w="1615" w:type="dxa"/>
            <w:vAlign w:val="center"/>
          </w:tcPr>
          <w:p w14:paraId="41D91F5D">
            <w:pPr>
              <w:jc w:val="center"/>
              <w:rPr>
                <w:rFonts w:ascii="宋体" w:hAnsi="宋体" w:cs="宋体"/>
                <w:color w:val="000000"/>
                <w:kern w:val="2"/>
                <w:sz w:val="20"/>
                <w:szCs w:val="20"/>
              </w:rPr>
            </w:pPr>
            <w:r>
              <w:rPr>
                <w:rFonts w:hint="eastAsia" w:ascii="宋体" w:hAnsi="宋体" w:cs="宋体"/>
                <w:color w:val="000000"/>
                <w:kern w:val="2"/>
                <w:sz w:val="20"/>
                <w:szCs w:val="20"/>
              </w:rPr>
              <w:t>信息化领导小组会议</w:t>
            </w:r>
          </w:p>
        </w:tc>
        <w:tc>
          <w:tcPr>
            <w:tcW w:w="1787" w:type="dxa"/>
            <w:vAlign w:val="center"/>
          </w:tcPr>
          <w:p w14:paraId="4194FDF0">
            <w:pPr>
              <w:jc w:val="center"/>
              <w:rPr>
                <w:rFonts w:ascii="宋体" w:hAnsi="宋体" w:cs="宋体"/>
                <w:color w:val="000000"/>
                <w:kern w:val="2"/>
                <w:sz w:val="20"/>
                <w:szCs w:val="20"/>
              </w:rPr>
            </w:pPr>
            <w:r>
              <w:rPr>
                <w:rFonts w:hint="eastAsia" w:ascii="宋体" w:hAnsi="宋体" w:cs="宋体"/>
                <w:color w:val="000000"/>
                <w:kern w:val="2"/>
                <w:sz w:val="20"/>
                <w:szCs w:val="20"/>
              </w:rPr>
              <w:t>信息化建设</w:t>
            </w:r>
          </w:p>
        </w:tc>
        <w:tc>
          <w:tcPr>
            <w:tcW w:w="2754" w:type="dxa"/>
            <w:vAlign w:val="center"/>
          </w:tcPr>
          <w:p w14:paraId="0BDEC126">
            <w:pPr>
              <w:rPr>
                <w:rFonts w:ascii="宋体" w:hAnsi="宋体" w:cs="宋体"/>
                <w:color w:val="000000"/>
                <w:kern w:val="2"/>
                <w:sz w:val="20"/>
                <w:szCs w:val="20"/>
              </w:rPr>
            </w:pPr>
            <w:r>
              <w:rPr>
                <w:rFonts w:hint="eastAsia" w:ascii="宋体" w:hAnsi="宋体" w:cs="宋体"/>
                <w:color w:val="000000"/>
                <w:kern w:val="2"/>
                <w:sz w:val="20"/>
                <w:szCs w:val="20"/>
              </w:rPr>
              <w:t>对公司业务与管理的分析和信息化需求分析</w:t>
            </w:r>
          </w:p>
        </w:tc>
        <w:tc>
          <w:tcPr>
            <w:tcW w:w="1232" w:type="dxa"/>
            <w:vAlign w:val="center"/>
          </w:tcPr>
          <w:p w14:paraId="7BA483ED">
            <w:pPr>
              <w:jc w:val="center"/>
              <w:rPr>
                <w:rFonts w:ascii="宋体" w:hAnsi="宋体" w:cs="宋体"/>
                <w:color w:val="000000"/>
                <w:kern w:val="2"/>
                <w:sz w:val="20"/>
                <w:szCs w:val="20"/>
              </w:rPr>
            </w:pPr>
            <w:r>
              <w:rPr>
                <w:rFonts w:hint="eastAsia" w:ascii="宋体" w:hAnsi="宋体" w:cs="宋体"/>
                <w:color w:val="000000"/>
                <w:kern w:val="2"/>
                <w:sz w:val="20"/>
                <w:szCs w:val="20"/>
              </w:rPr>
              <w:t>行政部</w:t>
            </w:r>
          </w:p>
        </w:tc>
      </w:tr>
      <w:tr w14:paraId="6A3189B8">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632" w:hRule="atLeast"/>
          <w:jc w:val="center"/>
        </w:trPr>
        <w:tc>
          <w:tcPr>
            <w:tcW w:w="675" w:type="dxa"/>
            <w:textDirection w:val="tbRlV"/>
            <w:vAlign w:val="center"/>
          </w:tcPr>
          <w:p w14:paraId="73F318FF">
            <w:pPr>
              <w:jc w:val="center"/>
              <w:rPr>
                <w:rFonts w:ascii="宋体" w:hAnsi="宋体" w:cs="宋体"/>
                <w:b/>
                <w:bCs/>
                <w:color w:val="000000"/>
                <w:kern w:val="2"/>
                <w:sz w:val="20"/>
                <w:szCs w:val="20"/>
              </w:rPr>
            </w:pPr>
            <w:r>
              <w:rPr>
                <w:rFonts w:hint="eastAsia" w:ascii="宋体" w:hAnsi="宋体" w:cs="宋体"/>
                <w:b/>
                <w:bCs/>
                <w:color w:val="000000"/>
                <w:kern w:val="2"/>
                <w:sz w:val="20"/>
                <w:szCs w:val="20"/>
              </w:rPr>
              <w:t>执行层</w:t>
            </w:r>
          </w:p>
        </w:tc>
        <w:tc>
          <w:tcPr>
            <w:tcW w:w="709" w:type="dxa"/>
            <w:vAlign w:val="center"/>
          </w:tcPr>
          <w:p w14:paraId="5012EB8B">
            <w:pPr>
              <w:jc w:val="center"/>
              <w:rPr>
                <w:rFonts w:ascii="宋体" w:hAnsi="宋体" w:cs="宋体"/>
                <w:color w:val="000000"/>
                <w:kern w:val="2"/>
                <w:sz w:val="20"/>
                <w:szCs w:val="20"/>
              </w:rPr>
            </w:pPr>
            <w:r>
              <w:rPr>
                <w:rFonts w:hint="eastAsia" w:ascii="宋体" w:hAnsi="宋体" w:cs="宋体"/>
                <w:color w:val="000000"/>
                <w:kern w:val="2"/>
                <w:sz w:val="20"/>
                <w:szCs w:val="20"/>
              </w:rPr>
              <w:t>产品实现</w:t>
            </w:r>
          </w:p>
        </w:tc>
        <w:tc>
          <w:tcPr>
            <w:tcW w:w="1615" w:type="dxa"/>
            <w:vAlign w:val="center"/>
          </w:tcPr>
          <w:p w14:paraId="00E3058C">
            <w:pPr>
              <w:jc w:val="center"/>
              <w:rPr>
                <w:rFonts w:ascii="宋体" w:hAnsi="宋体" w:cs="宋体"/>
                <w:color w:val="000000"/>
                <w:kern w:val="2"/>
                <w:sz w:val="20"/>
                <w:szCs w:val="20"/>
              </w:rPr>
            </w:pPr>
            <w:r>
              <w:rPr>
                <w:rFonts w:hint="eastAsia" w:ascii="宋体" w:hAnsi="宋体" w:cs="宋体"/>
                <w:color w:val="000000"/>
                <w:kern w:val="2"/>
                <w:sz w:val="20"/>
                <w:szCs w:val="20"/>
              </w:rPr>
              <w:t>月度生产例会、班前例会、QC小组攻关会</w:t>
            </w:r>
          </w:p>
        </w:tc>
        <w:tc>
          <w:tcPr>
            <w:tcW w:w="1787" w:type="dxa"/>
            <w:vAlign w:val="center"/>
          </w:tcPr>
          <w:p w14:paraId="20587B5E">
            <w:pPr>
              <w:jc w:val="center"/>
              <w:rPr>
                <w:rFonts w:ascii="宋体" w:hAnsi="宋体" w:cs="宋体"/>
                <w:color w:val="000000"/>
                <w:kern w:val="2"/>
                <w:sz w:val="20"/>
                <w:szCs w:val="20"/>
              </w:rPr>
            </w:pPr>
            <w:r>
              <w:rPr>
                <w:rFonts w:hint="eastAsia" w:ascii="宋体" w:hAnsi="宋体" w:cs="宋体"/>
                <w:color w:val="000000"/>
                <w:kern w:val="2"/>
                <w:sz w:val="20"/>
                <w:szCs w:val="20"/>
              </w:rPr>
              <w:t>业务内容</w:t>
            </w:r>
          </w:p>
        </w:tc>
        <w:tc>
          <w:tcPr>
            <w:tcW w:w="2754" w:type="dxa"/>
            <w:vAlign w:val="center"/>
          </w:tcPr>
          <w:p w14:paraId="7D817EC4">
            <w:pPr>
              <w:rPr>
                <w:rFonts w:ascii="宋体" w:hAnsi="宋体" w:cs="宋体"/>
                <w:color w:val="000000"/>
                <w:kern w:val="2"/>
                <w:sz w:val="20"/>
                <w:szCs w:val="20"/>
              </w:rPr>
            </w:pPr>
            <w:r>
              <w:rPr>
                <w:rFonts w:hint="eastAsia" w:ascii="宋体" w:hAnsi="宋体" w:cs="宋体"/>
                <w:color w:val="000000"/>
                <w:kern w:val="2"/>
                <w:sz w:val="20"/>
                <w:szCs w:val="20"/>
              </w:rPr>
              <w:t>对比分析、因果分析、控制图、直方图、质量检验报告、工作总结、专题报告</w:t>
            </w:r>
          </w:p>
        </w:tc>
        <w:tc>
          <w:tcPr>
            <w:tcW w:w="1232" w:type="dxa"/>
            <w:vAlign w:val="center"/>
          </w:tcPr>
          <w:p w14:paraId="6BE924B1">
            <w:pPr>
              <w:jc w:val="center"/>
              <w:rPr>
                <w:rFonts w:ascii="宋体" w:hAnsi="宋体" w:cs="宋体"/>
                <w:color w:val="000000"/>
                <w:kern w:val="2"/>
                <w:sz w:val="20"/>
                <w:szCs w:val="20"/>
              </w:rPr>
            </w:pPr>
            <w:r>
              <w:rPr>
                <w:rFonts w:hint="eastAsia" w:ascii="宋体" w:hAnsi="宋体" w:cs="宋体"/>
                <w:color w:val="000000"/>
                <w:kern w:val="2"/>
                <w:sz w:val="20"/>
                <w:szCs w:val="20"/>
              </w:rPr>
              <w:t>生产部、品管部</w:t>
            </w:r>
          </w:p>
        </w:tc>
      </w:tr>
    </w:tbl>
    <w:p w14:paraId="097D3595">
      <w:pPr>
        <w:pStyle w:val="6"/>
        <w:spacing w:before="156" w:beforeLines="50"/>
        <w:rPr>
          <w:rFonts w:ascii="黑体" w:hAnsi="黑体" w:eastAsia="黑体"/>
          <w:sz w:val="24"/>
          <w:szCs w:val="24"/>
        </w:rPr>
      </w:pPr>
      <w:r>
        <w:rPr>
          <w:rFonts w:hint="eastAsia" w:cs="宋体"/>
          <w:bCs/>
          <w:sz w:val="24"/>
          <w:szCs w:val="24"/>
        </w:rPr>
        <w:t>4.6.2.3.2</w:t>
      </w:r>
      <w:r>
        <w:rPr>
          <w:rFonts w:hint="eastAsia"/>
          <w:sz w:val="24"/>
          <w:szCs w:val="24"/>
        </w:rPr>
        <w:t>根据绩效结果，确定改进优先次序，并与各部门达到协调一致</w:t>
      </w:r>
    </w:p>
    <w:p w14:paraId="237D5186">
      <w:pPr>
        <w:spacing w:line="360" w:lineRule="auto"/>
        <w:ind w:firstLine="480" w:firstLineChars="200"/>
        <w:rPr>
          <w:rFonts w:ascii="宋体" w:hAnsi="宋体" w:cs="宋体"/>
          <w:szCs w:val="32"/>
        </w:rPr>
      </w:pPr>
      <w:r>
        <w:rPr>
          <w:rFonts w:hint="eastAsia" w:ascii="宋体" w:hAnsi="宋体" w:cs="宋体"/>
          <w:szCs w:val="32"/>
        </w:rPr>
        <w:t>公司日常绩效管理体系运作过程中，各部门每季度形成绩效分析报告，在进行绩效分析的同时，结合部门所筹集的内外部信息，从绩效指标定义、计算方法、测量方法、分析与统计方式等协调一致性等方面对绩效指标的适应性、有效性、可靠性、敏感性等方面进行评价，提出绩效指标以及测量体系的调整意见，并上报审批。</w:t>
      </w:r>
      <w:bookmarkStart w:id="60" w:name="_Toc401871394"/>
      <w:bookmarkStart w:id="61" w:name="_Toc339617484"/>
    </w:p>
    <w:p w14:paraId="19AD4498">
      <w:pPr>
        <w:pStyle w:val="4"/>
      </w:pPr>
      <w:bookmarkStart w:id="62" w:name="_Toc99720441"/>
      <w:r>
        <w:t>4.6.3</w:t>
      </w:r>
      <w:r>
        <w:rPr>
          <w:rFonts w:hint="eastAsia"/>
        </w:rPr>
        <w:t>改进与创新</w:t>
      </w:r>
      <w:bookmarkEnd w:id="60"/>
      <w:bookmarkEnd w:id="61"/>
      <w:bookmarkEnd w:id="62"/>
    </w:p>
    <w:p w14:paraId="272D3690">
      <w:pPr>
        <w:spacing w:after="156" w:afterLines="50" w:line="360" w:lineRule="auto"/>
        <w:rPr>
          <w:rFonts w:ascii="Cambria" w:hAnsi="Cambria"/>
          <w:b/>
          <w:bCs/>
          <w:sz w:val="28"/>
          <w:szCs w:val="28"/>
        </w:rPr>
      </w:pPr>
      <w:r>
        <w:rPr>
          <w:rFonts w:hint="eastAsia" w:ascii="Cambria" w:hAnsi="Cambria"/>
          <w:b/>
          <w:bCs/>
          <w:sz w:val="28"/>
          <w:szCs w:val="28"/>
        </w:rPr>
        <w:t>4.6.3.1提要</w:t>
      </w:r>
    </w:p>
    <w:p w14:paraId="0C9306C3">
      <w:pPr>
        <w:spacing w:line="360" w:lineRule="auto"/>
        <w:ind w:firstLine="480" w:firstLineChars="200"/>
        <w:rPr>
          <w:rFonts w:ascii="宋体" w:hAnsi="宋体" w:cs="宋体"/>
        </w:rPr>
      </w:pPr>
      <w:r>
        <w:rPr>
          <w:rFonts w:hint="eastAsia" w:ascii="宋体" w:hAnsi="宋体" w:cs="宋体"/>
          <w:szCs w:val="32"/>
        </w:rPr>
        <w:t>公司根据企业核心价值观和战略发展要求，通过多种途径识别公司内外部创机关报与改进机会，严格按照卓越绩效模式和PDCA循环相结合，开展各种创新与改进活动，并组织有效的形式和方法对创新与改进结果进行测量、分析及反馈。不断修正战略目标和计划，坚持改进和调整，做好优先次序安排，确保公司长、短期战略目标地实现。</w:t>
      </w:r>
    </w:p>
    <w:p w14:paraId="7F770F26">
      <w:pPr>
        <w:pStyle w:val="5"/>
      </w:pPr>
      <w:r>
        <w:rPr>
          <w:rFonts w:hint="eastAsia"/>
        </w:rPr>
        <w:t>4.6.3.2 改进与创新的管理</w:t>
      </w:r>
    </w:p>
    <w:p w14:paraId="158D1A5F">
      <w:pPr>
        <w:spacing w:line="360" w:lineRule="auto"/>
        <w:ind w:firstLine="480" w:firstLineChars="200"/>
        <w:rPr>
          <w:rFonts w:ascii="宋体" w:hAnsi="宋体" w:cs="宋体"/>
          <w:szCs w:val="32"/>
        </w:rPr>
      </w:pPr>
      <w:r>
        <w:rPr>
          <w:rFonts w:hint="eastAsia" w:ascii="宋体" w:hAnsi="宋体" w:cs="宋体"/>
          <w:szCs w:val="32"/>
        </w:rPr>
        <w:t>公司的高速良性发展过程，是一个不断创新改进管理的过程。尤其近三年，在目标管理的基础上，融合比较管理和全面绩效管理方法，导入竞争机制，为公司绩效的持续提升和不断改进奠定了良好的基础。同时，通过持续不断的修改绩效管理办法，使公司改进管理做到职责分明、制度完善、方式多样。此外，公司对改进成果进行评价，建立了符合自身特点的激励政策，使改进活动步入良性循环。</w:t>
      </w:r>
    </w:p>
    <w:p w14:paraId="613961D6">
      <w:pPr>
        <w:jc w:val="center"/>
        <w:rPr>
          <w:rFonts w:ascii="黑体" w:hAnsi="黑体" w:eastAsia="黑体"/>
          <w:b/>
          <w:sz w:val="21"/>
          <w:szCs w:val="21"/>
        </w:rPr>
      </w:pPr>
      <w:r>
        <w:rPr>
          <w:rFonts w:hint="eastAsia" w:ascii="黑体" w:hAnsi="黑体" w:eastAsia="黑体"/>
          <w:b/>
          <w:sz w:val="21"/>
          <w:szCs w:val="21"/>
        </w:rPr>
        <w:t>表4.6.3-1体系改进</w:t>
      </w:r>
    </w:p>
    <w:tbl>
      <w:tblPr>
        <w:tblStyle w:val="22"/>
        <w:tblpPr w:leftFromText="180" w:rightFromText="180" w:vertAnchor="text" w:horzAnchor="margin" w:tblpY="66"/>
        <w:tblW w:w="9469" w:type="dxa"/>
        <w:tblInd w:w="0" w:type="dxa"/>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Layout w:type="fixed"/>
        <w:tblCellMar>
          <w:top w:w="0" w:type="dxa"/>
          <w:left w:w="108" w:type="dxa"/>
          <w:bottom w:w="0" w:type="dxa"/>
          <w:right w:w="108" w:type="dxa"/>
        </w:tblCellMar>
      </w:tblPr>
      <w:tblGrid>
        <w:gridCol w:w="1247"/>
        <w:gridCol w:w="5954"/>
        <w:gridCol w:w="2268"/>
      </w:tblGrid>
      <w:tr w14:paraId="7F7B4A61">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540" w:hRule="atLeast"/>
          <w:tblHeader/>
        </w:trPr>
        <w:tc>
          <w:tcPr>
            <w:tcW w:w="1247" w:type="dxa"/>
            <w:tcBorders>
              <w:top w:val="threeDEngrave" w:color="4F6228" w:sz="12" w:space="0"/>
              <w:bottom w:val="single" w:color="4F6228" w:sz="6" w:space="0"/>
            </w:tcBorders>
            <w:shd w:val="clear" w:color="auto" w:fill="948A54"/>
            <w:vAlign w:val="center"/>
          </w:tcPr>
          <w:p w14:paraId="716B38D7">
            <w:pPr>
              <w:jc w:val="center"/>
              <w:rPr>
                <w:rFonts w:ascii="宋体" w:hAnsi="宋体"/>
                <w:b/>
                <w:color w:val="FFFFFF"/>
                <w:kern w:val="2"/>
              </w:rPr>
            </w:pPr>
            <w:r>
              <w:rPr>
                <w:rFonts w:hint="eastAsia" w:ascii="宋体" w:hAnsi="宋体"/>
                <w:b/>
                <w:color w:val="FFFFFF"/>
                <w:kern w:val="2"/>
              </w:rPr>
              <w:t>类别</w:t>
            </w:r>
          </w:p>
        </w:tc>
        <w:tc>
          <w:tcPr>
            <w:tcW w:w="5954" w:type="dxa"/>
            <w:tcBorders>
              <w:top w:val="threeDEngrave" w:color="4F6228" w:sz="12" w:space="0"/>
              <w:bottom w:val="single" w:color="4F6228" w:sz="6" w:space="0"/>
            </w:tcBorders>
            <w:shd w:val="clear" w:color="auto" w:fill="948A54"/>
            <w:vAlign w:val="center"/>
          </w:tcPr>
          <w:p w14:paraId="397071BD">
            <w:pPr>
              <w:jc w:val="center"/>
              <w:rPr>
                <w:rFonts w:ascii="宋体" w:hAnsi="宋体"/>
                <w:b/>
                <w:color w:val="FFFFFF"/>
                <w:kern w:val="2"/>
              </w:rPr>
            </w:pPr>
            <w:r>
              <w:rPr>
                <w:rFonts w:hint="eastAsia" w:ascii="宋体" w:hAnsi="宋体"/>
                <w:b/>
                <w:color w:val="FFFFFF"/>
                <w:kern w:val="2"/>
              </w:rPr>
              <w:t>实施</w:t>
            </w:r>
          </w:p>
        </w:tc>
        <w:tc>
          <w:tcPr>
            <w:tcW w:w="2268" w:type="dxa"/>
            <w:tcBorders>
              <w:top w:val="threeDEngrave" w:color="4F6228" w:sz="12" w:space="0"/>
              <w:bottom w:val="single" w:color="4F6228" w:sz="6" w:space="0"/>
            </w:tcBorders>
            <w:shd w:val="clear" w:color="auto" w:fill="948A54"/>
            <w:vAlign w:val="center"/>
          </w:tcPr>
          <w:p w14:paraId="29C82D36">
            <w:pPr>
              <w:jc w:val="center"/>
              <w:rPr>
                <w:rFonts w:ascii="宋体" w:hAnsi="宋体"/>
                <w:b/>
                <w:color w:val="FFFFFF"/>
                <w:kern w:val="2"/>
              </w:rPr>
            </w:pPr>
            <w:r>
              <w:rPr>
                <w:rFonts w:hint="eastAsia" w:ascii="宋体" w:hAnsi="宋体"/>
                <w:b/>
                <w:color w:val="FFFFFF"/>
                <w:kern w:val="2"/>
              </w:rPr>
              <w:t>测量</w:t>
            </w:r>
          </w:p>
        </w:tc>
      </w:tr>
      <w:tr w14:paraId="37B6BDBD">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567" w:hRule="atLeast"/>
        </w:trPr>
        <w:tc>
          <w:tcPr>
            <w:tcW w:w="1247" w:type="dxa"/>
            <w:vMerge w:val="restart"/>
            <w:tcBorders>
              <w:top w:val="single" w:color="4F6228" w:sz="6" w:space="0"/>
            </w:tcBorders>
            <w:textDirection w:val="tbRlV"/>
            <w:vAlign w:val="center"/>
          </w:tcPr>
          <w:p w14:paraId="37E15C4E">
            <w:pPr>
              <w:jc w:val="center"/>
              <w:rPr>
                <w:rFonts w:ascii="宋体" w:hAnsi="宋体" w:cs="宋体"/>
                <w:b/>
                <w:bCs/>
                <w:color w:val="000000"/>
                <w:kern w:val="2"/>
                <w:sz w:val="20"/>
                <w:szCs w:val="20"/>
              </w:rPr>
            </w:pPr>
            <w:r>
              <w:rPr>
                <w:rFonts w:hint="eastAsia" w:ascii="宋体" w:hAnsi="宋体" w:cs="宋体"/>
                <w:b/>
                <w:bCs/>
                <w:color w:val="000000"/>
                <w:kern w:val="2"/>
                <w:sz w:val="20"/>
                <w:szCs w:val="20"/>
              </w:rPr>
              <w:t>卓越绩效</w:t>
            </w:r>
          </w:p>
        </w:tc>
        <w:tc>
          <w:tcPr>
            <w:tcW w:w="5954" w:type="dxa"/>
            <w:vMerge w:val="restart"/>
            <w:tcBorders>
              <w:top w:val="single" w:color="4F6228" w:sz="6" w:space="0"/>
            </w:tcBorders>
            <w:vAlign w:val="center"/>
          </w:tcPr>
          <w:p w14:paraId="5B9EF9EC">
            <w:pPr>
              <w:jc w:val="both"/>
              <w:rPr>
                <w:rFonts w:ascii="宋体" w:hAnsi="宋体" w:cs="宋体"/>
                <w:color w:val="000000"/>
                <w:kern w:val="2"/>
                <w:sz w:val="20"/>
                <w:szCs w:val="20"/>
              </w:rPr>
            </w:pPr>
            <w:r>
              <w:rPr>
                <w:rFonts w:hint="eastAsia" w:ascii="宋体" w:hAnsi="宋体" w:cs="宋体"/>
                <w:color w:val="000000"/>
                <w:kern w:val="2"/>
                <w:sz w:val="20"/>
                <w:szCs w:val="20"/>
              </w:rPr>
              <w:t>通过自评、专家评审和创奖过程，找出改进空间实施改进。2018年和2019年分别进行了一次自评，包括按照美国波多里奇质量奖标准进行问卷调查。针对存在的问题，以项目团队和管理创新课题形式实施改进。</w:t>
            </w:r>
          </w:p>
        </w:tc>
        <w:tc>
          <w:tcPr>
            <w:tcW w:w="2268" w:type="dxa"/>
            <w:vMerge w:val="restart"/>
            <w:tcBorders>
              <w:top w:val="single" w:color="4F6228" w:sz="6" w:space="0"/>
            </w:tcBorders>
            <w:vAlign w:val="center"/>
          </w:tcPr>
          <w:p w14:paraId="7CE6A78D">
            <w:pPr>
              <w:rPr>
                <w:rFonts w:ascii="宋体" w:hAnsi="宋体" w:cs="宋体"/>
                <w:color w:val="000000"/>
                <w:kern w:val="2"/>
                <w:sz w:val="20"/>
                <w:szCs w:val="20"/>
              </w:rPr>
            </w:pPr>
            <w:r>
              <w:rPr>
                <w:rFonts w:hint="eastAsia" w:ascii="宋体" w:hAnsi="宋体" w:cs="宋体"/>
                <w:color w:val="000000"/>
                <w:kern w:val="2"/>
                <w:sz w:val="20"/>
                <w:szCs w:val="20"/>
              </w:rPr>
              <w:t>年度自评、专家评审</w:t>
            </w:r>
          </w:p>
        </w:tc>
      </w:tr>
      <w:tr w14:paraId="151E3A4F">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680" w:hRule="atLeast"/>
        </w:trPr>
        <w:tc>
          <w:tcPr>
            <w:tcW w:w="1247" w:type="dxa"/>
            <w:vMerge w:val="continue"/>
            <w:vAlign w:val="center"/>
          </w:tcPr>
          <w:p w14:paraId="7899DCB0">
            <w:pPr>
              <w:rPr>
                <w:rFonts w:ascii="宋体" w:hAnsi="宋体" w:cs="宋体"/>
                <w:b/>
                <w:bCs/>
                <w:color w:val="000000"/>
                <w:kern w:val="2"/>
                <w:sz w:val="20"/>
                <w:szCs w:val="20"/>
              </w:rPr>
            </w:pPr>
          </w:p>
        </w:tc>
        <w:tc>
          <w:tcPr>
            <w:tcW w:w="5954" w:type="dxa"/>
            <w:vMerge w:val="continue"/>
            <w:vAlign w:val="center"/>
          </w:tcPr>
          <w:p w14:paraId="41B454C2">
            <w:pPr>
              <w:jc w:val="both"/>
              <w:rPr>
                <w:rFonts w:ascii="宋体" w:hAnsi="宋体" w:cs="宋体"/>
                <w:color w:val="000000"/>
                <w:kern w:val="2"/>
                <w:sz w:val="20"/>
                <w:szCs w:val="20"/>
              </w:rPr>
            </w:pPr>
          </w:p>
        </w:tc>
        <w:tc>
          <w:tcPr>
            <w:tcW w:w="2268" w:type="dxa"/>
            <w:vMerge w:val="continue"/>
            <w:vAlign w:val="center"/>
          </w:tcPr>
          <w:p w14:paraId="3E246407">
            <w:pPr>
              <w:rPr>
                <w:rFonts w:ascii="宋体" w:hAnsi="宋体" w:cs="宋体"/>
                <w:color w:val="000000"/>
                <w:kern w:val="2"/>
                <w:sz w:val="20"/>
                <w:szCs w:val="20"/>
              </w:rPr>
            </w:pPr>
          </w:p>
        </w:tc>
      </w:tr>
      <w:tr w14:paraId="2E1E8F57">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312" w:hRule="atLeast"/>
        </w:trPr>
        <w:tc>
          <w:tcPr>
            <w:tcW w:w="1247" w:type="dxa"/>
            <w:vMerge w:val="continue"/>
            <w:vAlign w:val="center"/>
          </w:tcPr>
          <w:p w14:paraId="43AFB367">
            <w:pPr>
              <w:rPr>
                <w:rFonts w:ascii="宋体" w:hAnsi="宋体" w:cs="宋体"/>
                <w:b/>
                <w:bCs/>
                <w:color w:val="000000"/>
                <w:kern w:val="2"/>
                <w:sz w:val="20"/>
                <w:szCs w:val="20"/>
              </w:rPr>
            </w:pPr>
          </w:p>
        </w:tc>
        <w:tc>
          <w:tcPr>
            <w:tcW w:w="5954" w:type="dxa"/>
            <w:vMerge w:val="continue"/>
            <w:vAlign w:val="center"/>
          </w:tcPr>
          <w:p w14:paraId="468253EE">
            <w:pPr>
              <w:jc w:val="both"/>
              <w:rPr>
                <w:rFonts w:ascii="宋体" w:hAnsi="宋体" w:cs="宋体"/>
                <w:color w:val="000000"/>
                <w:kern w:val="2"/>
                <w:sz w:val="20"/>
                <w:szCs w:val="20"/>
              </w:rPr>
            </w:pPr>
          </w:p>
        </w:tc>
        <w:tc>
          <w:tcPr>
            <w:tcW w:w="2268" w:type="dxa"/>
            <w:vMerge w:val="continue"/>
            <w:vAlign w:val="center"/>
          </w:tcPr>
          <w:p w14:paraId="10DA9F51">
            <w:pPr>
              <w:rPr>
                <w:rFonts w:ascii="宋体" w:hAnsi="宋体" w:cs="宋体"/>
                <w:color w:val="000000"/>
                <w:kern w:val="2"/>
                <w:sz w:val="20"/>
                <w:szCs w:val="20"/>
              </w:rPr>
            </w:pPr>
          </w:p>
        </w:tc>
      </w:tr>
      <w:tr w14:paraId="49054642">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1286" w:hRule="atLeast"/>
        </w:trPr>
        <w:tc>
          <w:tcPr>
            <w:tcW w:w="1247" w:type="dxa"/>
            <w:textDirection w:val="tbRlV"/>
            <w:vAlign w:val="center"/>
          </w:tcPr>
          <w:p w14:paraId="656DB6D3">
            <w:pPr>
              <w:jc w:val="center"/>
              <w:rPr>
                <w:rFonts w:ascii="宋体" w:hAnsi="宋体" w:cs="宋体"/>
                <w:b/>
                <w:bCs/>
                <w:color w:val="000000"/>
                <w:kern w:val="2"/>
                <w:sz w:val="20"/>
                <w:szCs w:val="20"/>
              </w:rPr>
            </w:pPr>
            <w:r>
              <w:rPr>
                <w:rFonts w:hint="eastAsia" w:ascii="宋体" w:hAnsi="宋体" w:cs="宋体"/>
                <w:b/>
                <w:bCs/>
                <w:color w:val="000000"/>
                <w:kern w:val="2"/>
                <w:sz w:val="20"/>
                <w:szCs w:val="20"/>
              </w:rPr>
              <w:t>ISO9001</w:t>
            </w:r>
          </w:p>
        </w:tc>
        <w:tc>
          <w:tcPr>
            <w:tcW w:w="5954" w:type="dxa"/>
            <w:vAlign w:val="center"/>
          </w:tcPr>
          <w:p w14:paraId="3D0B9BA9">
            <w:pPr>
              <w:jc w:val="both"/>
              <w:rPr>
                <w:rFonts w:ascii="宋体" w:hAnsi="宋体" w:cs="宋体"/>
                <w:color w:val="000000"/>
                <w:kern w:val="2"/>
                <w:sz w:val="20"/>
                <w:szCs w:val="20"/>
              </w:rPr>
            </w:pPr>
            <w:r>
              <w:rPr>
                <w:rFonts w:hint="eastAsia" w:ascii="宋体" w:hAnsi="宋体" w:cs="宋体"/>
                <w:color w:val="000000"/>
                <w:kern w:val="2"/>
                <w:sz w:val="20"/>
                <w:szCs w:val="20"/>
              </w:rPr>
              <w:t>确定年度改进计划，并针对审核、管理评审结果制定改进措施。以改进项目团队、管理创新课题或六西格玛改进的形式组织实施。</w:t>
            </w:r>
          </w:p>
        </w:tc>
        <w:tc>
          <w:tcPr>
            <w:tcW w:w="2268" w:type="dxa"/>
            <w:vAlign w:val="center"/>
          </w:tcPr>
          <w:p w14:paraId="015F8887">
            <w:pPr>
              <w:jc w:val="both"/>
              <w:rPr>
                <w:rFonts w:ascii="宋体" w:hAnsi="宋体" w:cs="宋体"/>
                <w:color w:val="000000"/>
                <w:kern w:val="2"/>
                <w:sz w:val="20"/>
                <w:szCs w:val="20"/>
              </w:rPr>
            </w:pPr>
            <w:r>
              <w:rPr>
                <w:rFonts w:hint="eastAsia" w:ascii="宋体" w:hAnsi="宋体" w:cs="宋体"/>
                <w:color w:val="000000"/>
                <w:kern w:val="2"/>
                <w:sz w:val="20"/>
                <w:szCs w:val="20"/>
              </w:rPr>
              <w:t>内审、外审、随机专项审核、年度管理评审、六西格玛评审</w:t>
            </w:r>
          </w:p>
        </w:tc>
      </w:tr>
      <w:tr w14:paraId="385E2E7B">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1055" w:hRule="atLeast"/>
        </w:trPr>
        <w:tc>
          <w:tcPr>
            <w:tcW w:w="1247" w:type="dxa"/>
            <w:textDirection w:val="tbRlV"/>
            <w:vAlign w:val="center"/>
          </w:tcPr>
          <w:p w14:paraId="6A653A0D">
            <w:pPr>
              <w:jc w:val="center"/>
              <w:rPr>
                <w:rFonts w:ascii="宋体" w:hAnsi="宋体" w:cs="宋体"/>
                <w:b/>
                <w:bCs/>
                <w:color w:val="000000"/>
                <w:kern w:val="2"/>
                <w:sz w:val="20"/>
                <w:szCs w:val="20"/>
              </w:rPr>
            </w:pPr>
            <w:r>
              <w:rPr>
                <w:rFonts w:hint="eastAsia" w:ascii="宋体" w:hAnsi="宋体" w:cs="宋体"/>
                <w:b/>
                <w:bCs/>
                <w:color w:val="000000"/>
                <w:kern w:val="2"/>
                <w:sz w:val="20"/>
                <w:szCs w:val="20"/>
              </w:rPr>
              <w:t>ISO14001</w:t>
            </w:r>
          </w:p>
        </w:tc>
        <w:tc>
          <w:tcPr>
            <w:tcW w:w="5954" w:type="dxa"/>
            <w:vAlign w:val="center"/>
          </w:tcPr>
          <w:p w14:paraId="4870F57D">
            <w:pPr>
              <w:jc w:val="both"/>
              <w:rPr>
                <w:rFonts w:ascii="宋体" w:hAnsi="宋体" w:cs="宋体"/>
                <w:color w:val="000000"/>
                <w:kern w:val="2"/>
                <w:sz w:val="20"/>
                <w:szCs w:val="20"/>
              </w:rPr>
            </w:pPr>
            <w:r>
              <w:rPr>
                <w:rFonts w:hint="eastAsia" w:ascii="宋体" w:hAnsi="宋体" w:cs="宋体"/>
                <w:color w:val="000000"/>
                <w:kern w:val="2"/>
                <w:sz w:val="20"/>
                <w:szCs w:val="20"/>
              </w:rPr>
              <w:t>确定年度改进计划，并针对审核、管理评审结果制定改进措施。以改进项目团队、管理创新课题的形式组织实施。</w:t>
            </w:r>
          </w:p>
        </w:tc>
        <w:tc>
          <w:tcPr>
            <w:tcW w:w="2268" w:type="dxa"/>
            <w:vAlign w:val="center"/>
          </w:tcPr>
          <w:p w14:paraId="3086A469">
            <w:pPr>
              <w:jc w:val="both"/>
              <w:rPr>
                <w:rFonts w:ascii="宋体" w:hAnsi="宋体" w:cs="宋体"/>
                <w:color w:val="000000"/>
                <w:kern w:val="2"/>
                <w:sz w:val="20"/>
                <w:szCs w:val="20"/>
              </w:rPr>
            </w:pPr>
            <w:r>
              <w:rPr>
                <w:rFonts w:hint="eastAsia" w:ascii="宋体" w:hAnsi="宋体" w:cs="宋体"/>
                <w:color w:val="000000"/>
                <w:kern w:val="2"/>
                <w:sz w:val="20"/>
                <w:szCs w:val="20"/>
              </w:rPr>
              <w:t>内审、外审、年度管理评审</w:t>
            </w:r>
          </w:p>
        </w:tc>
      </w:tr>
      <w:tr w14:paraId="734B7392">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1055" w:hRule="atLeast"/>
        </w:trPr>
        <w:tc>
          <w:tcPr>
            <w:tcW w:w="1247" w:type="dxa"/>
            <w:textDirection w:val="tbRlV"/>
            <w:vAlign w:val="center"/>
          </w:tcPr>
          <w:p w14:paraId="1029F276">
            <w:pPr>
              <w:jc w:val="center"/>
              <w:rPr>
                <w:rFonts w:ascii="宋体" w:hAnsi="宋体" w:cs="宋体"/>
                <w:b/>
                <w:bCs/>
                <w:color w:val="000000"/>
                <w:kern w:val="2"/>
                <w:sz w:val="20"/>
                <w:szCs w:val="20"/>
              </w:rPr>
            </w:pPr>
            <w:r>
              <w:rPr>
                <w:rFonts w:hint="eastAsia" w:ascii="宋体" w:hAnsi="宋体" w:cs="宋体"/>
                <w:b/>
                <w:bCs/>
                <w:color w:val="000000"/>
                <w:kern w:val="2"/>
                <w:sz w:val="20"/>
                <w:szCs w:val="20"/>
              </w:rPr>
              <w:t>ISO18001</w:t>
            </w:r>
          </w:p>
        </w:tc>
        <w:tc>
          <w:tcPr>
            <w:tcW w:w="5954" w:type="dxa"/>
            <w:vAlign w:val="center"/>
          </w:tcPr>
          <w:p w14:paraId="3447612D">
            <w:pPr>
              <w:jc w:val="both"/>
              <w:rPr>
                <w:rFonts w:ascii="宋体" w:hAnsi="宋体" w:cs="宋体"/>
                <w:color w:val="000000"/>
                <w:kern w:val="2"/>
                <w:sz w:val="20"/>
                <w:szCs w:val="20"/>
              </w:rPr>
            </w:pPr>
            <w:r>
              <w:rPr>
                <w:rFonts w:hint="eastAsia" w:ascii="宋体" w:hAnsi="宋体" w:cs="宋体"/>
                <w:color w:val="000000"/>
                <w:kern w:val="2"/>
                <w:sz w:val="20"/>
                <w:szCs w:val="20"/>
              </w:rPr>
              <w:t>确定年度改进计划，并针对审核、管理评审结果制定改进措施。以改进项目团队、管理创新课题的形式组织实施。</w:t>
            </w:r>
          </w:p>
        </w:tc>
        <w:tc>
          <w:tcPr>
            <w:tcW w:w="2268" w:type="dxa"/>
            <w:vAlign w:val="center"/>
          </w:tcPr>
          <w:p w14:paraId="3167B9B0">
            <w:pPr>
              <w:jc w:val="both"/>
              <w:rPr>
                <w:rFonts w:ascii="宋体" w:hAnsi="宋体" w:cs="宋体"/>
                <w:color w:val="000000"/>
                <w:kern w:val="2"/>
                <w:sz w:val="20"/>
                <w:szCs w:val="20"/>
              </w:rPr>
            </w:pPr>
            <w:r>
              <w:rPr>
                <w:rFonts w:hint="eastAsia" w:ascii="宋体" w:hAnsi="宋体" w:cs="宋体"/>
                <w:color w:val="000000"/>
                <w:kern w:val="2"/>
                <w:sz w:val="20"/>
                <w:szCs w:val="20"/>
              </w:rPr>
              <w:t>内审、外审、年度管理评审</w:t>
            </w:r>
          </w:p>
        </w:tc>
      </w:tr>
    </w:tbl>
    <w:p w14:paraId="309D91B0">
      <w:pPr>
        <w:pStyle w:val="6"/>
        <w:spacing w:before="156" w:beforeLines="50"/>
        <w:rPr>
          <w:sz w:val="24"/>
          <w:szCs w:val="24"/>
        </w:rPr>
      </w:pPr>
      <w:r>
        <w:rPr>
          <w:rFonts w:hint="eastAsia"/>
          <w:sz w:val="24"/>
          <w:szCs w:val="24"/>
        </w:rPr>
        <w:t>4.6.3.2.1对改进和创新进行策划，明确计划和目标</w:t>
      </w:r>
    </w:p>
    <w:p w14:paraId="27EAEB46">
      <w:pPr>
        <w:spacing w:line="360" w:lineRule="auto"/>
        <w:ind w:firstLine="480" w:firstLineChars="200"/>
        <w:rPr>
          <w:rFonts w:ascii="宋体" w:hAnsi="宋体" w:cs="宋体"/>
          <w:szCs w:val="32"/>
        </w:rPr>
      </w:pPr>
      <w:r>
        <w:rPr>
          <w:rFonts w:hint="eastAsia" w:ascii="宋体" w:hAnsi="宋体" w:cs="宋体"/>
          <w:szCs w:val="32"/>
        </w:rPr>
        <w:t>公司非常注重绩效的改进，每年通过召开公司年会、半年及年度经济分析会、专题质量分析会等多种形式，对照年度及战略目标，检查和评价落实情况，对存在的问题制定改进计划和目标，并自上而下层层分解、步步落实，最终转化为部门和员工的工作任务和绩效目标。</w:t>
      </w:r>
    </w:p>
    <w:p w14:paraId="7A50AA34">
      <w:pPr>
        <w:spacing w:line="360" w:lineRule="auto"/>
        <w:ind w:firstLine="480" w:firstLineChars="200"/>
        <w:rPr>
          <w:rFonts w:ascii="宋体" w:hAnsi="宋体" w:cs="宋体"/>
          <w:szCs w:val="32"/>
        </w:rPr>
      </w:pPr>
      <w:r>
        <w:rPr>
          <w:rFonts w:hint="eastAsia" w:ascii="宋体" w:hAnsi="宋体" w:cs="宋体"/>
          <w:szCs w:val="32"/>
        </w:rPr>
        <w:t>★战略改进计划：公司每年通过年度会议，公司季度经营分析，听取各部门工作汇报，详细了解各层级绩效目标完成情况，通过数据分析、比较对比，找出经营管理及战略执行过程的不足，提出具体战略改进计划和目标，同时将战略改进计划分解到各部门。</w:t>
      </w:r>
    </w:p>
    <w:p w14:paraId="039E7B90">
      <w:pPr>
        <w:spacing w:line="360" w:lineRule="auto"/>
        <w:ind w:firstLine="480" w:firstLineChars="200"/>
        <w:rPr>
          <w:rFonts w:ascii="宋体" w:hAnsi="宋体" w:cs="宋体"/>
          <w:szCs w:val="32"/>
        </w:rPr>
      </w:pPr>
      <w:r>
        <w:rPr>
          <w:rFonts w:hint="eastAsia" w:ascii="宋体" w:hAnsi="宋体" w:cs="宋体"/>
          <w:szCs w:val="32"/>
        </w:rPr>
        <w:t>★职能管理改进计划：公司各职能部门、安装服务部根据改进计划，制定具体的改进目标和改进措施，定期对改进情况进行跟踪监督。其中2024年度改进的主要计划和目标见表 4.6.3-2。</w:t>
      </w:r>
    </w:p>
    <w:p w14:paraId="71F701BA">
      <w:pPr>
        <w:jc w:val="center"/>
        <w:rPr>
          <w:rFonts w:ascii="黑体" w:hAnsi="黑体" w:eastAsia="黑体"/>
          <w:b/>
          <w:sz w:val="21"/>
          <w:szCs w:val="21"/>
        </w:rPr>
      </w:pPr>
    </w:p>
    <w:p w14:paraId="2C0A222D">
      <w:pPr>
        <w:jc w:val="center"/>
        <w:rPr>
          <w:rFonts w:ascii="黑体" w:hAnsi="黑体" w:eastAsia="黑体"/>
          <w:b/>
          <w:sz w:val="21"/>
          <w:szCs w:val="21"/>
        </w:rPr>
      </w:pPr>
      <w:r>
        <w:rPr>
          <w:rFonts w:hint="eastAsia" w:ascii="黑体" w:hAnsi="黑体" w:eastAsia="黑体"/>
          <w:b/>
          <w:sz w:val="21"/>
          <w:szCs w:val="21"/>
        </w:rPr>
        <w:t>表 4.6.3-2 2024年度公司改进/创新的主要计划和目标</w:t>
      </w:r>
    </w:p>
    <w:tbl>
      <w:tblPr>
        <w:tblStyle w:val="22"/>
        <w:tblpPr w:leftFromText="180" w:rightFromText="180" w:vertAnchor="text" w:horzAnchor="margin" w:tblpY="102"/>
        <w:tblW w:w="9287" w:type="dxa"/>
        <w:tblInd w:w="0" w:type="dxa"/>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Layout w:type="fixed"/>
        <w:tblCellMar>
          <w:top w:w="0" w:type="dxa"/>
          <w:left w:w="108" w:type="dxa"/>
          <w:bottom w:w="0" w:type="dxa"/>
          <w:right w:w="108" w:type="dxa"/>
        </w:tblCellMar>
      </w:tblPr>
      <w:tblGrid>
        <w:gridCol w:w="431"/>
        <w:gridCol w:w="867"/>
        <w:gridCol w:w="1374"/>
        <w:gridCol w:w="1661"/>
        <w:gridCol w:w="1900"/>
        <w:gridCol w:w="1566"/>
        <w:gridCol w:w="1488"/>
      </w:tblGrid>
      <w:tr w14:paraId="15C562CC">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708" w:hRule="atLeast"/>
          <w:tblHeader/>
        </w:trPr>
        <w:tc>
          <w:tcPr>
            <w:tcW w:w="1298" w:type="dxa"/>
            <w:gridSpan w:val="2"/>
            <w:tcBorders>
              <w:top w:val="threeDEngrave" w:color="4F6228" w:sz="12" w:space="0"/>
              <w:bottom w:val="single" w:color="4F6228" w:sz="6" w:space="0"/>
            </w:tcBorders>
            <w:shd w:val="clear" w:color="auto" w:fill="948A54"/>
            <w:vAlign w:val="center"/>
          </w:tcPr>
          <w:p w14:paraId="1BCDD784">
            <w:pPr>
              <w:jc w:val="center"/>
              <w:rPr>
                <w:rFonts w:ascii="宋体" w:hAnsi="宋体"/>
                <w:b/>
                <w:color w:val="FFFFFF"/>
                <w:kern w:val="2"/>
                <w:sz w:val="21"/>
                <w:szCs w:val="21"/>
              </w:rPr>
            </w:pPr>
            <w:r>
              <w:rPr>
                <w:rFonts w:hint="eastAsia" w:ascii="宋体" w:hAnsi="宋体"/>
                <w:b/>
                <w:color w:val="FFFFFF"/>
                <w:kern w:val="2"/>
                <w:sz w:val="21"/>
                <w:szCs w:val="21"/>
              </w:rPr>
              <w:t>改进层次、</w:t>
            </w:r>
          </w:p>
          <w:p w14:paraId="42D19B26">
            <w:pPr>
              <w:jc w:val="center"/>
              <w:rPr>
                <w:rFonts w:ascii="宋体" w:hAnsi="宋体"/>
                <w:b/>
                <w:color w:val="FFFFFF"/>
                <w:kern w:val="2"/>
                <w:sz w:val="21"/>
                <w:szCs w:val="21"/>
              </w:rPr>
            </w:pPr>
            <w:r>
              <w:rPr>
                <w:rFonts w:hint="eastAsia" w:ascii="宋体" w:hAnsi="宋体"/>
                <w:b/>
                <w:color w:val="FFFFFF"/>
                <w:kern w:val="2"/>
                <w:sz w:val="21"/>
                <w:szCs w:val="21"/>
              </w:rPr>
              <w:t>部门</w:t>
            </w:r>
          </w:p>
        </w:tc>
        <w:tc>
          <w:tcPr>
            <w:tcW w:w="1374" w:type="dxa"/>
            <w:tcBorders>
              <w:top w:val="threeDEngrave" w:color="4F6228" w:sz="12" w:space="0"/>
              <w:bottom w:val="single" w:color="4F6228" w:sz="6" w:space="0"/>
            </w:tcBorders>
            <w:shd w:val="clear" w:color="auto" w:fill="948A54"/>
            <w:vAlign w:val="center"/>
          </w:tcPr>
          <w:p w14:paraId="7E39E37B">
            <w:pPr>
              <w:jc w:val="center"/>
              <w:rPr>
                <w:rFonts w:ascii="宋体" w:hAnsi="宋体"/>
                <w:b/>
                <w:color w:val="FFFFFF"/>
                <w:kern w:val="2"/>
                <w:sz w:val="21"/>
                <w:szCs w:val="21"/>
              </w:rPr>
            </w:pPr>
            <w:r>
              <w:rPr>
                <w:rFonts w:hint="eastAsia" w:ascii="宋体" w:hAnsi="宋体"/>
                <w:b/>
                <w:color w:val="FFFFFF"/>
                <w:kern w:val="2"/>
                <w:sz w:val="21"/>
                <w:szCs w:val="21"/>
              </w:rPr>
              <w:t>改进/创新环节</w:t>
            </w:r>
          </w:p>
        </w:tc>
        <w:tc>
          <w:tcPr>
            <w:tcW w:w="1661" w:type="dxa"/>
            <w:tcBorders>
              <w:top w:val="threeDEngrave" w:color="4F6228" w:sz="12" w:space="0"/>
              <w:bottom w:val="single" w:color="4F6228" w:sz="6" w:space="0"/>
            </w:tcBorders>
            <w:shd w:val="clear" w:color="auto" w:fill="948A54"/>
            <w:vAlign w:val="center"/>
          </w:tcPr>
          <w:p w14:paraId="0DD8EE5B">
            <w:pPr>
              <w:jc w:val="center"/>
              <w:rPr>
                <w:rFonts w:ascii="宋体" w:hAnsi="宋体"/>
                <w:b/>
                <w:color w:val="FFFFFF"/>
                <w:kern w:val="2"/>
                <w:sz w:val="21"/>
                <w:szCs w:val="21"/>
              </w:rPr>
            </w:pPr>
            <w:r>
              <w:rPr>
                <w:rFonts w:hint="eastAsia" w:ascii="宋体" w:hAnsi="宋体"/>
                <w:b/>
                <w:color w:val="FFFFFF"/>
                <w:kern w:val="2"/>
                <w:sz w:val="21"/>
                <w:szCs w:val="21"/>
              </w:rPr>
              <w:t>改进方向</w:t>
            </w:r>
          </w:p>
        </w:tc>
        <w:tc>
          <w:tcPr>
            <w:tcW w:w="1900" w:type="dxa"/>
            <w:tcBorders>
              <w:top w:val="threeDEngrave" w:color="4F6228" w:sz="12" w:space="0"/>
              <w:bottom w:val="single" w:color="4F6228" w:sz="6" w:space="0"/>
            </w:tcBorders>
            <w:shd w:val="clear" w:color="auto" w:fill="948A54"/>
            <w:vAlign w:val="center"/>
          </w:tcPr>
          <w:p w14:paraId="563CD886">
            <w:pPr>
              <w:jc w:val="center"/>
              <w:rPr>
                <w:rFonts w:ascii="宋体" w:hAnsi="宋体"/>
                <w:b/>
                <w:color w:val="FFFFFF"/>
                <w:kern w:val="2"/>
                <w:sz w:val="21"/>
                <w:szCs w:val="21"/>
              </w:rPr>
            </w:pPr>
            <w:r>
              <w:rPr>
                <w:rFonts w:hint="eastAsia" w:ascii="宋体" w:hAnsi="宋体"/>
                <w:b/>
                <w:color w:val="FFFFFF"/>
                <w:kern w:val="2"/>
                <w:sz w:val="21"/>
                <w:szCs w:val="21"/>
              </w:rPr>
              <w:t>改进方式方法</w:t>
            </w:r>
          </w:p>
        </w:tc>
        <w:tc>
          <w:tcPr>
            <w:tcW w:w="1566" w:type="dxa"/>
            <w:tcBorders>
              <w:top w:val="threeDEngrave" w:color="4F6228" w:sz="12" w:space="0"/>
              <w:bottom w:val="single" w:color="4F6228" w:sz="6" w:space="0"/>
            </w:tcBorders>
            <w:shd w:val="clear" w:color="auto" w:fill="948A54"/>
            <w:vAlign w:val="center"/>
          </w:tcPr>
          <w:p w14:paraId="774B60BF">
            <w:pPr>
              <w:jc w:val="center"/>
              <w:rPr>
                <w:rFonts w:ascii="宋体" w:hAnsi="宋体"/>
                <w:b/>
                <w:color w:val="FFFFFF"/>
                <w:kern w:val="2"/>
                <w:sz w:val="21"/>
                <w:szCs w:val="21"/>
              </w:rPr>
            </w:pPr>
            <w:r>
              <w:rPr>
                <w:rFonts w:hint="eastAsia" w:ascii="宋体" w:hAnsi="宋体"/>
                <w:b/>
                <w:color w:val="FFFFFF"/>
                <w:kern w:val="2"/>
                <w:sz w:val="21"/>
                <w:szCs w:val="21"/>
              </w:rPr>
              <w:t>改进/创新计划</w:t>
            </w:r>
          </w:p>
        </w:tc>
        <w:tc>
          <w:tcPr>
            <w:tcW w:w="1488" w:type="dxa"/>
            <w:tcBorders>
              <w:top w:val="threeDEngrave" w:color="4F6228" w:sz="12" w:space="0"/>
              <w:bottom w:val="single" w:color="4F6228" w:sz="6" w:space="0"/>
            </w:tcBorders>
            <w:shd w:val="clear" w:color="auto" w:fill="948A54"/>
            <w:vAlign w:val="center"/>
          </w:tcPr>
          <w:p w14:paraId="21CB77F3">
            <w:pPr>
              <w:jc w:val="center"/>
              <w:rPr>
                <w:rFonts w:ascii="宋体" w:hAnsi="宋体"/>
                <w:b/>
                <w:color w:val="FFFFFF"/>
                <w:kern w:val="2"/>
                <w:sz w:val="21"/>
                <w:szCs w:val="21"/>
              </w:rPr>
            </w:pPr>
            <w:r>
              <w:rPr>
                <w:rFonts w:hint="eastAsia" w:ascii="宋体" w:hAnsi="宋体"/>
                <w:b/>
                <w:color w:val="FFFFFF"/>
                <w:kern w:val="2"/>
                <w:sz w:val="21"/>
                <w:szCs w:val="21"/>
              </w:rPr>
              <w:t>改进目标</w:t>
            </w:r>
          </w:p>
        </w:tc>
      </w:tr>
      <w:tr w14:paraId="1D3887F0">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1341" w:hRule="atLeast"/>
        </w:trPr>
        <w:tc>
          <w:tcPr>
            <w:tcW w:w="1298" w:type="dxa"/>
            <w:gridSpan w:val="2"/>
            <w:tcBorders>
              <w:top w:val="single" w:color="4F6228" w:sz="6" w:space="0"/>
            </w:tcBorders>
            <w:vAlign w:val="center"/>
          </w:tcPr>
          <w:p w14:paraId="506BE474">
            <w:pPr>
              <w:spacing w:line="240" w:lineRule="exact"/>
              <w:jc w:val="center"/>
              <w:rPr>
                <w:rFonts w:ascii="宋体" w:hAnsi="宋体"/>
                <w:b/>
                <w:kern w:val="2"/>
                <w:sz w:val="20"/>
                <w:szCs w:val="20"/>
              </w:rPr>
            </w:pPr>
            <w:r>
              <w:rPr>
                <w:rFonts w:hint="eastAsia" w:ascii="宋体" w:hAnsi="宋体"/>
                <w:b/>
                <w:kern w:val="2"/>
                <w:sz w:val="20"/>
                <w:szCs w:val="20"/>
              </w:rPr>
              <w:t>公司决策层</w:t>
            </w:r>
          </w:p>
        </w:tc>
        <w:tc>
          <w:tcPr>
            <w:tcW w:w="1374" w:type="dxa"/>
            <w:tcBorders>
              <w:top w:val="single" w:color="4F6228" w:sz="6" w:space="0"/>
            </w:tcBorders>
            <w:vAlign w:val="center"/>
          </w:tcPr>
          <w:p w14:paraId="562826C2">
            <w:pPr>
              <w:spacing w:line="240" w:lineRule="exact"/>
              <w:jc w:val="both"/>
              <w:rPr>
                <w:rFonts w:ascii="宋体" w:hAnsi="宋体"/>
                <w:kern w:val="2"/>
                <w:sz w:val="20"/>
                <w:szCs w:val="20"/>
              </w:rPr>
            </w:pPr>
            <w:r>
              <w:rPr>
                <w:rFonts w:hint="eastAsia" w:ascii="宋体" w:hAnsi="宋体"/>
                <w:kern w:val="2"/>
                <w:sz w:val="20"/>
                <w:szCs w:val="20"/>
              </w:rPr>
              <w:t>管理体系的适宜性、充分性、有效性、战略制定、部署绩效</w:t>
            </w:r>
          </w:p>
        </w:tc>
        <w:tc>
          <w:tcPr>
            <w:tcW w:w="1661" w:type="dxa"/>
            <w:tcBorders>
              <w:top w:val="single" w:color="4F6228" w:sz="6" w:space="0"/>
            </w:tcBorders>
            <w:vAlign w:val="center"/>
          </w:tcPr>
          <w:p w14:paraId="5D63BA8A">
            <w:pPr>
              <w:spacing w:line="240" w:lineRule="exact"/>
              <w:jc w:val="both"/>
              <w:rPr>
                <w:rFonts w:ascii="宋体" w:hAnsi="宋体"/>
                <w:kern w:val="2"/>
                <w:sz w:val="20"/>
                <w:szCs w:val="20"/>
              </w:rPr>
            </w:pPr>
            <w:r>
              <w:rPr>
                <w:rFonts w:hint="eastAsia" w:ascii="宋体" w:hAnsi="宋体"/>
                <w:kern w:val="2"/>
                <w:sz w:val="20"/>
                <w:szCs w:val="20"/>
              </w:rPr>
              <w:t>改进与相关方的要求相衔接、着眼战略、整体经营绩效、全局性、前瞻性的改进</w:t>
            </w:r>
          </w:p>
        </w:tc>
        <w:tc>
          <w:tcPr>
            <w:tcW w:w="1900" w:type="dxa"/>
            <w:tcBorders>
              <w:top w:val="single" w:color="4F6228" w:sz="6" w:space="0"/>
            </w:tcBorders>
            <w:vAlign w:val="center"/>
          </w:tcPr>
          <w:p w14:paraId="55F826B5">
            <w:pPr>
              <w:spacing w:line="240" w:lineRule="exact"/>
              <w:jc w:val="both"/>
              <w:rPr>
                <w:rFonts w:ascii="宋体" w:hAnsi="宋体"/>
                <w:kern w:val="2"/>
                <w:sz w:val="20"/>
                <w:szCs w:val="20"/>
              </w:rPr>
            </w:pPr>
            <w:r>
              <w:rPr>
                <w:rFonts w:hint="eastAsia" w:ascii="宋体" w:hAnsi="宋体"/>
                <w:kern w:val="2"/>
                <w:sz w:val="20"/>
                <w:szCs w:val="20"/>
              </w:rPr>
              <w:t>年度经济研讨会、不断改进公司的管理体系、内控制度、管理评审</w:t>
            </w:r>
          </w:p>
        </w:tc>
        <w:tc>
          <w:tcPr>
            <w:tcW w:w="1566" w:type="dxa"/>
            <w:tcBorders>
              <w:top w:val="single" w:color="4F6228" w:sz="6" w:space="0"/>
            </w:tcBorders>
            <w:vAlign w:val="center"/>
          </w:tcPr>
          <w:p w14:paraId="2BF1E125">
            <w:pPr>
              <w:spacing w:line="240" w:lineRule="exact"/>
              <w:jc w:val="both"/>
              <w:rPr>
                <w:rFonts w:ascii="宋体" w:hAnsi="宋体"/>
                <w:kern w:val="2"/>
                <w:sz w:val="20"/>
                <w:szCs w:val="20"/>
              </w:rPr>
            </w:pPr>
            <w:r>
              <w:rPr>
                <w:rFonts w:hint="eastAsia" w:ascii="宋体" w:hAnsi="宋体"/>
                <w:kern w:val="2"/>
                <w:sz w:val="20"/>
                <w:szCs w:val="20"/>
              </w:rPr>
              <w:t>根据国际、国内市场变化，对企业发展短期战略和经营计划做出适当调整</w:t>
            </w:r>
          </w:p>
        </w:tc>
        <w:tc>
          <w:tcPr>
            <w:tcW w:w="1488" w:type="dxa"/>
            <w:tcBorders>
              <w:top w:val="single" w:color="4F6228" w:sz="6" w:space="0"/>
            </w:tcBorders>
            <w:vAlign w:val="center"/>
          </w:tcPr>
          <w:p w14:paraId="795717CA">
            <w:pPr>
              <w:spacing w:line="240" w:lineRule="exact"/>
              <w:jc w:val="both"/>
              <w:rPr>
                <w:rFonts w:ascii="宋体" w:hAnsi="宋体"/>
                <w:kern w:val="2"/>
                <w:sz w:val="20"/>
                <w:szCs w:val="20"/>
              </w:rPr>
            </w:pPr>
            <w:r>
              <w:rPr>
                <w:rFonts w:hint="eastAsia" w:ascii="宋体" w:hAnsi="宋体"/>
                <w:kern w:val="2"/>
                <w:sz w:val="20"/>
                <w:szCs w:val="20"/>
              </w:rPr>
              <w:t>经营业绩得到提升、支持战略性改进</w:t>
            </w:r>
          </w:p>
        </w:tc>
      </w:tr>
      <w:tr w14:paraId="5B08591F">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834" w:hRule="atLeast"/>
        </w:trPr>
        <w:tc>
          <w:tcPr>
            <w:tcW w:w="431" w:type="dxa"/>
            <w:vMerge w:val="restart"/>
            <w:vAlign w:val="center"/>
          </w:tcPr>
          <w:p w14:paraId="1CC3B6DD">
            <w:pPr>
              <w:spacing w:line="240" w:lineRule="exact"/>
              <w:jc w:val="center"/>
              <w:rPr>
                <w:rFonts w:ascii="宋体" w:hAnsi="宋体"/>
                <w:b/>
                <w:kern w:val="2"/>
                <w:sz w:val="20"/>
                <w:szCs w:val="20"/>
              </w:rPr>
            </w:pPr>
            <w:r>
              <w:rPr>
                <w:rFonts w:hint="eastAsia" w:ascii="宋体" w:hAnsi="宋体"/>
                <w:b/>
                <w:kern w:val="2"/>
                <w:sz w:val="20"/>
                <w:szCs w:val="20"/>
              </w:rPr>
              <w:t>职能部门</w:t>
            </w:r>
          </w:p>
        </w:tc>
        <w:tc>
          <w:tcPr>
            <w:tcW w:w="867" w:type="dxa"/>
            <w:vAlign w:val="center"/>
          </w:tcPr>
          <w:p w14:paraId="1B4B0A5D">
            <w:pPr>
              <w:spacing w:line="240" w:lineRule="exact"/>
              <w:jc w:val="center"/>
              <w:rPr>
                <w:rFonts w:ascii="宋体" w:hAnsi="宋体"/>
                <w:b/>
                <w:kern w:val="2"/>
                <w:sz w:val="20"/>
                <w:szCs w:val="20"/>
              </w:rPr>
            </w:pPr>
            <w:r>
              <w:rPr>
                <w:rFonts w:hint="eastAsia" w:ascii="宋体" w:hAnsi="宋体"/>
                <w:b/>
                <w:kern w:val="2"/>
                <w:sz w:val="20"/>
                <w:szCs w:val="20"/>
              </w:rPr>
              <w:t>行政部人事模块</w:t>
            </w:r>
          </w:p>
        </w:tc>
        <w:tc>
          <w:tcPr>
            <w:tcW w:w="1374" w:type="dxa"/>
            <w:vAlign w:val="center"/>
          </w:tcPr>
          <w:p w14:paraId="28D94F9A">
            <w:pPr>
              <w:spacing w:line="240" w:lineRule="exact"/>
              <w:jc w:val="both"/>
              <w:rPr>
                <w:rFonts w:ascii="宋体" w:hAnsi="宋体"/>
                <w:kern w:val="2"/>
                <w:sz w:val="20"/>
                <w:szCs w:val="20"/>
              </w:rPr>
            </w:pPr>
            <w:r>
              <w:rPr>
                <w:rFonts w:hint="eastAsia" w:ascii="宋体" w:hAnsi="宋体"/>
                <w:kern w:val="2"/>
                <w:sz w:val="20"/>
                <w:szCs w:val="20"/>
              </w:rPr>
              <w:t>核心人才、绩效管理</w:t>
            </w:r>
          </w:p>
        </w:tc>
        <w:tc>
          <w:tcPr>
            <w:tcW w:w="1661" w:type="dxa"/>
            <w:vAlign w:val="center"/>
          </w:tcPr>
          <w:p w14:paraId="33CF9B2A">
            <w:pPr>
              <w:spacing w:line="240" w:lineRule="exact"/>
              <w:jc w:val="both"/>
              <w:rPr>
                <w:rFonts w:ascii="宋体" w:hAnsi="宋体"/>
                <w:kern w:val="2"/>
                <w:sz w:val="20"/>
                <w:szCs w:val="20"/>
              </w:rPr>
            </w:pPr>
            <w:r>
              <w:rPr>
                <w:rFonts w:hint="eastAsia" w:ascii="宋体" w:hAnsi="宋体"/>
                <w:kern w:val="2"/>
                <w:sz w:val="20"/>
                <w:szCs w:val="20"/>
              </w:rPr>
              <w:t>构建中高端人才体系、提高员工综合能力</w:t>
            </w:r>
          </w:p>
        </w:tc>
        <w:tc>
          <w:tcPr>
            <w:tcW w:w="1900" w:type="dxa"/>
            <w:vAlign w:val="center"/>
          </w:tcPr>
          <w:p w14:paraId="3E807A64">
            <w:pPr>
              <w:spacing w:line="240" w:lineRule="exact"/>
              <w:jc w:val="both"/>
              <w:rPr>
                <w:rFonts w:ascii="宋体" w:hAnsi="宋体"/>
                <w:kern w:val="2"/>
                <w:sz w:val="20"/>
                <w:szCs w:val="20"/>
              </w:rPr>
            </w:pPr>
            <w:r>
              <w:rPr>
                <w:rFonts w:hint="eastAsia" w:ascii="宋体" w:hAnsi="宋体"/>
                <w:kern w:val="2"/>
                <w:sz w:val="20"/>
                <w:szCs w:val="20"/>
              </w:rPr>
              <w:t>运用内部竞聘的人才管理方法</w:t>
            </w:r>
          </w:p>
        </w:tc>
        <w:tc>
          <w:tcPr>
            <w:tcW w:w="1566" w:type="dxa"/>
            <w:vAlign w:val="center"/>
          </w:tcPr>
          <w:p w14:paraId="61E429E4">
            <w:pPr>
              <w:spacing w:line="240" w:lineRule="exact"/>
              <w:jc w:val="both"/>
              <w:rPr>
                <w:rFonts w:ascii="宋体" w:hAnsi="宋体"/>
                <w:kern w:val="2"/>
                <w:sz w:val="20"/>
                <w:szCs w:val="20"/>
              </w:rPr>
            </w:pPr>
            <w:r>
              <w:rPr>
                <w:rFonts w:hint="eastAsia" w:ascii="宋体" w:hAnsi="宋体"/>
                <w:kern w:val="2"/>
                <w:sz w:val="20"/>
                <w:szCs w:val="20"/>
              </w:rPr>
              <w:t>绩效考核制度和计划</w:t>
            </w:r>
          </w:p>
        </w:tc>
        <w:tc>
          <w:tcPr>
            <w:tcW w:w="1488" w:type="dxa"/>
            <w:vMerge w:val="restart"/>
            <w:vAlign w:val="center"/>
          </w:tcPr>
          <w:p w14:paraId="0927E852">
            <w:pPr>
              <w:spacing w:line="240" w:lineRule="exact"/>
              <w:jc w:val="both"/>
              <w:rPr>
                <w:rFonts w:ascii="宋体" w:hAnsi="宋体"/>
                <w:kern w:val="2"/>
                <w:sz w:val="20"/>
                <w:szCs w:val="20"/>
              </w:rPr>
            </w:pPr>
            <w:r>
              <w:rPr>
                <w:rFonts w:hint="eastAsia" w:ascii="宋体" w:hAnsi="宋体"/>
                <w:kern w:val="2"/>
                <w:sz w:val="20"/>
                <w:szCs w:val="20"/>
              </w:rPr>
              <w:t>支持战略发展需要、支持阶段性改进计划、支持经营性改进计划</w:t>
            </w:r>
          </w:p>
        </w:tc>
      </w:tr>
      <w:tr w14:paraId="4563ABA0">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1257" w:hRule="atLeast"/>
        </w:trPr>
        <w:tc>
          <w:tcPr>
            <w:tcW w:w="431" w:type="dxa"/>
            <w:vMerge w:val="continue"/>
            <w:vAlign w:val="center"/>
          </w:tcPr>
          <w:p w14:paraId="6A4FD11A">
            <w:pPr>
              <w:spacing w:line="240" w:lineRule="exact"/>
              <w:jc w:val="center"/>
              <w:rPr>
                <w:rFonts w:ascii="宋体" w:hAnsi="宋体"/>
                <w:b/>
                <w:kern w:val="2"/>
                <w:sz w:val="20"/>
                <w:szCs w:val="20"/>
              </w:rPr>
            </w:pPr>
          </w:p>
        </w:tc>
        <w:tc>
          <w:tcPr>
            <w:tcW w:w="867" w:type="dxa"/>
            <w:vAlign w:val="center"/>
          </w:tcPr>
          <w:p w14:paraId="1315C04B">
            <w:pPr>
              <w:spacing w:line="240" w:lineRule="exact"/>
              <w:jc w:val="center"/>
              <w:rPr>
                <w:rFonts w:ascii="宋体" w:hAnsi="宋体"/>
                <w:b/>
                <w:kern w:val="2"/>
                <w:sz w:val="20"/>
                <w:szCs w:val="20"/>
              </w:rPr>
            </w:pPr>
            <w:r>
              <w:rPr>
                <w:rFonts w:hint="eastAsia" w:ascii="宋体" w:hAnsi="宋体"/>
                <w:b/>
                <w:kern w:val="2"/>
                <w:sz w:val="20"/>
                <w:szCs w:val="20"/>
              </w:rPr>
              <w:t>销售部</w:t>
            </w:r>
          </w:p>
        </w:tc>
        <w:tc>
          <w:tcPr>
            <w:tcW w:w="1374" w:type="dxa"/>
            <w:vAlign w:val="center"/>
          </w:tcPr>
          <w:p w14:paraId="447EBBA9">
            <w:pPr>
              <w:spacing w:line="240" w:lineRule="exact"/>
              <w:jc w:val="both"/>
              <w:rPr>
                <w:rFonts w:ascii="宋体" w:hAnsi="宋体"/>
                <w:kern w:val="2"/>
                <w:sz w:val="20"/>
                <w:szCs w:val="20"/>
              </w:rPr>
            </w:pPr>
            <w:r>
              <w:rPr>
                <w:rFonts w:hint="eastAsia" w:ascii="宋体" w:hAnsi="宋体"/>
                <w:kern w:val="2"/>
                <w:sz w:val="20"/>
                <w:szCs w:val="20"/>
              </w:rPr>
              <w:t>市场份额</w:t>
            </w:r>
          </w:p>
        </w:tc>
        <w:tc>
          <w:tcPr>
            <w:tcW w:w="1661" w:type="dxa"/>
            <w:vAlign w:val="center"/>
          </w:tcPr>
          <w:p w14:paraId="4CF227FF">
            <w:pPr>
              <w:spacing w:line="240" w:lineRule="exact"/>
              <w:jc w:val="both"/>
              <w:rPr>
                <w:rFonts w:ascii="宋体" w:hAnsi="宋体"/>
                <w:kern w:val="2"/>
                <w:sz w:val="20"/>
                <w:szCs w:val="20"/>
              </w:rPr>
            </w:pPr>
            <w:r>
              <w:rPr>
                <w:rFonts w:hint="eastAsia" w:ascii="宋体" w:hAnsi="宋体"/>
                <w:kern w:val="2"/>
                <w:sz w:val="20"/>
                <w:szCs w:val="20"/>
              </w:rPr>
              <w:t>提高市场占有率</w:t>
            </w:r>
          </w:p>
        </w:tc>
        <w:tc>
          <w:tcPr>
            <w:tcW w:w="1900" w:type="dxa"/>
            <w:vAlign w:val="center"/>
          </w:tcPr>
          <w:p w14:paraId="00F5472B">
            <w:pPr>
              <w:spacing w:line="240" w:lineRule="exact"/>
              <w:jc w:val="both"/>
              <w:rPr>
                <w:rFonts w:ascii="宋体" w:hAnsi="宋体"/>
                <w:kern w:val="2"/>
                <w:sz w:val="20"/>
                <w:szCs w:val="20"/>
              </w:rPr>
            </w:pPr>
            <w:r>
              <w:rPr>
                <w:rFonts w:hint="eastAsia" w:ascii="宋体" w:hAnsi="宋体"/>
                <w:kern w:val="2"/>
                <w:sz w:val="20"/>
                <w:szCs w:val="20"/>
              </w:rPr>
              <w:t>和顾客形成长期战略合作关系，利用公司夯实的管理基础，对优质顾客的市场加以控制</w:t>
            </w:r>
          </w:p>
        </w:tc>
        <w:tc>
          <w:tcPr>
            <w:tcW w:w="1566" w:type="dxa"/>
            <w:vAlign w:val="center"/>
          </w:tcPr>
          <w:p w14:paraId="5CB7F4D1">
            <w:pPr>
              <w:spacing w:line="240" w:lineRule="exact"/>
              <w:jc w:val="both"/>
              <w:rPr>
                <w:rFonts w:ascii="宋体" w:hAnsi="宋体"/>
                <w:kern w:val="2"/>
                <w:sz w:val="20"/>
                <w:szCs w:val="20"/>
              </w:rPr>
            </w:pPr>
            <w:r>
              <w:rPr>
                <w:rFonts w:hint="eastAsia" w:ascii="宋体" w:hAnsi="宋体"/>
                <w:kern w:val="2"/>
                <w:sz w:val="20"/>
                <w:szCs w:val="20"/>
              </w:rPr>
              <w:t>以点带面</w:t>
            </w:r>
          </w:p>
          <w:p w14:paraId="1837D89C">
            <w:pPr>
              <w:spacing w:line="240" w:lineRule="exact"/>
              <w:jc w:val="both"/>
              <w:rPr>
                <w:rFonts w:ascii="宋体" w:hAnsi="宋体"/>
                <w:kern w:val="2"/>
                <w:sz w:val="20"/>
                <w:szCs w:val="20"/>
              </w:rPr>
            </w:pPr>
            <w:r>
              <w:rPr>
                <w:rFonts w:hint="eastAsia" w:ascii="宋体" w:hAnsi="宋体"/>
                <w:kern w:val="2"/>
                <w:sz w:val="20"/>
                <w:szCs w:val="20"/>
              </w:rPr>
              <w:t>全面拓展</w:t>
            </w:r>
          </w:p>
          <w:p w14:paraId="317DA014">
            <w:pPr>
              <w:spacing w:line="240" w:lineRule="exact"/>
              <w:jc w:val="both"/>
              <w:rPr>
                <w:rFonts w:ascii="宋体" w:hAnsi="宋体"/>
                <w:kern w:val="2"/>
                <w:sz w:val="20"/>
                <w:szCs w:val="20"/>
              </w:rPr>
            </w:pPr>
            <w:r>
              <w:rPr>
                <w:rFonts w:hint="eastAsia" w:ascii="宋体" w:hAnsi="宋体"/>
                <w:kern w:val="2"/>
                <w:sz w:val="20"/>
                <w:szCs w:val="20"/>
              </w:rPr>
              <w:t>从国际到国内</w:t>
            </w:r>
          </w:p>
        </w:tc>
        <w:tc>
          <w:tcPr>
            <w:tcW w:w="1488" w:type="dxa"/>
            <w:vMerge w:val="continue"/>
            <w:vAlign w:val="center"/>
          </w:tcPr>
          <w:p w14:paraId="3B72FD14">
            <w:pPr>
              <w:spacing w:line="240" w:lineRule="exact"/>
              <w:jc w:val="both"/>
              <w:rPr>
                <w:rFonts w:ascii="宋体" w:hAnsi="宋体"/>
                <w:kern w:val="2"/>
                <w:sz w:val="20"/>
                <w:szCs w:val="20"/>
              </w:rPr>
            </w:pPr>
          </w:p>
        </w:tc>
      </w:tr>
      <w:tr w14:paraId="4DA127D6">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708" w:hRule="atLeast"/>
        </w:trPr>
        <w:tc>
          <w:tcPr>
            <w:tcW w:w="431" w:type="dxa"/>
            <w:vMerge w:val="continue"/>
            <w:vAlign w:val="center"/>
          </w:tcPr>
          <w:p w14:paraId="1BBBFE48">
            <w:pPr>
              <w:spacing w:line="240" w:lineRule="exact"/>
              <w:jc w:val="center"/>
              <w:rPr>
                <w:rFonts w:ascii="宋体" w:hAnsi="宋体"/>
                <w:b/>
                <w:kern w:val="2"/>
                <w:sz w:val="20"/>
                <w:szCs w:val="20"/>
              </w:rPr>
            </w:pPr>
          </w:p>
        </w:tc>
        <w:tc>
          <w:tcPr>
            <w:tcW w:w="867" w:type="dxa"/>
            <w:vAlign w:val="center"/>
          </w:tcPr>
          <w:p w14:paraId="1616CBE1">
            <w:pPr>
              <w:spacing w:line="240" w:lineRule="exact"/>
              <w:rPr>
                <w:rFonts w:ascii="宋体" w:hAnsi="宋体"/>
                <w:b/>
                <w:kern w:val="2"/>
                <w:sz w:val="20"/>
                <w:szCs w:val="20"/>
              </w:rPr>
            </w:pPr>
            <w:r>
              <w:rPr>
                <w:rFonts w:hint="eastAsia" w:ascii="宋体" w:hAnsi="宋体"/>
                <w:b/>
                <w:kern w:val="2"/>
                <w:sz w:val="20"/>
                <w:szCs w:val="20"/>
              </w:rPr>
              <w:t>行政部</w:t>
            </w:r>
          </w:p>
        </w:tc>
        <w:tc>
          <w:tcPr>
            <w:tcW w:w="1374" w:type="dxa"/>
            <w:vAlign w:val="center"/>
          </w:tcPr>
          <w:p w14:paraId="0398214D">
            <w:pPr>
              <w:spacing w:line="240" w:lineRule="exact"/>
              <w:jc w:val="both"/>
              <w:rPr>
                <w:rFonts w:ascii="宋体" w:hAnsi="宋体"/>
                <w:kern w:val="2"/>
                <w:sz w:val="20"/>
                <w:szCs w:val="20"/>
              </w:rPr>
            </w:pPr>
            <w:r>
              <w:rPr>
                <w:rFonts w:hint="eastAsia" w:ascii="宋体" w:hAnsi="宋体"/>
                <w:kern w:val="2"/>
                <w:sz w:val="20"/>
                <w:szCs w:val="20"/>
              </w:rPr>
              <w:t>公司管理发展、公司信息化建设发展</w:t>
            </w:r>
          </w:p>
        </w:tc>
        <w:tc>
          <w:tcPr>
            <w:tcW w:w="1661" w:type="dxa"/>
            <w:vAlign w:val="center"/>
          </w:tcPr>
          <w:p w14:paraId="7E42410A">
            <w:pPr>
              <w:spacing w:line="240" w:lineRule="exact"/>
              <w:jc w:val="both"/>
              <w:rPr>
                <w:rFonts w:ascii="宋体" w:hAnsi="宋体"/>
                <w:kern w:val="2"/>
                <w:sz w:val="20"/>
                <w:szCs w:val="20"/>
              </w:rPr>
            </w:pPr>
            <w:r>
              <w:rPr>
                <w:rFonts w:hint="eastAsia" w:ascii="宋体" w:hAnsi="宋体"/>
                <w:kern w:val="2"/>
                <w:sz w:val="20"/>
                <w:szCs w:val="20"/>
              </w:rPr>
              <w:t>强化综合管理、增加信息化建设的软硬件投入</w:t>
            </w:r>
          </w:p>
        </w:tc>
        <w:tc>
          <w:tcPr>
            <w:tcW w:w="1900" w:type="dxa"/>
            <w:vAlign w:val="center"/>
          </w:tcPr>
          <w:p w14:paraId="4EC61411">
            <w:pPr>
              <w:spacing w:line="240" w:lineRule="exact"/>
              <w:jc w:val="both"/>
              <w:rPr>
                <w:rFonts w:ascii="宋体" w:hAnsi="宋体"/>
                <w:kern w:val="2"/>
                <w:sz w:val="20"/>
                <w:szCs w:val="20"/>
              </w:rPr>
            </w:pPr>
            <w:r>
              <w:rPr>
                <w:rFonts w:hint="eastAsia" w:ascii="宋体" w:hAnsi="宋体"/>
                <w:kern w:val="2"/>
                <w:sz w:val="20"/>
                <w:szCs w:val="20"/>
              </w:rPr>
              <w:t>不断改进公司的管理体系、有计划的增加信息化建设的软硬件投入</w:t>
            </w:r>
          </w:p>
        </w:tc>
        <w:tc>
          <w:tcPr>
            <w:tcW w:w="1566" w:type="dxa"/>
            <w:vAlign w:val="center"/>
          </w:tcPr>
          <w:p w14:paraId="1FFCBEB3">
            <w:pPr>
              <w:spacing w:line="240" w:lineRule="exact"/>
              <w:jc w:val="both"/>
              <w:rPr>
                <w:rFonts w:ascii="宋体" w:hAnsi="宋体"/>
                <w:kern w:val="2"/>
                <w:sz w:val="20"/>
                <w:szCs w:val="20"/>
              </w:rPr>
            </w:pPr>
            <w:r>
              <w:rPr>
                <w:rFonts w:hint="eastAsia" w:ascii="宋体" w:hAnsi="宋体"/>
                <w:kern w:val="2"/>
                <w:sz w:val="20"/>
                <w:szCs w:val="20"/>
              </w:rPr>
              <w:t>创新管理制度，与战略合作伙伴共享信息平台，实现信息及时共享</w:t>
            </w:r>
          </w:p>
        </w:tc>
        <w:tc>
          <w:tcPr>
            <w:tcW w:w="1488" w:type="dxa"/>
            <w:vMerge w:val="continue"/>
            <w:vAlign w:val="center"/>
          </w:tcPr>
          <w:p w14:paraId="3E2C896E">
            <w:pPr>
              <w:spacing w:line="240" w:lineRule="exact"/>
              <w:jc w:val="both"/>
              <w:rPr>
                <w:rFonts w:ascii="宋体" w:hAnsi="宋体"/>
                <w:kern w:val="2"/>
                <w:sz w:val="20"/>
                <w:szCs w:val="20"/>
              </w:rPr>
            </w:pPr>
          </w:p>
        </w:tc>
      </w:tr>
      <w:tr w14:paraId="6262C82C">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650" w:hRule="atLeast"/>
        </w:trPr>
        <w:tc>
          <w:tcPr>
            <w:tcW w:w="431" w:type="dxa"/>
            <w:vMerge w:val="continue"/>
            <w:vAlign w:val="center"/>
          </w:tcPr>
          <w:p w14:paraId="3A8225A4">
            <w:pPr>
              <w:spacing w:line="240" w:lineRule="exact"/>
              <w:jc w:val="center"/>
              <w:rPr>
                <w:rFonts w:ascii="宋体" w:hAnsi="宋体"/>
                <w:b/>
                <w:kern w:val="2"/>
                <w:sz w:val="20"/>
                <w:szCs w:val="20"/>
              </w:rPr>
            </w:pPr>
          </w:p>
        </w:tc>
        <w:tc>
          <w:tcPr>
            <w:tcW w:w="867" w:type="dxa"/>
            <w:vAlign w:val="center"/>
          </w:tcPr>
          <w:p w14:paraId="2DEAE9CF">
            <w:pPr>
              <w:spacing w:line="240" w:lineRule="exact"/>
              <w:jc w:val="center"/>
              <w:rPr>
                <w:rFonts w:ascii="宋体" w:hAnsi="宋体"/>
                <w:b/>
                <w:kern w:val="2"/>
                <w:sz w:val="20"/>
                <w:szCs w:val="20"/>
              </w:rPr>
            </w:pPr>
            <w:r>
              <w:rPr>
                <w:rFonts w:hint="eastAsia" w:ascii="宋体" w:hAnsi="宋体"/>
                <w:b/>
                <w:kern w:val="2"/>
                <w:sz w:val="20"/>
                <w:szCs w:val="20"/>
              </w:rPr>
              <w:t>技术部</w:t>
            </w:r>
          </w:p>
        </w:tc>
        <w:tc>
          <w:tcPr>
            <w:tcW w:w="1374" w:type="dxa"/>
            <w:vAlign w:val="center"/>
          </w:tcPr>
          <w:p w14:paraId="28186CE3">
            <w:pPr>
              <w:spacing w:line="240" w:lineRule="exact"/>
              <w:jc w:val="both"/>
              <w:rPr>
                <w:rFonts w:ascii="宋体" w:hAnsi="宋体"/>
                <w:kern w:val="2"/>
                <w:sz w:val="20"/>
                <w:szCs w:val="20"/>
              </w:rPr>
            </w:pPr>
            <w:r>
              <w:rPr>
                <w:rFonts w:hint="eastAsia" w:ascii="宋体" w:hAnsi="宋体"/>
                <w:kern w:val="2"/>
                <w:sz w:val="20"/>
                <w:szCs w:val="20"/>
              </w:rPr>
              <w:t>技术支持、技术创新</w:t>
            </w:r>
          </w:p>
        </w:tc>
        <w:tc>
          <w:tcPr>
            <w:tcW w:w="1661" w:type="dxa"/>
            <w:vMerge w:val="restart"/>
            <w:vAlign w:val="center"/>
          </w:tcPr>
          <w:p w14:paraId="4C160D44">
            <w:pPr>
              <w:spacing w:line="240" w:lineRule="exact"/>
              <w:jc w:val="both"/>
              <w:rPr>
                <w:rFonts w:ascii="宋体" w:hAnsi="宋体"/>
                <w:kern w:val="2"/>
                <w:sz w:val="20"/>
                <w:szCs w:val="20"/>
              </w:rPr>
            </w:pPr>
            <w:r>
              <w:rPr>
                <w:rFonts w:hint="eastAsia" w:ascii="宋体" w:hAnsi="宋体"/>
                <w:kern w:val="2"/>
                <w:sz w:val="20"/>
                <w:szCs w:val="20"/>
              </w:rPr>
              <w:t>管理水平提升，并收到实效</w:t>
            </w:r>
          </w:p>
        </w:tc>
        <w:tc>
          <w:tcPr>
            <w:tcW w:w="1900" w:type="dxa"/>
            <w:vMerge w:val="restart"/>
            <w:vAlign w:val="center"/>
          </w:tcPr>
          <w:p w14:paraId="0507CA84">
            <w:pPr>
              <w:spacing w:line="240" w:lineRule="exact"/>
              <w:jc w:val="both"/>
              <w:rPr>
                <w:rFonts w:ascii="宋体" w:hAnsi="宋体"/>
                <w:kern w:val="2"/>
                <w:sz w:val="20"/>
                <w:szCs w:val="20"/>
              </w:rPr>
            </w:pPr>
            <w:r>
              <w:rPr>
                <w:rFonts w:hint="eastAsia" w:ascii="宋体" w:hAnsi="宋体"/>
                <w:kern w:val="2"/>
                <w:sz w:val="20"/>
                <w:szCs w:val="20"/>
              </w:rPr>
              <w:t>专项检查、实施岗位绩效责任制</w:t>
            </w:r>
          </w:p>
        </w:tc>
        <w:tc>
          <w:tcPr>
            <w:tcW w:w="1566" w:type="dxa"/>
            <w:vAlign w:val="center"/>
          </w:tcPr>
          <w:p w14:paraId="16F0D125">
            <w:pPr>
              <w:spacing w:line="240" w:lineRule="exact"/>
              <w:jc w:val="both"/>
              <w:rPr>
                <w:rFonts w:ascii="宋体" w:hAnsi="宋体"/>
                <w:kern w:val="2"/>
                <w:sz w:val="20"/>
                <w:szCs w:val="20"/>
              </w:rPr>
            </w:pPr>
            <w:r>
              <w:rPr>
                <w:rFonts w:hint="eastAsia" w:ascii="宋体" w:hAnsi="宋体"/>
                <w:kern w:val="2"/>
                <w:sz w:val="20"/>
                <w:szCs w:val="20"/>
              </w:rPr>
              <w:t>技术开发改进计划</w:t>
            </w:r>
          </w:p>
        </w:tc>
        <w:tc>
          <w:tcPr>
            <w:tcW w:w="1488" w:type="dxa"/>
            <w:vMerge w:val="continue"/>
            <w:vAlign w:val="center"/>
          </w:tcPr>
          <w:p w14:paraId="2F942BD8">
            <w:pPr>
              <w:spacing w:line="240" w:lineRule="exact"/>
              <w:jc w:val="both"/>
              <w:rPr>
                <w:rFonts w:ascii="宋体" w:hAnsi="宋体"/>
                <w:kern w:val="2"/>
                <w:sz w:val="20"/>
                <w:szCs w:val="20"/>
              </w:rPr>
            </w:pPr>
          </w:p>
        </w:tc>
      </w:tr>
      <w:tr w14:paraId="4731321E">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546" w:hRule="atLeast"/>
        </w:trPr>
        <w:tc>
          <w:tcPr>
            <w:tcW w:w="431" w:type="dxa"/>
            <w:vMerge w:val="continue"/>
            <w:vAlign w:val="center"/>
          </w:tcPr>
          <w:p w14:paraId="02A61D80">
            <w:pPr>
              <w:spacing w:line="240" w:lineRule="exact"/>
              <w:jc w:val="center"/>
              <w:rPr>
                <w:rFonts w:ascii="宋体" w:hAnsi="宋体"/>
                <w:b/>
                <w:kern w:val="2"/>
                <w:sz w:val="20"/>
                <w:szCs w:val="20"/>
              </w:rPr>
            </w:pPr>
          </w:p>
        </w:tc>
        <w:tc>
          <w:tcPr>
            <w:tcW w:w="867" w:type="dxa"/>
            <w:vAlign w:val="center"/>
          </w:tcPr>
          <w:p w14:paraId="39C65EFD">
            <w:pPr>
              <w:spacing w:line="240" w:lineRule="exact"/>
              <w:jc w:val="center"/>
              <w:rPr>
                <w:rFonts w:ascii="宋体" w:hAnsi="宋体"/>
                <w:b/>
                <w:kern w:val="2"/>
                <w:sz w:val="20"/>
                <w:szCs w:val="20"/>
              </w:rPr>
            </w:pPr>
            <w:r>
              <w:rPr>
                <w:rFonts w:hint="eastAsia" w:ascii="宋体" w:hAnsi="宋体"/>
                <w:b/>
                <w:kern w:val="2"/>
                <w:sz w:val="20"/>
                <w:szCs w:val="20"/>
              </w:rPr>
              <w:t>生产部</w:t>
            </w:r>
          </w:p>
        </w:tc>
        <w:tc>
          <w:tcPr>
            <w:tcW w:w="1374" w:type="dxa"/>
            <w:vAlign w:val="center"/>
          </w:tcPr>
          <w:p w14:paraId="0A36DF31">
            <w:pPr>
              <w:spacing w:line="240" w:lineRule="exact"/>
              <w:jc w:val="both"/>
              <w:rPr>
                <w:rFonts w:ascii="宋体" w:hAnsi="宋体"/>
                <w:kern w:val="2"/>
                <w:sz w:val="20"/>
                <w:szCs w:val="20"/>
              </w:rPr>
            </w:pPr>
            <w:r>
              <w:rPr>
                <w:rFonts w:hint="eastAsia" w:ascii="宋体" w:hAnsi="宋体"/>
                <w:kern w:val="2"/>
                <w:sz w:val="20"/>
                <w:szCs w:val="20"/>
              </w:rPr>
              <w:t>产品质量、生产安全管理</w:t>
            </w:r>
          </w:p>
        </w:tc>
        <w:tc>
          <w:tcPr>
            <w:tcW w:w="1661" w:type="dxa"/>
            <w:vMerge w:val="continue"/>
            <w:vAlign w:val="center"/>
          </w:tcPr>
          <w:p w14:paraId="761D05A8">
            <w:pPr>
              <w:spacing w:line="240" w:lineRule="exact"/>
              <w:jc w:val="both"/>
              <w:rPr>
                <w:rFonts w:ascii="宋体" w:hAnsi="宋体"/>
                <w:kern w:val="2"/>
                <w:sz w:val="20"/>
                <w:szCs w:val="20"/>
              </w:rPr>
            </w:pPr>
          </w:p>
        </w:tc>
        <w:tc>
          <w:tcPr>
            <w:tcW w:w="1900" w:type="dxa"/>
            <w:vMerge w:val="continue"/>
            <w:vAlign w:val="center"/>
          </w:tcPr>
          <w:p w14:paraId="526EFA56">
            <w:pPr>
              <w:spacing w:line="240" w:lineRule="exact"/>
              <w:jc w:val="both"/>
              <w:rPr>
                <w:rFonts w:ascii="宋体" w:hAnsi="宋体"/>
                <w:kern w:val="2"/>
                <w:sz w:val="20"/>
                <w:szCs w:val="20"/>
              </w:rPr>
            </w:pPr>
          </w:p>
        </w:tc>
        <w:tc>
          <w:tcPr>
            <w:tcW w:w="1566" w:type="dxa"/>
            <w:vAlign w:val="center"/>
          </w:tcPr>
          <w:p w14:paraId="06869C46">
            <w:pPr>
              <w:spacing w:line="240" w:lineRule="exact"/>
              <w:jc w:val="both"/>
              <w:rPr>
                <w:rFonts w:ascii="宋体" w:hAnsi="宋体"/>
                <w:kern w:val="2"/>
                <w:sz w:val="20"/>
                <w:szCs w:val="20"/>
              </w:rPr>
            </w:pPr>
            <w:r>
              <w:rPr>
                <w:rFonts w:hint="eastAsia" w:ascii="宋体" w:hAnsi="宋体"/>
                <w:kern w:val="2"/>
                <w:sz w:val="20"/>
                <w:szCs w:val="20"/>
              </w:rPr>
              <w:t>应用统计技术，加强质量预控</w:t>
            </w:r>
          </w:p>
        </w:tc>
        <w:tc>
          <w:tcPr>
            <w:tcW w:w="1488" w:type="dxa"/>
            <w:vMerge w:val="continue"/>
            <w:vAlign w:val="center"/>
          </w:tcPr>
          <w:p w14:paraId="7525D389">
            <w:pPr>
              <w:spacing w:line="240" w:lineRule="exact"/>
              <w:jc w:val="both"/>
              <w:rPr>
                <w:rFonts w:ascii="宋体" w:hAnsi="宋体"/>
                <w:kern w:val="2"/>
                <w:sz w:val="20"/>
                <w:szCs w:val="20"/>
              </w:rPr>
            </w:pPr>
          </w:p>
        </w:tc>
      </w:tr>
      <w:tr w14:paraId="37EDA3C2">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708" w:hRule="atLeast"/>
        </w:trPr>
        <w:tc>
          <w:tcPr>
            <w:tcW w:w="431" w:type="dxa"/>
            <w:vMerge w:val="continue"/>
            <w:vAlign w:val="center"/>
          </w:tcPr>
          <w:p w14:paraId="455C92C6">
            <w:pPr>
              <w:spacing w:line="240" w:lineRule="exact"/>
              <w:jc w:val="center"/>
              <w:rPr>
                <w:rFonts w:ascii="宋体" w:hAnsi="宋体"/>
                <w:b/>
                <w:kern w:val="2"/>
                <w:sz w:val="20"/>
                <w:szCs w:val="20"/>
              </w:rPr>
            </w:pPr>
          </w:p>
        </w:tc>
        <w:tc>
          <w:tcPr>
            <w:tcW w:w="867" w:type="dxa"/>
            <w:vAlign w:val="center"/>
          </w:tcPr>
          <w:p w14:paraId="0B7782A9">
            <w:pPr>
              <w:spacing w:line="240" w:lineRule="exact"/>
              <w:jc w:val="center"/>
              <w:rPr>
                <w:rFonts w:ascii="宋体" w:hAnsi="宋体"/>
                <w:b/>
                <w:kern w:val="2"/>
                <w:sz w:val="20"/>
                <w:szCs w:val="20"/>
              </w:rPr>
            </w:pPr>
            <w:r>
              <w:rPr>
                <w:rFonts w:hint="eastAsia" w:ascii="宋体" w:hAnsi="宋体"/>
                <w:b/>
                <w:kern w:val="2"/>
                <w:sz w:val="20"/>
                <w:szCs w:val="20"/>
              </w:rPr>
              <w:t>设备部</w:t>
            </w:r>
          </w:p>
        </w:tc>
        <w:tc>
          <w:tcPr>
            <w:tcW w:w="1374" w:type="dxa"/>
            <w:vAlign w:val="center"/>
          </w:tcPr>
          <w:p w14:paraId="02DC40E0">
            <w:pPr>
              <w:spacing w:line="240" w:lineRule="exact"/>
              <w:jc w:val="both"/>
              <w:rPr>
                <w:rFonts w:ascii="宋体" w:hAnsi="宋体"/>
                <w:kern w:val="2"/>
                <w:sz w:val="20"/>
                <w:szCs w:val="20"/>
              </w:rPr>
            </w:pPr>
            <w:r>
              <w:rPr>
                <w:rFonts w:hint="eastAsia" w:ascii="宋体" w:hAnsi="宋体"/>
                <w:kern w:val="2"/>
                <w:sz w:val="20"/>
                <w:szCs w:val="20"/>
              </w:rPr>
              <w:t>设备使用管理</w:t>
            </w:r>
          </w:p>
        </w:tc>
        <w:tc>
          <w:tcPr>
            <w:tcW w:w="1661" w:type="dxa"/>
            <w:vMerge w:val="continue"/>
            <w:vAlign w:val="center"/>
          </w:tcPr>
          <w:p w14:paraId="56B17CAF">
            <w:pPr>
              <w:spacing w:line="240" w:lineRule="exact"/>
              <w:jc w:val="both"/>
              <w:rPr>
                <w:rFonts w:ascii="宋体" w:hAnsi="宋体"/>
                <w:kern w:val="2"/>
                <w:sz w:val="20"/>
                <w:szCs w:val="20"/>
              </w:rPr>
            </w:pPr>
          </w:p>
        </w:tc>
        <w:tc>
          <w:tcPr>
            <w:tcW w:w="1900" w:type="dxa"/>
            <w:vMerge w:val="continue"/>
            <w:vAlign w:val="center"/>
          </w:tcPr>
          <w:p w14:paraId="72091EF7">
            <w:pPr>
              <w:spacing w:line="240" w:lineRule="exact"/>
              <w:jc w:val="both"/>
              <w:rPr>
                <w:rFonts w:ascii="宋体" w:hAnsi="宋体"/>
                <w:kern w:val="2"/>
                <w:sz w:val="20"/>
                <w:szCs w:val="20"/>
              </w:rPr>
            </w:pPr>
          </w:p>
        </w:tc>
        <w:tc>
          <w:tcPr>
            <w:tcW w:w="1566" w:type="dxa"/>
            <w:vAlign w:val="center"/>
          </w:tcPr>
          <w:p w14:paraId="62F5CEF5">
            <w:pPr>
              <w:spacing w:line="240" w:lineRule="exact"/>
              <w:jc w:val="both"/>
              <w:rPr>
                <w:rFonts w:ascii="宋体" w:hAnsi="宋体"/>
                <w:kern w:val="2"/>
                <w:sz w:val="20"/>
                <w:szCs w:val="20"/>
              </w:rPr>
            </w:pPr>
            <w:r>
              <w:rPr>
                <w:rFonts w:hint="eastAsia" w:ascii="宋体" w:hAnsi="宋体"/>
                <w:kern w:val="2"/>
                <w:sz w:val="20"/>
                <w:szCs w:val="20"/>
              </w:rPr>
              <w:t>建立设备管理责任体系，完善TPM管理方法</w:t>
            </w:r>
          </w:p>
        </w:tc>
        <w:tc>
          <w:tcPr>
            <w:tcW w:w="1488" w:type="dxa"/>
            <w:vMerge w:val="continue"/>
            <w:vAlign w:val="center"/>
          </w:tcPr>
          <w:p w14:paraId="0B117622">
            <w:pPr>
              <w:spacing w:line="240" w:lineRule="exact"/>
              <w:jc w:val="both"/>
              <w:rPr>
                <w:rFonts w:ascii="宋体" w:hAnsi="宋体"/>
                <w:kern w:val="2"/>
                <w:sz w:val="20"/>
                <w:szCs w:val="20"/>
              </w:rPr>
            </w:pPr>
          </w:p>
        </w:tc>
      </w:tr>
      <w:tr w14:paraId="29B55D9C">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708" w:hRule="atLeast"/>
        </w:trPr>
        <w:tc>
          <w:tcPr>
            <w:tcW w:w="431" w:type="dxa"/>
            <w:vMerge w:val="continue"/>
            <w:vAlign w:val="center"/>
          </w:tcPr>
          <w:p w14:paraId="32B0262A">
            <w:pPr>
              <w:spacing w:line="240" w:lineRule="exact"/>
              <w:jc w:val="center"/>
              <w:rPr>
                <w:rFonts w:ascii="宋体" w:hAnsi="宋体"/>
                <w:b/>
                <w:kern w:val="2"/>
                <w:sz w:val="20"/>
                <w:szCs w:val="20"/>
              </w:rPr>
            </w:pPr>
          </w:p>
        </w:tc>
        <w:tc>
          <w:tcPr>
            <w:tcW w:w="867" w:type="dxa"/>
            <w:vAlign w:val="center"/>
          </w:tcPr>
          <w:p w14:paraId="2AB4E72F">
            <w:pPr>
              <w:spacing w:line="240" w:lineRule="exact"/>
              <w:jc w:val="center"/>
              <w:rPr>
                <w:rFonts w:ascii="宋体" w:hAnsi="宋体"/>
                <w:b/>
                <w:kern w:val="2"/>
                <w:sz w:val="20"/>
                <w:szCs w:val="20"/>
              </w:rPr>
            </w:pPr>
            <w:r>
              <w:rPr>
                <w:rFonts w:hint="eastAsia" w:ascii="宋体" w:hAnsi="宋体"/>
                <w:b/>
                <w:kern w:val="2"/>
                <w:sz w:val="20"/>
                <w:szCs w:val="20"/>
              </w:rPr>
              <w:t>物控部</w:t>
            </w:r>
          </w:p>
        </w:tc>
        <w:tc>
          <w:tcPr>
            <w:tcW w:w="1374" w:type="dxa"/>
            <w:vAlign w:val="center"/>
          </w:tcPr>
          <w:p w14:paraId="7915CC50">
            <w:pPr>
              <w:spacing w:line="240" w:lineRule="exact"/>
              <w:jc w:val="both"/>
              <w:rPr>
                <w:rFonts w:ascii="宋体" w:hAnsi="宋体"/>
                <w:kern w:val="2"/>
                <w:sz w:val="20"/>
                <w:szCs w:val="20"/>
              </w:rPr>
            </w:pPr>
            <w:r>
              <w:rPr>
                <w:rFonts w:hint="eastAsia" w:ascii="宋体" w:hAnsi="宋体"/>
                <w:kern w:val="2"/>
                <w:sz w:val="20"/>
                <w:szCs w:val="20"/>
              </w:rPr>
              <w:t>材料采购管理</w:t>
            </w:r>
          </w:p>
        </w:tc>
        <w:tc>
          <w:tcPr>
            <w:tcW w:w="1661" w:type="dxa"/>
            <w:vAlign w:val="center"/>
          </w:tcPr>
          <w:p w14:paraId="544C1BE3">
            <w:pPr>
              <w:spacing w:line="240" w:lineRule="exact"/>
              <w:jc w:val="both"/>
              <w:rPr>
                <w:rFonts w:ascii="宋体" w:hAnsi="宋体"/>
                <w:kern w:val="2"/>
                <w:sz w:val="20"/>
                <w:szCs w:val="20"/>
              </w:rPr>
            </w:pPr>
            <w:r>
              <w:rPr>
                <w:rFonts w:hint="eastAsia" w:ascii="宋体" w:hAnsi="宋体"/>
                <w:kern w:val="2"/>
                <w:sz w:val="20"/>
                <w:szCs w:val="20"/>
              </w:rPr>
              <w:t>强化针对性、系统性</w:t>
            </w:r>
          </w:p>
        </w:tc>
        <w:tc>
          <w:tcPr>
            <w:tcW w:w="1900" w:type="dxa"/>
            <w:vMerge w:val="continue"/>
            <w:vAlign w:val="center"/>
          </w:tcPr>
          <w:p w14:paraId="06D6B301">
            <w:pPr>
              <w:spacing w:line="240" w:lineRule="exact"/>
              <w:jc w:val="both"/>
              <w:rPr>
                <w:rFonts w:ascii="宋体" w:hAnsi="宋体"/>
                <w:kern w:val="2"/>
                <w:sz w:val="20"/>
                <w:szCs w:val="20"/>
              </w:rPr>
            </w:pPr>
          </w:p>
        </w:tc>
        <w:tc>
          <w:tcPr>
            <w:tcW w:w="1566" w:type="dxa"/>
            <w:vAlign w:val="center"/>
          </w:tcPr>
          <w:p w14:paraId="759DD12D">
            <w:pPr>
              <w:spacing w:line="240" w:lineRule="exact"/>
              <w:jc w:val="both"/>
              <w:rPr>
                <w:rFonts w:ascii="宋体" w:hAnsi="宋体"/>
                <w:kern w:val="2"/>
                <w:sz w:val="20"/>
                <w:szCs w:val="20"/>
              </w:rPr>
            </w:pPr>
            <w:r>
              <w:rPr>
                <w:rFonts w:hint="eastAsia" w:ascii="宋体" w:hAnsi="宋体"/>
                <w:kern w:val="2"/>
                <w:sz w:val="20"/>
                <w:szCs w:val="20"/>
              </w:rPr>
              <w:t>完善集中采购程序</w:t>
            </w:r>
          </w:p>
        </w:tc>
        <w:tc>
          <w:tcPr>
            <w:tcW w:w="1488" w:type="dxa"/>
            <w:vMerge w:val="continue"/>
            <w:vAlign w:val="center"/>
          </w:tcPr>
          <w:p w14:paraId="426EA4CE">
            <w:pPr>
              <w:spacing w:line="240" w:lineRule="exact"/>
              <w:jc w:val="both"/>
              <w:rPr>
                <w:rFonts w:ascii="宋体" w:hAnsi="宋体"/>
                <w:kern w:val="2"/>
                <w:sz w:val="20"/>
                <w:szCs w:val="20"/>
              </w:rPr>
            </w:pPr>
          </w:p>
        </w:tc>
      </w:tr>
      <w:tr w14:paraId="0B41FB85">
        <w:tblPrEx>
          <w:tblBorders>
            <w:top w:val="threeDEngrave" w:color="4F6228" w:sz="12" w:space="0"/>
            <w:left w:val="threeDEngrave" w:color="4F6228" w:sz="12" w:space="0"/>
            <w:bottom w:val="threeDEngrave" w:color="4F6228" w:sz="12" w:space="0"/>
            <w:right w:val="threeDEngrave" w:color="4F6228" w:sz="12" w:space="0"/>
            <w:insideH w:val="single" w:color="4F6228" w:sz="6" w:space="0"/>
            <w:insideV w:val="single" w:color="4F6228" w:sz="6" w:space="0"/>
          </w:tblBorders>
          <w:tblCellMar>
            <w:top w:w="0" w:type="dxa"/>
            <w:left w:w="108" w:type="dxa"/>
            <w:bottom w:w="0" w:type="dxa"/>
            <w:right w:w="108" w:type="dxa"/>
          </w:tblCellMar>
        </w:tblPrEx>
        <w:trPr>
          <w:trHeight w:val="708" w:hRule="atLeast"/>
        </w:trPr>
        <w:tc>
          <w:tcPr>
            <w:tcW w:w="1298" w:type="dxa"/>
            <w:gridSpan w:val="2"/>
            <w:vAlign w:val="center"/>
          </w:tcPr>
          <w:p w14:paraId="2DD4FD4B">
            <w:pPr>
              <w:spacing w:line="240" w:lineRule="exact"/>
              <w:jc w:val="center"/>
              <w:rPr>
                <w:rFonts w:ascii="宋体" w:hAnsi="宋体"/>
                <w:b/>
                <w:kern w:val="2"/>
                <w:sz w:val="20"/>
                <w:szCs w:val="20"/>
              </w:rPr>
            </w:pPr>
            <w:r>
              <w:rPr>
                <w:rFonts w:hint="eastAsia" w:ascii="宋体" w:hAnsi="宋体"/>
                <w:b/>
                <w:kern w:val="2"/>
                <w:sz w:val="20"/>
                <w:szCs w:val="20"/>
              </w:rPr>
              <w:t>员工</w:t>
            </w:r>
          </w:p>
        </w:tc>
        <w:tc>
          <w:tcPr>
            <w:tcW w:w="1374" w:type="dxa"/>
            <w:vAlign w:val="center"/>
          </w:tcPr>
          <w:p w14:paraId="5F05F4FF">
            <w:pPr>
              <w:spacing w:line="240" w:lineRule="exact"/>
              <w:jc w:val="both"/>
              <w:rPr>
                <w:rFonts w:ascii="宋体" w:hAnsi="宋体"/>
                <w:kern w:val="2"/>
                <w:sz w:val="20"/>
                <w:szCs w:val="20"/>
              </w:rPr>
            </w:pPr>
            <w:r>
              <w:rPr>
                <w:rFonts w:hint="eastAsia" w:ascii="宋体" w:hAnsi="宋体"/>
                <w:kern w:val="2"/>
                <w:sz w:val="20"/>
                <w:szCs w:val="20"/>
              </w:rPr>
              <w:t>改进本岗位、本职工作的绩效</w:t>
            </w:r>
          </w:p>
        </w:tc>
        <w:tc>
          <w:tcPr>
            <w:tcW w:w="1661" w:type="dxa"/>
            <w:vAlign w:val="center"/>
          </w:tcPr>
          <w:p w14:paraId="0294B0CF">
            <w:pPr>
              <w:spacing w:line="240" w:lineRule="exact"/>
              <w:jc w:val="both"/>
              <w:rPr>
                <w:rFonts w:ascii="宋体" w:hAnsi="宋体"/>
                <w:kern w:val="2"/>
                <w:sz w:val="20"/>
                <w:szCs w:val="20"/>
              </w:rPr>
            </w:pPr>
            <w:r>
              <w:rPr>
                <w:rFonts w:hint="eastAsia" w:ascii="宋体" w:hAnsi="宋体"/>
                <w:kern w:val="2"/>
                <w:sz w:val="20"/>
                <w:szCs w:val="20"/>
              </w:rPr>
              <w:t>个人能力的提升、管理细节的改变</w:t>
            </w:r>
          </w:p>
        </w:tc>
        <w:tc>
          <w:tcPr>
            <w:tcW w:w="1900" w:type="dxa"/>
            <w:vAlign w:val="center"/>
          </w:tcPr>
          <w:p w14:paraId="1D4FA455">
            <w:pPr>
              <w:spacing w:line="240" w:lineRule="exact"/>
              <w:jc w:val="both"/>
              <w:rPr>
                <w:rFonts w:ascii="宋体" w:hAnsi="宋体"/>
                <w:kern w:val="2"/>
                <w:sz w:val="20"/>
                <w:szCs w:val="20"/>
              </w:rPr>
            </w:pPr>
            <w:r>
              <w:rPr>
                <w:rFonts w:hint="eastAsia" w:ascii="宋体" w:hAnsi="宋体"/>
                <w:kern w:val="2"/>
                <w:sz w:val="20"/>
                <w:szCs w:val="20"/>
              </w:rPr>
              <w:t>技能培训、合理化建议、召开班前会等</w:t>
            </w:r>
          </w:p>
        </w:tc>
        <w:tc>
          <w:tcPr>
            <w:tcW w:w="1566" w:type="dxa"/>
            <w:vAlign w:val="center"/>
          </w:tcPr>
          <w:p w14:paraId="13600E07">
            <w:pPr>
              <w:spacing w:line="240" w:lineRule="exact"/>
              <w:jc w:val="both"/>
              <w:rPr>
                <w:rFonts w:ascii="宋体" w:hAnsi="宋体"/>
                <w:kern w:val="2"/>
                <w:sz w:val="20"/>
                <w:szCs w:val="20"/>
              </w:rPr>
            </w:pPr>
            <w:r>
              <w:rPr>
                <w:rFonts w:hint="eastAsia" w:ascii="宋体" w:hAnsi="宋体"/>
                <w:kern w:val="2"/>
                <w:sz w:val="20"/>
                <w:szCs w:val="20"/>
              </w:rPr>
              <w:t>培养、招聘提高员工能力</w:t>
            </w:r>
          </w:p>
        </w:tc>
        <w:tc>
          <w:tcPr>
            <w:tcW w:w="1488" w:type="dxa"/>
            <w:vAlign w:val="center"/>
          </w:tcPr>
          <w:p w14:paraId="6706CF0C">
            <w:pPr>
              <w:spacing w:line="240" w:lineRule="exact"/>
              <w:jc w:val="both"/>
              <w:rPr>
                <w:rFonts w:ascii="宋体" w:hAnsi="宋体"/>
                <w:kern w:val="2"/>
                <w:sz w:val="20"/>
                <w:szCs w:val="20"/>
              </w:rPr>
            </w:pPr>
            <w:r>
              <w:rPr>
                <w:rFonts w:hint="eastAsia" w:ascii="宋体" w:hAnsi="宋体"/>
                <w:kern w:val="2"/>
                <w:sz w:val="20"/>
                <w:szCs w:val="20"/>
              </w:rPr>
              <w:t>个人技能满足公司发展需要、支持经营性改进计划</w:t>
            </w:r>
          </w:p>
        </w:tc>
      </w:tr>
    </w:tbl>
    <w:p w14:paraId="7D5ACFF7">
      <w:pPr>
        <w:pStyle w:val="6"/>
        <w:spacing w:before="156" w:beforeLines="50"/>
        <w:rPr>
          <w:sz w:val="24"/>
          <w:szCs w:val="24"/>
        </w:rPr>
      </w:pPr>
      <w:r>
        <w:rPr>
          <w:rFonts w:hint="eastAsia"/>
          <w:sz w:val="24"/>
          <w:szCs w:val="24"/>
        </w:rPr>
        <w:t>4.6.3.2.2改进与创新活动的实施、测量与评价</w:t>
      </w:r>
    </w:p>
    <w:p w14:paraId="1FE92ED8">
      <w:pPr>
        <w:spacing w:line="360" w:lineRule="auto"/>
        <w:outlineLvl w:val="0"/>
        <w:rPr>
          <w:rFonts w:ascii="宋体" w:hAnsi="宋体"/>
          <w:b/>
          <w:bCs/>
        </w:rPr>
      </w:pPr>
      <w:bookmarkStart w:id="63" w:name="_Toc99720442"/>
      <w:r>
        <w:rPr>
          <w:rFonts w:hint="eastAsia" w:ascii="宋体" w:hAnsi="宋体"/>
          <w:b/>
          <w:bCs/>
        </w:rPr>
        <w:t>a）</w:t>
      </w:r>
      <w:r>
        <w:rPr>
          <w:rFonts w:ascii="宋体" w:hAnsi="宋体"/>
          <w:b/>
          <w:bCs/>
        </w:rPr>
        <w:t>改进与创新活动</w:t>
      </w:r>
      <w:r>
        <w:rPr>
          <w:rFonts w:hint="eastAsia" w:ascii="宋体" w:hAnsi="宋体"/>
          <w:b/>
          <w:bCs/>
        </w:rPr>
        <w:t>的</w:t>
      </w:r>
      <w:r>
        <w:rPr>
          <w:rFonts w:ascii="宋体" w:hAnsi="宋体"/>
          <w:b/>
          <w:bCs/>
        </w:rPr>
        <w:t>实施</w:t>
      </w:r>
      <w:r>
        <w:rPr>
          <w:rFonts w:hint="eastAsia" w:ascii="宋体" w:hAnsi="宋体"/>
          <w:b/>
          <w:bCs/>
        </w:rPr>
        <w:t>、</w:t>
      </w:r>
      <w:r>
        <w:rPr>
          <w:rFonts w:ascii="宋体" w:hAnsi="宋体"/>
          <w:b/>
          <w:bCs/>
        </w:rPr>
        <w:t>测量</w:t>
      </w:r>
      <w:bookmarkEnd w:id="63"/>
    </w:p>
    <w:p w14:paraId="4FB6CE8A">
      <w:pPr>
        <w:spacing w:line="360" w:lineRule="auto"/>
        <w:ind w:firstLine="480" w:firstLineChars="200"/>
        <w:rPr>
          <w:rFonts w:ascii="宋体" w:hAnsi="宋体"/>
        </w:rPr>
      </w:pPr>
      <w:r>
        <w:rPr>
          <w:rFonts w:hint="eastAsia" w:ascii="宋体" w:hAnsi="宋体"/>
        </w:rPr>
        <w:t>公司引进各种科学、专业的改进工具，如通过8D等工具，并结合各工具的优缺点建立一套系统改进方法。</w:t>
      </w:r>
    </w:p>
    <w:p w14:paraId="331E5535">
      <w:pPr>
        <w:spacing w:line="360" w:lineRule="auto"/>
        <w:ind w:firstLine="480" w:firstLineChars="200"/>
        <w:rPr>
          <w:rFonts w:ascii="宋体" w:hAnsi="宋体"/>
        </w:rPr>
      </w:pPr>
      <w:r>
        <w:rPr>
          <w:rFonts w:hint="eastAsia" w:ascii="宋体" w:hAnsi="宋体"/>
        </w:rPr>
        <w:t>信息化方面，公司采用</w:t>
      </w:r>
      <w:r>
        <w:rPr>
          <w:rFonts w:hint="eastAsia" w:ascii="宋体" w:hAnsi="宋体"/>
          <w:lang w:eastAsia="zh-CN"/>
        </w:rPr>
        <w:t>财物管理</w:t>
      </w:r>
      <w:r>
        <w:rPr>
          <w:rFonts w:hint="eastAsia" w:ascii="宋体" w:hAnsi="宋体"/>
        </w:rPr>
        <w:t>系统以支持改进和创新活动，使用问题解决清单等方式对改进和创新活动进度进行跟踪和验证。</w:t>
      </w:r>
    </w:p>
    <w:p w14:paraId="2DB79A43">
      <w:pPr>
        <w:spacing w:line="360" w:lineRule="auto"/>
        <w:ind w:firstLine="480" w:firstLineChars="200"/>
        <w:rPr>
          <w:rFonts w:ascii="宋体" w:hAnsi="宋体"/>
        </w:rPr>
      </w:pPr>
      <w:r>
        <w:rPr>
          <w:rFonts w:hint="eastAsia" w:ascii="宋体" w:hAnsi="宋体"/>
        </w:rPr>
        <w:t>公司还</w:t>
      </w:r>
      <w:r>
        <w:rPr>
          <w:rFonts w:ascii="宋体" w:hAnsi="宋体"/>
        </w:rPr>
        <w:t>采用形式多样的管理手段和措施确保改进与创新活动的实施、跟进和监测，</w:t>
      </w:r>
      <w:r>
        <w:rPr>
          <w:rFonts w:hint="eastAsia" w:ascii="宋体" w:hAnsi="宋体"/>
        </w:rPr>
        <w:t>见表</w:t>
      </w:r>
      <w:r>
        <w:rPr>
          <w:rFonts w:ascii="宋体" w:hAnsi="宋体"/>
        </w:rPr>
        <w:t>4.6</w:t>
      </w:r>
      <w:r>
        <w:rPr>
          <w:rFonts w:hint="eastAsia" w:ascii="宋体" w:hAnsi="宋体"/>
        </w:rPr>
        <w:t>.3-3</w:t>
      </w:r>
      <w:r>
        <w:rPr>
          <w:rFonts w:ascii="宋体" w:hAnsi="宋体"/>
        </w:rPr>
        <w:t>。</w:t>
      </w:r>
    </w:p>
    <w:p w14:paraId="77A5C52B">
      <w:pPr>
        <w:spacing w:line="360" w:lineRule="auto"/>
        <w:ind w:firstLine="422" w:firstLineChars="200"/>
        <w:jc w:val="center"/>
        <w:rPr>
          <w:rFonts w:ascii="黑体" w:hAnsi="黑体" w:eastAsia="黑体"/>
          <w:b/>
          <w:sz w:val="21"/>
          <w:szCs w:val="21"/>
        </w:rPr>
      </w:pPr>
    </w:p>
    <w:p w14:paraId="2D89F1BE">
      <w:pPr>
        <w:spacing w:line="360" w:lineRule="auto"/>
        <w:ind w:firstLine="422" w:firstLineChars="200"/>
        <w:jc w:val="center"/>
        <w:rPr>
          <w:rFonts w:ascii="黑体" w:hAnsi="黑体" w:eastAsia="黑体"/>
          <w:b/>
          <w:sz w:val="21"/>
          <w:szCs w:val="21"/>
        </w:rPr>
      </w:pPr>
      <w:r>
        <w:rPr>
          <w:rFonts w:ascii="黑体" w:hAnsi="黑体" w:eastAsia="黑体"/>
          <w:b/>
          <w:sz w:val="21"/>
          <w:szCs w:val="21"/>
        </w:rPr>
        <w:t>表4.6</w:t>
      </w:r>
      <w:r>
        <w:rPr>
          <w:rFonts w:hint="eastAsia" w:ascii="黑体" w:hAnsi="黑体" w:eastAsia="黑体"/>
          <w:b/>
          <w:sz w:val="21"/>
          <w:szCs w:val="21"/>
        </w:rPr>
        <w:t>.3</w:t>
      </w:r>
      <w:r>
        <w:rPr>
          <w:rFonts w:ascii="黑体" w:hAnsi="黑体" w:eastAsia="黑体"/>
          <w:b/>
          <w:sz w:val="21"/>
          <w:szCs w:val="21"/>
        </w:rPr>
        <w:t>-</w:t>
      </w:r>
      <w:r>
        <w:rPr>
          <w:rFonts w:hint="eastAsia" w:ascii="黑体" w:hAnsi="黑体" w:eastAsia="黑体"/>
          <w:b/>
          <w:sz w:val="21"/>
          <w:szCs w:val="21"/>
        </w:rPr>
        <w:t>3</w:t>
      </w:r>
      <w:r>
        <w:rPr>
          <w:rFonts w:ascii="黑体" w:hAnsi="黑体" w:eastAsia="黑体"/>
          <w:b/>
          <w:sz w:val="21"/>
          <w:szCs w:val="21"/>
        </w:rPr>
        <w:t xml:space="preserve"> 改进的实施和监测方法</w:t>
      </w:r>
    </w:p>
    <w:tbl>
      <w:tblPr>
        <w:tblStyle w:val="22"/>
        <w:tblW w:w="4999"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2747"/>
        <w:gridCol w:w="4764"/>
        <w:gridCol w:w="2063"/>
      </w:tblGrid>
      <w:tr w14:paraId="7D1002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434" w:type="pct"/>
            <w:tcBorders>
              <w:top w:val="double" w:color="auto" w:sz="4" w:space="0"/>
              <w:bottom w:val="single" w:color="auto" w:sz="6" w:space="0"/>
            </w:tcBorders>
            <w:shd w:val="clear" w:color="auto" w:fill="948A54"/>
            <w:vAlign w:val="center"/>
          </w:tcPr>
          <w:p w14:paraId="200BC7E3">
            <w:pPr>
              <w:jc w:val="center"/>
              <w:rPr>
                <w:rFonts w:ascii="宋体" w:hAnsi="宋体"/>
                <w:b/>
                <w:color w:val="FFFFFF"/>
                <w:kern w:val="2"/>
                <w:sz w:val="21"/>
                <w:szCs w:val="21"/>
              </w:rPr>
            </w:pPr>
            <w:r>
              <w:rPr>
                <w:rFonts w:hint="eastAsia" w:ascii="宋体" w:hAnsi="宋体"/>
                <w:b/>
                <w:color w:val="FFFFFF"/>
                <w:kern w:val="2"/>
                <w:sz w:val="21"/>
                <w:szCs w:val="21"/>
              </w:rPr>
              <w:t>改进和创新方法</w:t>
            </w:r>
          </w:p>
        </w:tc>
        <w:tc>
          <w:tcPr>
            <w:tcW w:w="2487" w:type="pct"/>
            <w:tcBorders>
              <w:top w:val="double" w:color="auto" w:sz="4" w:space="0"/>
              <w:bottom w:val="single" w:color="auto" w:sz="6" w:space="0"/>
            </w:tcBorders>
            <w:shd w:val="clear" w:color="auto" w:fill="948A54"/>
            <w:vAlign w:val="center"/>
          </w:tcPr>
          <w:p w14:paraId="7F001C56">
            <w:pPr>
              <w:jc w:val="center"/>
              <w:rPr>
                <w:rFonts w:ascii="宋体" w:hAnsi="宋体"/>
                <w:b/>
                <w:color w:val="FFFFFF"/>
                <w:kern w:val="2"/>
                <w:sz w:val="21"/>
                <w:szCs w:val="21"/>
              </w:rPr>
            </w:pPr>
            <w:r>
              <w:rPr>
                <w:rFonts w:hint="eastAsia" w:ascii="宋体" w:hAnsi="宋体"/>
                <w:b/>
                <w:color w:val="FFFFFF"/>
                <w:kern w:val="2"/>
                <w:sz w:val="21"/>
                <w:szCs w:val="21"/>
              </w:rPr>
              <w:t>实施概要</w:t>
            </w:r>
          </w:p>
        </w:tc>
        <w:tc>
          <w:tcPr>
            <w:tcW w:w="1077" w:type="pct"/>
            <w:tcBorders>
              <w:top w:val="double" w:color="auto" w:sz="4" w:space="0"/>
              <w:bottom w:val="single" w:color="auto" w:sz="6" w:space="0"/>
            </w:tcBorders>
            <w:shd w:val="clear" w:color="auto" w:fill="948A54"/>
            <w:vAlign w:val="center"/>
          </w:tcPr>
          <w:p w14:paraId="424C1D62">
            <w:pPr>
              <w:jc w:val="center"/>
              <w:rPr>
                <w:rFonts w:ascii="宋体" w:hAnsi="宋体"/>
                <w:b/>
                <w:color w:val="FFFFFF"/>
                <w:kern w:val="2"/>
                <w:sz w:val="21"/>
                <w:szCs w:val="21"/>
              </w:rPr>
            </w:pPr>
            <w:r>
              <w:rPr>
                <w:rFonts w:hint="eastAsia" w:ascii="宋体" w:hAnsi="宋体"/>
                <w:b/>
                <w:color w:val="FFFFFF"/>
                <w:kern w:val="2"/>
                <w:sz w:val="21"/>
                <w:szCs w:val="21"/>
              </w:rPr>
              <w:t>监测方法</w:t>
            </w:r>
          </w:p>
        </w:tc>
      </w:tr>
      <w:tr w14:paraId="2B876D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2" w:hRule="atLeast"/>
          <w:jc w:val="center"/>
        </w:trPr>
        <w:tc>
          <w:tcPr>
            <w:tcW w:w="1434" w:type="pct"/>
            <w:vMerge w:val="restart"/>
            <w:tcBorders>
              <w:top w:val="single" w:color="auto" w:sz="6" w:space="0"/>
            </w:tcBorders>
            <w:vAlign w:val="center"/>
          </w:tcPr>
          <w:p w14:paraId="6A2DA6EA">
            <w:pPr>
              <w:jc w:val="center"/>
              <w:rPr>
                <w:rFonts w:ascii="宋体" w:hAnsi="宋体" w:cs="宋体"/>
                <w:kern w:val="2"/>
                <w:sz w:val="21"/>
                <w:szCs w:val="21"/>
              </w:rPr>
            </w:pPr>
            <w:r>
              <w:rPr>
                <w:rFonts w:ascii="宋体" w:hAnsi="宋体"/>
                <w:kern w:val="2"/>
                <w:sz w:val="21"/>
                <w:szCs w:val="21"/>
              </w:rPr>
              <w:t>日常决策改进</w:t>
            </w:r>
          </w:p>
        </w:tc>
        <w:tc>
          <w:tcPr>
            <w:tcW w:w="2487" w:type="pct"/>
            <w:tcBorders>
              <w:top w:val="single" w:color="auto" w:sz="6" w:space="0"/>
            </w:tcBorders>
            <w:vAlign w:val="center"/>
          </w:tcPr>
          <w:p w14:paraId="7469486E">
            <w:pPr>
              <w:rPr>
                <w:rFonts w:ascii="宋体" w:hAnsi="宋体" w:cs="宋体"/>
                <w:kern w:val="2"/>
                <w:sz w:val="21"/>
                <w:szCs w:val="21"/>
              </w:rPr>
            </w:pPr>
            <w:r>
              <w:rPr>
                <w:rFonts w:hint="eastAsia" w:ascii="宋体" w:hAnsi="宋体" w:cs="宋体"/>
                <w:kern w:val="2"/>
                <w:sz w:val="21"/>
                <w:szCs w:val="21"/>
              </w:rPr>
              <w:t>通过外部审核、定期内部审核、内部监督活动，发现问题，并实施改进</w:t>
            </w:r>
          </w:p>
        </w:tc>
        <w:tc>
          <w:tcPr>
            <w:tcW w:w="1077" w:type="pct"/>
            <w:tcBorders>
              <w:top w:val="single" w:color="auto" w:sz="6" w:space="0"/>
            </w:tcBorders>
            <w:vAlign w:val="center"/>
          </w:tcPr>
          <w:p w14:paraId="060C939C">
            <w:pPr>
              <w:rPr>
                <w:rFonts w:ascii="宋体" w:hAnsi="宋体" w:cs="宋体"/>
                <w:kern w:val="2"/>
                <w:sz w:val="21"/>
                <w:szCs w:val="21"/>
              </w:rPr>
            </w:pPr>
            <w:r>
              <w:rPr>
                <w:rFonts w:hint="eastAsia" w:ascii="宋体" w:hAnsi="宋体" w:cs="宋体"/>
                <w:kern w:val="2"/>
                <w:sz w:val="21"/>
                <w:szCs w:val="21"/>
              </w:rPr>
              <w:t>跟踪检查</w:t>
            </w:r>
          </w:p>
        </w:tc>
      </w:tr>
      <w:tr w14:paraId="0B24B4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 w:hRule="atLeast"/>
          <w:jc w:val="center"/>
        </w:trPr>
        <w:tc>
          <w:tcPr>
            <w:tcW w:w="1434" w:type="pct"/>
            <w:vMerge w:val="continue"/>
            <w:vAlign w:val="center"/>
          </w:tcPr>
          <w:p w14:paraId="0586C9C2">
            <w:pPr>
              <w:jc w:val="center"/>
              <w:rPr>
                <w:rFonts w:ascii="宋体" w:hAnsi="宋体" w:cs="宋体"/>
                <w:kern w:val="2"/>
                <w:sz w:val="21"/>
                <w:szCs w:val="21"/>
              </w:rPr>
            </w:pPr>
          </w:p>
        </w:tc>
        <w:tc>
          <w:tcPr>
            <w:tcW w:w="2487" w:type="pct"/>
            <w:vAlign w:val="center"/>
          </w:tcPr>
          <w:p w14:paraId="1EF6D765">
            <w:pPr>
              <w:rPr>
                <w:rFonts w:ascii="宋体" w:hAnsi="宋体" w:cs="宋体"/>
                <w:kern w:val="2"/>
                <w:sz w:val="21"/>
                <w:szCs w:val="21"/>
              </w:rPr>
            </w:pPr>
            <w:r>
              <w:rPr>
                <w:rFonts w:hint="eastAsia" w:ascii="宋体" w:hAnsi="宋体" w:cs="宋体"/>
                <w:kern w:val="2"/>
                <w:sz w:val="21"/>
                <w:szCs w:val="21"/>
              </w:rPr>
              <w:t>通过定期管理例会，年度管理评审，确定重要的需要改进方面</w:t>
            </w:r>
          </w:p>
        </w:tc>
        <w:tc>
          <w:tcPr>
            <w:tcW w:w="1077" w:type="pct"/>
            <w:vAlign w:val="center"/>
          </w:tcPr>
          <w:p w14:paraId="7EB1EED7">
            <w:pPr>
              <w:rPr>
                <w:rFonts w:ascii="宋体" w:hAnsi="宋体" w:cs="宋体"/>
                <w:kern w:val="2"/>
                <w:sz w:val="21"/>
                <w:szCs w:val="21"/>
              </w:rPr>
            </w:pPr>
            <w:r>
              <w:rPr>
                <w:rFonts w:hint="eastAsia" w:ascii="宋体" w:hAnsi="宋体" w:cs="宋体"/>
                <w:kern w:val="2"/>
                <w:sz w:val="21"/>
                <w:szCs w:val="21"/>
              </w:rPr>
              <w:t>跟踪验证</w:t>
            </w:r>
          </w:p>
        </w:tc>
      </w:tr>
      <w:tr w14:paraId="6A5803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 w:hRule="atLeast"/>
          <w:jc w:val="center"/>
        </w:trPr>
        <w:tc>
          <w:tcPr>
            <w:tcW w:w="1434" w:type="pct"/>
            <w:vMerge w:val="continue"/>
            <w:vAlign w:val="center"/>
          </w:tcPr>
          <w:p w14:paraId="1A25D41A">
            <w:pPr>
              <w:jc w:val="center"/>
              <w:rPr>
                <w:rFonts w:ascii="宋体" w:hAnsi="宋体" w:cs="宋体"/>
                <w:kern w:val="2"/>
                <w:sz w:val="21"/>
                <w:szCs w:val="21"/>
              </w:rPr>
            </w:pPr>
          </w:p>
        </w:tc>
        <w:tc>
          <w:tcPr>
            <w:tcW w:w="2487" w:type="pct"/>
            <w:vAlign w:val="center"/>
          </w:tcPr>
          <w:p w14:paraId="3846B307">
            <w:pPr>
              <w:rPr>
                <w:rFonts w:ascii="宋体" w:hAnsi="宋体" w:cs="宋体"/>
                <w:kern w:val="2"/>
                <w:sz w:val="21"/>
                <w:szCs w:val="21"/>
              </w:rPr>
            </w:pPr>
            <w:r>
              <w:rPr>
                <w:rFonts w:hint="eastAsia" w:ascii="宋体" w:hAnsi="宋体" w:cs="宋体"/>
                <w:kern w:val="2"/>
                <w:sz w:val="21"/>
                <w:szCs w:val="21"/>
              </w:rPr>
              <w:t>顾客反馈、走访和满意度调查</w:t>
            </w:r>
          </w:p>
        </w:tc>
        <w:tc>
          <w:tcPr>
            <w:tcW w:w="1077" w:type="pct"/>
            <w:vAlign w:val="center"/>
          </w:tcPr>
          <w:p w14:paraId="0B4ED542">
            <w:pPr>
              <w:rPr>
                <w:rFonts w:ascii="宋体" w:hAnsi="宋体" w:cs="宋体"/>
                <w:kern w:val="2"/>
                <w:sz w:val="21"/>
                <w:szCs w:val="21"/>
              </w:rPr>
            </w:pPr>
            <w:r>
              <w:rPr>
                <w:rFonts w:hint="eastAsia" w:ascii="宋体" w:hAnsi="宋体" w:cs="宋体"/>
                <w:kern w:val="2"/>
                <w:sz w:val="21"/>
                <w:szCs w:val="21"/>
              </w:rPr>
              <w:t>责任部门落实</w:t>
            </w:r>
          </w:p>
        </w:tc>
      </w:tr>
      <w:tr w14:paraId="75BD88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 w:hRule="atLeast"/>
          <w:jc w:val="center"/>
        </w:trPr>
        <w:tc>
          <w:tcPr>
            <w:tcW w:w="1434" w:type="pct"/>
            <w:vMerge w:val="continue"/>
            <w:vAlign w:val="center"/>
          </w:tcPr>
          <w:p w14:paraId="4D9B1806">
            <w:pPr>
              <w:jc w:val="center"/>
              <w:rPr>
                <w:rFonts w:ascii="宋体" w:hAnsi="宋体" w:cs="宋体"/>
                <w:kern w:val="2"/>
                <w:sz w:val="21"/>
                <w:szCs w:val="21"/>
              </w:rPr>
            </w:pPr>
          </w:p>
        </w:tc>
        <w:tc>
          <w:tcPr>
            <w:tcW w:w="2487" w:type="pct"/>
            <w:vAlign w:val="center"/>
          </w:tcPr>
          <w:p w14:paraId="51F58D39">
            <w:pPr>
              <w:rPr>
                <w:rFonts w:ascii="宋体" w:hAnsi="宋体" w:cs="宋体"/>
                <w:kern w:val="2"/>
                <w:sz w:val="21"/>
                <w:szCs w:val="21"/>
              </w:rPr>
            </w:pPr>
            <w:r>
              <w:rPr>
                <w:rFonts w:hint="eastAsia" w:ascii="宋体" w:hAnsi="宋体" w:cs="宋体"/>
                <w:kern w:val="2"/>
                <w:sz w:val="21"/>
                <w:szCs w:val="21"/>
              </w:rPr>
              <w:t>部门间联系</w:t>
            </w:r>
          </w:p>
        </w:tc>
        <w:tc>
          <w:tcPr>
            <w:tcW w:w="1077" w:type="pct"/>
            <w:vAlign w:val="center"/>
          </w:tcPr>
          <w:p w14:paraId="5437A4E3">
            <w:pPr>
              <w:rPr>
                <w:rFonts w:ascii="宋体" w:hAnsi="宋体" w:cs="宋体"/>
                <w:kern w:val="2"/>
                <w:sz w:val="21"/>
                <w:szCs w:val="21"/>
              </w:rPr>
            </w:pPr>
            <w:r>
              <w:rPr>
                <w:rFonts w:hint="eastAsia" w:ascii="宋体" w:hAnsi="宋体" w:cs="宋体"/>
                <w:kern w:val="2"/>
                <w:sz w:val="21"/>
                <w:szCs w:val="21"/>
              </w:rPr>
              <w:t>责任部门落实</w:t>
            </w:r>
          </w:p>
        </w:tc>
      </w:tr>
      <w:tr w14:paraId="731FBD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 w:hRule="atLeast"/>
          <w:jc w:val="center"/>
        </w:trPr>
        <w:tc>
          <w:tcPr>
            <w:tcW w:w="1434" w:type="pct"/>
            <w:vMerge w:val="continue"/>
            <w:vAlign w:val="center"/>
          </w:tcPr>
          <w:p w14:paraId="03382516">
            <w:pPr>
              <w:jc w:val="center"/>
              <w:rPr>
                <w:rFonts w:ascii="宋体" w:hAnsi="宋体" w:cs="宋体"/>
                <w:kern w:val="2"/>
                <w:sz w:val="21"/>
                <w:szCs w:val="21"/>
              </w:rPr>
            </w:pPr>
          </w:p>
        </w:tc>
        <w:tc>
          <w:tcPr>
            <w:tcW w:w="2487" w:type="pct"/>
            <w:vAlign w:val="center"/>
          </w:tcPr>
          <w:p w14:paraId="1BF36348">
            <w:pPr>
              <w:rPr>
                <w:rFonts w:ascii="宋体" w:hAnsi="宋体" w:cs="宋体"/>
                <w:kern w:val="2"/>
                <w:sz w:val="21"/>
                <w:szCs w:val="21"/>
              </w:rPr>
            </w:pPr>
            <w:r>
              <w:rPr>
                <w:rFonts w:ascii="宋体" w:hAnsi="宋体" w:cs="宋体"/>
                <w:kern w:val="2"/>
                <w:sz w:val="21"/>
                <w:szCs w:val="21"/>
              </w:rPr>
              <w:t>Q</w:t>
            </w:r>
            <w:r>
              <w:rPr>
                <w:rFonts w:hint="eastAsia" w:ascii="宋体" w:hAnsi="宋体" w:cs="宋体"/>
                <w:kern w:val="2"/>
                <w:sz w:val="21"/>
                <w:szCs w:val="21"/>
              </w:rPr>
              <w:t>CC活动</w:t>
            </w:r>
          </w:p>
        </w:tc>
        <w:tc>
          <w:tcPr>
            <w:tcW w:w="1077" w:type="pct"/>
            <w:vAlign w:val="center"/>
          </w:tcPr>
          <w:p w14:paraId="63349407">
            <w:pPr>
              <w:rPr>
                <w:rFonts w:ascii="宋体" w:hAnsi="宋体" w:cs="宋体"/>
                <w:kern w:val="2"/>
                <w:sz w:val="21"/>
                <w:szCs w:val="21"/>
              </w:rPr>
            </w:pPr>
            <w:r>
              <w:rPr>
                <w:rFonts w:hint="eastAsia" w:ascii="宋体" w:hAnsi="宋体" w:cs="宋体"/>
                <w:kern w:val="2"/>
                <w:sz w:val="21"/>
                <w:szCs w:val="21"/>
              </w:rPr>
              <w:t>优化效果评估</w:t>
            </w:r>
          </w:p>
        </w:tc>
      </w:tr>
      <w:tr w14:paraId="033718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 w:hRule="atLeast"/>
          <w:jc w:val="center"/>
        </w:trPr>
        <w:tc>
          <w:tcPr>
            <w:tcW w:w="1434" w:type="pct"/>
            <w:vAlign w:val="center"/>
          </w:tcPr>
          <w:p w14:paraId="23AF828E">
            <w:pPr>
              <w:jc w:val="center"/>
              <w:rPr>
                <w:rFonts w:ascii="宋体" w:hAnsi="宋体" w:cs="宋体"/>
                <w:kern w:val="2"/>
                <w:sz w:val="21"/>
                <w:szCs w:val="21"/>
              </w:rPr>
            </w:pPr>
            <w:r>
              <w:rPr>
                <w:rFonts w:hint="eastAsia" w:ascii="宋体" w:hAnsi="宋体" w:cs="宋体"/>
                <w:kern w:val="2"/>
                <w:sz w:val="21"/>
                <w:szCs w:val="21"/>
              </w:rPr>
              <w:t>流程优化</w:t>
            </w:r>
          </w:p>
        </w:tc>
        <w:tc>
          <w:tcPr>
            <w:tcW w:w="2487" w:type="pct"/>
            <w:vAlign w:val="center"/>
          </w:tcPr>
          <w:p w14:paraId="1F30543C">
            <w:pPr>
              <w:rPr>
                <w:rFonts w:ascii="宋体" w:hAnsi="宋体" w:cs="宋体"/>
                <w:kern w:val="2"/>
                <w:sz w:val="21"/>
                <w:szCs w:val="21"/>
              </w:rPr>
            </w:pPr>
            <w:r>
              <w:rPr>
                <w:rFonts w:hint="eastAsia" w:ascii="宋体" w:hAnsi="宋体" w:cs="宋体"/>
                <w:kern w:val="2"/>
                <w:sz w:val="21"/>
                <w:szCs w:val="21"/>
              </w:rPr>
              <w:t>检测流程是否合理，注重流程效率提升和成本降低</w:t>
            </w:r>
          </w:p>
        </w:tc>
        <w:tc>
          <w:tcPr>
            <w:tcW w:w="1077" w:type="pct"/>
            <w:vAlign w:val="center"/>
          </w:tcPr>
          <w:p w14:paraId="1C1C42B0">
            <w:pPr>
              <w:rPr>
                <w:rFonts w:ascii="宋体" w:hAnsi="宋体" w:cs="宋体"/>
                <w:kern w:val="2"/>
                <w:sz w:val="21"/>
                <w:szCs w:val="21"/>
              </w:rPr>
            </w:pPr>
            <w:r>
              <w:rPr>
                <w:rFonts w:hint="eastAsia" w:ascii="宋体" w:hAnsi="宋体" w:cs="宋体"/>
                <w:kern w:val="2"/>
                <w:sz w:val="21"/>
                <w:szCs w:val="21"/>
              </w:rPr>
              <w:t>优化效果评估</w:t>
            </w:r>
          </w:p>
        </w:tc>
      </w:tr>
      <w:tr w14:paraId="391FEF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 w:hRule="atLeast"/>
          <w:jc w:val="center"/>
        </w:trPr>
        <w:tc>
          <w:tcPr>
            <w:tcW w:w="1434" w:type="pct"/>
            <w:vAlign w:val="center"/>
          </w:tcPr>
          <w:p w14:paraId="73C51943">
            <w:pPr>
              <w:jc w:val="center"/>
              <w:rPr>
                <w:rFonts w:ascii="宋体" w:hAnsi="宋体" w:cs="宋体"/>
                <w:kern w:val="2"/>
                <w:sz w:val="21"/>
                <w:szCs w:val="21"/>
              </w:rPr>
            </w:pPr>
            <w:r>
              <w:rPr>
                <w:rFonts w:hint="eastAsia" w:ascii="宋体" w:hAnsi="宋体" w:cs="宋体"/>
                <w:kern w:val="2"/>
                <w:sz w:val="21"/>
                <w:szCs w:val="21"/>
              </w:rPr>
              <w:t>过程改进</w:t>
            </w:r>
          </w:p>
        </w:tc>
        <w:tc>
          <w:tcPr>
            <w:tcW w:w="2487" w:type="pct"/>
            <w:vAlign w:val="center"/>
          </w:tcPr>
          <w:p w14:paraId="6B670A43">
            <w:pPr>
              <w:rPr>
                <w:rFonts w:ascii="宋体" w:hAnsi="宋体" w:cs="宋体"/>
                <w:kern w:val="2"/>
                <w:sz w:val="21"/>
                <w:szCs w:val="21"/>
              </w:rPr>
            </w:pPr>
            <w:r>
              <w:rPr>
                <w:rFonts w:hint="eastAsia" w:ascii="宋体" w:hAnsi="宋体" w:cs="宋体"/>
                <w:kern w:val="2"/>
                <w:sz w:val="21"/>
                <w:szCs w:val="21"/>
              </w:rPr>
              <w:t>通过立项、改进、跟踪、落实，提高效率</w:t>
            </w:r>
          </w:p>
        </w:tc>
        <w:tc>
          <w:tcPr>
            <w:tcW w:w="1077" w:type="pct"/>
            <w:vAlign w:val="center"/>
          </w:tcPr>
          <w:p w14:paraId="6B01A4E6">
            <w:pPr>
              <w:rPr>
                <w:rFonts w:ascii="宋体" w:hAnsi="宋体" w:cs="宋体"/>
                <w:kern w:val="2"/>
                <w:sz w:val="21"/>
                <w:szCs w:val="21"/>
              </w:rPr>
            </w:pPr>
            <w:r>
              <w:rPr>
                <w:rFonts w:hint="eastAsia" w:ascii="宋体" w:hAnsi="宋体" w:cs="宋体"/>
                <w:kern w:val="2"/>
                <w:sz w:val="21"/>
                <w:szCs w:val="21"/>
              </w:rPr>
              <w:t>优化效果评估</w:t>
            </w:r>
          </w:p>
        </w:tc>
      </w:tr>
      <w:tr w14:paraId="6B4744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 w:hRule="atLeast"/>
          <w:jc w:val="center"/>
        </w:trPr>
        <w:tc>
          <w:tcPr>
            <w:tcW w:w="1434" w:type="pct"/>
            <w:vMerge w:val="restart"/>
            <w:vAlign w:val="center"/>
          </w:tcPr>
          <w:p w14:paraId="1931541C">
            <w:pPr>
              <w:jc w:val="center"/>
              <w:rPr>
                <w:rFonts w:ascii="宋体" w:hAnsi="宋体" w:cs="宋体"/>
                <w:kern w:val="2"/>
                <w:sz w:val="21"/>
                <w:szCs w:val="21"/>
              </w:rPr>
            </w:pPr>
            <w:r>
              <w:rPr>
                <w:rFonts w:hint="eastAsia" w:ascii="宋体" w:hAnsi="宋体" w:cs="宋体"/>
                <w:kern w:val="2"/>
                <w:sz w:val="21"/>
                <w:szCs w:val="21"/>
              </w:rPr>
              <w:t>群众性质量管理活动</w:t>
            </w:r>
          </w:p>
        </w:tc>
        <w:tc>
          <w:tcPr>
            <w:tcW w:w="2487" w:type="pct"/>
            <w:vAlign w:val="center"/>
          </w:tcPr>
          <w:p w14:paraId="14748766">
            <w:pPr>
              <w:rPr>
                <w:rFonts w:ascii="宋体" w:hAnsi="宋体" w:cs="宋体"/>
                <w:kern w:val="2"/>
                <w:sz w:val="21"/>
                <w:szCs w:val="21"/>
              </w:rPr>
            </w:pPr>
            <w:r>
              <w:rPr>
                <w:rFonts w:hint="eastAsia" w:ascii="宋体" w:hAnsi="宋体" w:cs="宋体"/>
                <w:kern w:val="2"/>
                <w:sz w:val="21"/>
                <w:szCs w:val="21"/>
              </w:rPr>
              <w:t>通过合理化建议，提升管理水平</w:t>
            </w:r>
          </w:p>
        </w:tc>
        <w:tc>
          <w:tcPr>
            <w:tcW w:w="1077" w:type="pct"/>
            <w:vAlign w:val="center"/>
          </w:tcPr>
          <w:p w14:paraId="557B03A2">
            <w:pPr>
              <w:rPr>
                <w:rFonts w:ascii="宋体" w:hAnsi="宋体" w:cs="宋体"/>
                <w:kern w:val="2"/>
                <w:sz w:val="21"/>
                <w:szCs w:val="21"/>
              </w:rPr>
            </w:pPr>
            <w:r>
              <w:rPr>
                <w:rFonts w:hint="eastAsia" w:ascii="宋体" w:hAnsi="宋体" w:cs="宋体"/>
                <w:kern w:val="2"/>
                <w:sz w:val="21"/>
                <w:szCs w:val="21"/>
              </w:rPr>
              <w:t>落实，评估</w:t>
            </w:r>
          </w:p>
        </w:tc>
      </w:tr>
      <w:tr w14:paraId="39BAA0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 w:hRule="atLeast"/>
          <w:jc w:val="center"/>
        </w:trPr>
        <w:tc>
          <w:tcPr>
            <w:tcW w:w="1434" w:type="pct"/>
            <w:vMerge w:val="continue"/>
            <w:vAlign w:val="center"/>
          </w:tcPr>
          <w:p w14:paraId="28275C58">
            <w:pPr>
              <w:jc w:val="center"/>
              <w:rPr>
                <w:rFonts w:ascii="宋体" w:hAnsi="宋体" w:cs="宋体"/>
                <w:kern w:val="2"/>
                <w:sz w:val="21"/>
                <w:szCs w:val="21"/>
              </w:rPr>
            </w:pPr>
          </w:p>
        </w:tc>
        <w:tc>
          <w:tcPr>
            <w:tcW w:w="2487" w:type="pct"/>
            <w:vAlign w:val="center"/>
          </w:tcPr>
          <w:p w14:paraId="090E56CB">
            <w:pPr>
              <w:rPr>
                <w:rFonts w:ascii="宋体" w:hAnsi="宋体" w:cs="宋体"/>
                <w:kern w:val="2"/>
                <w:sz w:val="21"/>
                <w:szCs w:val="21"/>
              </w:rPr>
            </w:pPr>
            <w:r>
              <w:rPr>
                <w:rFonts w:hint="eastAsia" w:ascii="宋体" w:hAnsi="宋体" w:cs="宋体"/>
                <w:kern w:val="2"/>
                <w:sz w:val="21"/>
                <w:szCs w:val="21"/>
              </w:rPr>
              <w:t>6S管理</w:t>
            </w:r>
          </w:p>
        </w:tc>
        <w:tc>
          <w:tcPr>
            <w:tcW w:w="1077" w:type="pct"/>
            <w:vAlign w:val="center"/>
          </w:tcPr>
          <w:p w14:paraId="06244D6A">
            <w:pPr>
              <w:rPr>
                <w:rFonts w:ascii="宋体" w:hAnsi="宋体" w:cs="宋体"/>
                <w:kern w:val="2"/>
                <w:sz w:val="21"/>
                <w:szCs w:val="21"/>
              </w:rPr>
            </w:pPr>
            <w:r>
              <w:rPr>
                <w:rFonts w:hint="eastAsia" w:ascii="宋体" w:hAnsi="宋体" w:cs="宋体"/>
                <w:kern w:val="2"/>
                <w:sz w:val="21"/>
                <w:szCs w:val="21"/>
              </w:rPr>
              <w:t>落实，评估</w:t>
            </w:r>
          </w:p>
        </w:tc>
      </w:tr>
      <w:tr w14:paraId="6AF0F9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1434" w:type="pct"/>
            <w:vAlign w:val="center"/>
          </w:tcPr>
          <w:p w14:paraId="47B28CB3">
            <w:pPr>
              <w:jc w:val="center"/>
              <w:rPr>
                <w:rFonts w:ascii="宋体" w:hAnsi="宋体" w:cs="宋体"/>
                <w:kern w:val="2"/>
                <w:sz w:val="21"/>
                <w:szCs w:val="21"/>
              </w:rPr>
            </w:pPr>
            <w:r>
              <w:rPr>
                <w:rFonts w:hint="eastAsia" w:ascii="宋体" w:hAnsi="宋体" w:cs="宋体"/>
                <w:kern w:val="2"/>
                <w:sz w:val="21"/>
                <w:szCs w:val="21"/>
              </w:rPr>
              <w:t>技术创新和攻关</w:t>
            </w:r>
          </w:p>
        </w:tc>
        <w:tc>
          <w:tcPr>
            <w:tcW w:w="2487" w:type="pct"/>
            <w:vAlign w:val="center"/>
          </w:tcPr>
          <w:p w14:paraId="27CC7AEE">
            <w:pPr>
              <w:rPr>
                <w:rFonts w:ascii="宋体" w:hAnsi="宋体" w:cs="宋体"/>
                <w:kern w:val="2"/>
                <w:sz w:val="21"/>
                <w:szCs w:val="21"/>
              </w:rPr>
            </w:pPr>
            <w:r>
              <w:rPr>
                <w:rFonts w:hint="eastAsia" w:ascii="宋体" w:hAnsi="宋体"/>
                <w:bCs/>
                <w:kern w:val="2"/>
                <w:sz w:val="21"/>
                <w:szCs w:val="21"/>
              </w:rPr>
              <w:t>新产品开发项目小组，改善提案</w:t>
            </w:r>
          </w:p>
        </w:tc>
        <w:tc>
          <w:tcPr>
            <w:tcW w:w="1077" w:type="pct"/>
            <w:vAlign w:val="center"/>
          </w:tcPr>
          <w:p w14:paraId="6A94D65F">
            <w:pPr>
              <w:rPr>
                <w:rFonts w:ascii="宋体" w:hAnsi="宋体" w:cs="宋体"/>
                <w:kern w:val="2"/>
                <w:sz w:val="21"/>
                <w:szCs w:val="21"/>
              </w:rPr>
            </w:pPr>
            <w:r>
              <w:rPr>
                <w:rFonts w:hint="eastAsia" w:ascii="宋体" w:hAnsi="宋体" w:cs="宋体"/>
                <w:kern w:val="2"/>
                <w:sz w:val="21"/>
                <w:szCs w:val="21"/>
              </w:rPr>
              <w:t>检测能力评估</w:t>
            </w:r>
          </w:p>
        </w:tc>
      </w:tr>
    </w:tbl>
    <w:p w14:paraId="39A11239">
      <w:pPr>
        <w:spacing w:before="156" w:beforeLines="50" w:line="360" w:lineRule="auto"/>
        <w:rPr>
          <w:rFonts w:ascii="宋体" w:hAnsi="宋体"/>
          <w:b/>
          <w:bCs/>
        </w:rPr>
      </w:pPr>
      <w:r>
        <w:rPr>
          <w:rFonts w:hint="eastAsia" w:ascii="宋体" w:hAnsi="宋体"/>
          <w:b/>
          <w:bCs/>
        </w:rPr>
        <w:t>b）</w:t>
      </w:r>
      <w:r>
        <w:rPr>
          <w:rFonts w:ascii="宋体" w:hAnsi="宋体"/>
          <w:b/>
          <w:bCs/>
        </w:rPr>
        <w:t>改进</w:t>
      </w:r>
      <w:r>
        <w:rPr>
          <w:rFonts w:hint="eastAsia" w:ascii="宋体" w:hAnsi="宋体"/>
          <w:b/>
          <w:bCs/>
        </w:rPr>
        <w:t>和创新的评价</w:t>
      </w:r>
    </w:p>
    <w:p w14:paraId="7344E374">
      <w:pPr>
        <w:spacing w:line="360" w:lineRule="auto"/>
        <w:ind w:firstLine="480" w:firstLineChars="200"/>
        <w:rPr>
          <w:rFonts w:ascii="宋体" w:hAnsi="宋体"/>
        </w:rPr>
      </w:pPr>
      <w:r>
        <w:rPr>
          <w:rFonts w:ascii="宋体" w:hAnsi="宋体"/>
        </w:rPr>
        <w:t>公司根据改进目标的</w:t>
      </w:r>
      <w:r>
        <w:rPr>
          <w:rFonts w:hint="eastAsia" w:ascii="宋体" w:hAnsi="宋体"/>
        </w:rPr>
        <w:t>计划进度</w:t>
      </w:r>
      <w:r>
        <w:rPr>
          <w:rFonts w:ascii="宋体" w:hAnsi="宋体"/>
        </w:rPr>
        <w:t>，</w:t>
      </w:r>
      <w:r>
        <w:rPr>
          <w:rFonts w:hint="eastAsia" w:ascii="宋体" w:hAnsi="宋体"/>
        </w:rPr>
        <w:t>用《持续改进活动改善卡》对比改善前后的状况，分析改善后对盈利能力和实现公司战略目标的贡献，</w:t>
      </w:r>
      <w:r>
        <w:rPr>
          <w:rFonts w:ascii="宋体" w:hAnsi="宋体"/>
        </w:rPr>
        <w:t>对改进效果进行</w:t>
      </w:r>
      <w:r>
        <w:rPr>
          <w:rFonts w:hint="eastAsia" w:ascii="宋体" w:hAnsi="宋体"/>
        </w:rPr>
        <w:t>书面</w:t>
      </w:r>
      <w:r>
        <w:rPr>
          <w:rFonts w:ascii="宋体" w:hAnsi="宋体"/>
        </w:rPr>
        <w:t>评价</w:t>
      </w:r>
      <w:r>
        <w:rPr>
          <w:rFonts w:hint="eastAsia" w:ascii="宋体" w:hAnsi="宋体"/>
        </w:rPr>
        <w:t>并整理成册。</w:t>
      </w:r>
    </w:p>
    <w:p w14:paraId="34D6D5AC">
      <w:pPr>
        <w:spacing w:line="360" w:lineRule="auto"/>
        <w:ind w:firstLine="480" w:firstLineChars="200"/>
        <w:rPr>
          <w:rFonts w:ascii="宋体" w:hAnsi="宋体"/>
        </w:rPr>
      </w:pPr>
      <w:r>
        <w:rPr>
          <w:rFonts w:hint="eastAsia" w:ascii="宋体" w:hAnsi="宋体"/>
        </w:rPr>
        <w:t>公司设立了提案改善奖、改善创新奖及改善结果表彰等激励活动，</w:t>
      </w:r>
      <w:r>
        <w:rPr>
          <w:rFonts w:ascii="宋体" w:hAnsi="宋体"/>
        </w:rPr>
        <w:t>对改进成果进行评价和激励。</w:t>
      </w:r>
      <w:r>
        <w:rPr>
          <w:rFonts w:hint="eastAsia" w:ascii="宋体" w:hAnsi="宋体"/>
        </w:rPr>
        <w:t>（见表</w:t>
      </w:r>
      <w:r>
        <w:rPr>
          <w:rFonts w:hint="eastAsia" w:ascii="宋体" w:hAnsi="宋体" w:cs="宋体"/>
        </w:rPr>
        <w:t>4.6.3-4</w:t>
      </w:r>
      <w:r>
        <w:rPr>
          <w:rFonts w:hint="eastAsia" w:ascii="宋体" w:hAnsi="宋体"/>
        </w:rPr>
        <w:t>）</w:t>
      </w:r>
    </w:p>
    <w:p w14:paraId="30CFFD21">
      <w:pPr>
        <w:spacing w:line="360" w:lineRule="auto"/>
        <w:jc w:val="center"/>
        <w:rPr>
          <w:rFonts w:ascii="黑体" w:eastAsia="黑体"/>
          <w:b/>
          <w:sz w:val="21"/>
        </w:rPr>
      </w:pPr>
      <w:r>
        <w:rPr>
          <w:rFonts w:ascii="黑体" w:eastAsia="黑体"/>
          <w:b/>
          <w:sz w:val="21"/>
        </w:rPr>
        <w:t>表</w:t>
      </w:r>
      <w:r>
        <w:rPr>
          <w:rFonts w:hint="eastAsia" w:ascii="黑体" w:eastAsia="黑体"/>
          <w:b/>
          <w:sz w:val="21"/>
        </w:rPr>
        <w:t>4.6.3-4</w:t>
      </w:r>
      <w:r>
        <w:rPr>
          <w:rFonts w:ascii="黑体" w:eastAsia="黑体"/>
          <w:b/>
          <w:sz w:val="21"/>
        </w:rPr>
        <w:t xml:space="preserve"> 改进</w:t>
      </w:r>
      <w:r>
        <w:rPr>
          <w:rFonts w:hint="eastAsia" w:ascii="黑体" w:eastAsia="黑体"/>
          <w:b/>
          <w:sz w:val="21"/>
        </w:rPr>
        <w:t>和创新</w:t>
      </w:r>
      <w:r>
        <w:rPr>
          <w:rFonts w:ascii="黑体" w:eastAsia="黑体"/>
          <w:b/>
          <w:sz w:val="21"/>
        </w:rPr>
        <w:t>的评价与激励</w:t>
      </w:r>
    </w:p>
    <w:tbl>
      <w:tblPr>
        <w:tblStyle w:val="22"/>
        <w:tblW w:w="9309"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26"/>
        <w:gridCol w:w="1276"/>
        <w:gridCol w:w="3543"/>
        <w:gridCol w:w="3664"/>
      </w:tblGrid>
      <w:tr w14:paraId="71F180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tblHeader/>
          <w:jc w:val="center"/>
        </w:trPr>
        <w:tc>
          <w:tcPr>
            <w:tcW w:w="826" w:type="dxa"/>
            <w:tcBorders>
              <w:top w:val="double" w:color="auto" w:sz="4" w:space="0"/>
              <w:bottom w:val="single" w:color="auto" w:sz="6" w:space="0"/>
            </w:tcBorders>
            <w:shd w:val="clear" w:color="auto" w:fill="948A54"/>
            <w:vAlign w:val="center"/>
          </w:tcPr>
          <w:p w14:paraId="362EA611">
            <w:pPr>
              <w:jc w:val="center"/>
              <w:rPr>
                <w:rFonts w:ascii="宋体" w:hAnsi="宋体"/>
                <w:b/>
                <w:color w:val="FFFFFF"/>
                <w:kern w:val="2"/>
              </w:rPr>
            </w:pPr>
            <w:r>
              <w:rPr>
                <w:rFonts w:hint="eastAsia" w:ascii="宋体" w:hAnsi="宋体"/>
                <w:b/>
                <w:color w:val="FFFFFF"/>
                <w:kern w:val="2"/>
              </w:rPr>
              <w:t>项目</w:t>
            </w:r>
          </w:p>
        </w:tc>
        <w:tc>
          <w:tcPr>
            <w:tcW w:w="1276" w:type="dxa"/>
            <w:tcBorders>
              <w:top w:val="double" w:color="auto" w:sz="4" w:space="0"/>
              <w:bottom w:val="single" w:color="auto" w:sz="6" w:space="0"/>
            </w:tcBorders>
            <w:shd w:val="clear" w:color="auto" w:fill="948A54"/>
            <w:vAlign w:val="center"/>
          </w:tcPr>
          <w:p w14:paraId="36A5B42A">
            <w:pPr>
              <w:jc w:val="center"/>
              <w:rPr>
                <w:rFonts w:ascii="宋体" w:hAnsi="宋体"/>
                <w:b/>
                <w:color w:val="FFFFFF"/>
                <w:kern w:val="2"/>
              </w:rPr>
            </w:pPr>
            <w:r>
              <w:rPr>
                <w:rFonts w:hint="eastAsia" w:ascii="宋体" w:hAnsi="宋体"/>
                <w:b/>
                <w:color w:val="FFFFFF"/>
                <w:kern w:val="2"/>
              </w:rPr>
              <w:t>评价频次</w:t>
            </w:r>
          </w:p>
        </w:tc>
        <w:tc>
          <w:tcPr>
            <w:tcW w:w="3543" w:type="dxa"/>
            <w:tcBorders>
              <w:top w:val="double" w:color="auto" w:sz="4" w:space="0"/>
              <w:bottom w:val="single" w:color="auto" w:sz="6" w:space="0"/>
            </w:tcBorders>
            <w:shd w:val="clear" w:color="auto" w:fill="948A54"/>
            <w:vAlign w:val="center"/>
          </w:tcPr>
          <w:p w14:paraId="0DFD8EDF">
            <w:pPr>
              <w:jc w:val="center"/>
              <w:rPr>
                <w:rFonts w:ascii="宋体" w:hAnsi="宋体"/>
                <w:b/>
                <w:color w:val="FFFFFF"/>
                <w:kern w:val="2"/>
              </w:rPr>
            </w:pPr>
            <w:r>
              <w:rPr>
                <w:rFonts w:hint="eastAsia" w:ascii="宋体" w:hAnsi="宋体"/>
                <w:b/>
                <w:color w:val="FFFFFF"/>
                <w:kern w:val="2"/>
              </w:rPr>
              <w:t>评价内容</w:t>
            </w:r>
          </w:p>
        </w:tc>
        <w:tc>
          <w:tcPr>
            <w:tcW w:w="3664" w:type="dxa"/>
            <w:tcBorders>
              <w:top w:val="double" w:color="auto" w:sz="4" w:space="0"/>
              <w:bottom w:val="single" w:color="auto" w:sz="6" w:space="0"/>
            </w:tcBorders>
            <w:shd w:val="clear" w:color="auto" w:fill="948A54"/>
            <w:vAlign w:val="center"/>
          </w:tcPr>
          <w:p w14:paraId="535EABCC">
            <w:pPr>
              <w:jc w:val="center"/>
              <w:rPr>
                <w:rFonts w:ascii="宋体" w:hAnsi="宋体"/>
                <w:b/>
                <w:color w:val="FFFFFF"/>
                <w:kern w:val="2"/>
              </w:rPr>
            </w:pPr>
            <w:r>
              <w:rPr>
                <w:rFonts w:hint="eastAsia" w:ascii="宋体" w:hAnsi="宋体"/>
                <w:b/>
                <w:color w:val="FFFFFF"/>
                <w:kern w:val="2"/>
              </w:rPr>
              <w:t>激励</w:t>
            </w:r>
          </w:p>
        </w:tc>
      </w:tr>
      <w:tr w14:paraId="618E76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2" w:hRule="atLeast"/>
          <w:jc w:val="center"/>
        </w:trPr>
        <w:tc>
          <w:tcPr>
            <w:tcW w:w="826" w:type="dxa"/>
            <w:vMerge w:val="restart"/>
            <w:tcBorders>
              <w:top w:val="single" w:color="auto" w:sz="6" w:space="0"/>
            </w:tcBorders>
            <w:vAlign w:val="center"/>
          </w:tcPr>
          <w:p w14:paraId="58CB90B3">
            <w:pPr>
              <w:jc w:val="center"/>
              <w:rPr>
                <w:rFonts w:ascii="宋体" w:hAnsi="宋体"/>
                <w:kern w:val="2"/>
                <w:sz w:val="21"/>
                <w:szCs w:val="21"/>
              </w:rPr>
            </w:pPr>
            <w:r>
              <w:rPr>
                <w:rFonts w:hint="eastAsia" w:ascii="宋体" w:hAnsi="宋体"/>
                <w:kern w:val="2"/>
                <w:sz w:val="21"/>
                <w:szCs w:val="21"/>
              </w:rPr>
              <w:t>研发创新</w:t>
            </w:r>
          </w:p>
        </w:tc>
        <w:tc>
          <w:tcPr>
            <w:tcW w:w="1276" w:type="dxa"/>
            <w:vMerge w:val="restart"/>
            <w:tcBorders>
              <w:top w:val="single" w:color="auto" w:sz="6" w:space="0"/>
            </w:tcBorders>
            <w:vAlign w:val="center"/>
          </w:tcPr>
          <w:p w14:paraId="147B1299">
            <w:pPr>
              <w:jc w:val="center"/>
              <w:rPr>
                <w:rFonts w:ascii="宋体" w:hAnsi="宋体" w:cs="宋体"/>
                <w:kern w:val="2"/>
                <w:sz w:val="21"/>
                <w:szCs w:val="21"/>
              </w:rPr>
            </w:pPr>
            <w:r>
              <w:rPr>
                <w:rFonts w:hint="eastAsia" w:ascii="宋体" w:hAnsi="宋体" w:cs="宋体"/>
                <w:kern w:val="2"/>
                <w:sz w:val="21"/>
                <w:szCs w:val="21"/>
              </w:rPr>
              <w:t>每季度</w:t>
            </w:r>
          </w:p>
        </w:tc>
        <w:tc>
          <w:tcPr>
            <w:tcW w:w="3543" w:type="dxa"/>
            <w:tcBorders>
              <w:top w:val="single" w:color="auto" w:sz="6" w:space="0"/>
            </w:tcBorders>
            <w:vAlign w:val="center"/>
          </w:tcPr>
          <w:p w14:paraId="50853CD1">
            <w:pPr>
              <w:rPr>
                <w:rFonts w:ascii="宋体" w:hAnsi="宋体" w:cs="宋体"/>
                <w:kern w:val="2"/>
                <w:sz w:val="21"/>
                <w:szCs w:val="21"/>
              </w:rPr>
            </w:pPr>
            <w:r>
              <w:rPr>
                <w:rFonts w:hint="eastAsia" w:ascii="宋体" w:hAnsi="宋体" w:cs="宋体"/>
                <w:kern w:val="2"/>
                <w:sz w:val="21"/>
                <w:szCs w:val="21"/>
              </w:rPr>
              <w:t>每季度收集研发创新提案，并进行评审，立项后实施改进</w:t>
            </w:r>
          </w:p>
        </w:tc>
        <w:tc>
          <w:tcPr>
            <w:tcW w:w="3664" w:type="dxa"/>
            <w:tcBorders>
              <w:top w:val="single" w:color="auto" w:sz="6" w:space="0"/>
            </w:tcBorders>
            <w:vAlign w:val="center"/>
          </w:tcPr>
          <w:p w14:paraId="227AF179">
            <w:pPr>
              <w:adjustRightInd w:val="0"/>
              <w:snapToGrid w:val="0"/>
              <w:rPr>
                <w:rFonts w:ascii="宋体" w:hAnsi="宋体" w:cs="宋体"/>
                <w:kern w:val="2"/>
                <w:sz w:val="21"/>
                <w:szCs w:val="21"/>
              </w:rPr>
            </w:pPr>
            <w:r>
              <w:rPr>
                <w:rFonts w:hint="eastAsia" w:ascii="宋体" w:hAnsi="宋体" w:cs="宋体"/>
                <w:kern w:val="2"/>
                <w:sz w:val="21"/>
                <w:szCs w:val="21"/>
              </w:rPr>
              <w:t>研发创新提案数量纳入研发体系绩效评价</w:t>
            </w:r>
          </w:p>
        </w:tc>
      </w:tr>
      <w:tr w14:paraId="79296D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 w:hRule="atLeast"/>
          <w:jc w:val="center"/>
        </w:trPr>
        <w:tc>
          <w:tcPr>
            <w:tcW w:w="826" w:type="dxa"/>
            <w:vMerge w:val="continue"/>
            <w:vAlign w:val="center"/>
          </w:tcPr>
          <w:p w14:paraId="316E0AF3">
            <w:pPr>
              <w:jc w:val="center"/>
              <w:rPr>
                <w:rFonts w:ascii="宋体" w:hAnsi="宋体" w:cs="宋体"/>
                <w:kern w:val="2"/>
                <w:sz w:val="21"/>
                <w:szCs w:val="21"/>
              </w:rPr>
            </w:pPr>
          </w:p>
        </w:tc>
        <w:tc>
          <w:tcPr>
            <w:tcW w:w="1276" w:type="dxa"/>
            <w:vMerge w:val="continue"/>
            <w:vAlign w:val="center"/>
          </w:tcPr>
          <w:p w14:paraId="65A6E165">
            <w:pPr>
              <w:jc w:val="center"/>
              <w:rPr>
                <w:rFonts w:ascii="宋体" w:hAnsi="宋体" w:cs="宋体"/>
                <w:kern w:val="2"/>
                <w:sz w:val="21"/>
                <w:szCs w:val="21"/>
              </w:rPr>
            </w:pPr>
          </w:p>
        </w:tc>
        <w:tc>
          <w:tcPr>
            <w:tcW w:w="3543" w:type="dxa"/>
            <w:vMerge w:val="restart"/>
            <w:vAlign w:val="center"/>
          </w:tcPr>
          <w:p w14:paraId="4E21C6B8">
            <w:pPr>
              <w:rPr>
                <w:rFonts w:ascii="宋体" w:hAnsi="宋体" w:cs="宋体"/>
                <w:kern w:val="2"/>
                <w:sz w:val="21"/>
                <w:szCs w:val="21"/>
              </w:rPr>
            </w:pPr>
            <w:r>
              <w:rPr>
                <w:rFonts w:hint="eastAsia" w:ascii="宋体" w:hAnsi="宋体" w:cs="宋体"/>
                <w:kern w:val="2"/>
                <w:sz w:val="21"/>
                <w:szCs w:val="21"/>
              </w:rPr>
              <w:t>每季度对改进成果进行发表和评价，根据评价后的创新等级进行奖励</w:t>
            </w:r>
          </w:p>
        </w:tc>
        <w:tc>
          <w:tcPr>
            <w:tcW w:w="3664" w:type="dxa"/>
            <w:vAlign w:val="center"/>
          </w:tcPr>
          <w:p w14:paraId="00D15152">
            <w:pPr>
              <w:adjustRightInd w:val="0"/>
              <w:snapToGrid w:val="0"/>
              <w:rPr>
                <w:rFonts w:ascii="宋体" w:hAnsi="宋体" w:cs="宋体"/>
                <w:kern w:val="2"/>
                <w:sz w:val="21"/>
                <w:szCs w:val="21"/>
              </w:rPr>
            </w:pPr>
            <w:r>
              <w:rPr>
                <w:rFonts w:hint="eastAsia" w:ascii="宋体" w:hAnsi="宋体" w:cs="宋体"/>
                <w:kern w:val="2"/>
                <w:sz w:val="21"/>
                <w:szCs w:val="21"/>
              </w:rPr>
              <w:t>每季度依据创新等级对研发创新提案改进成果进行奖励</w:t>
            </w:r>
          </w:p>
        </w:tc>
      </w:tr>
      <w:tr w14:paraId="4DA47F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 w:hRule="atLeast"/>
          <w:jc w:val="center"/>
        </w:trPr>
        <w:tc>
          <w:tcPr>
            <w:tcW w:w="826" w:type="dxa"/>
            <w:vMerge w:val="continue"/>
            <w:vAlign w:val="center"/>
          </w:tcPr>
          <w:p w14:paraId="45573EF2">
            <w:pPr>
              <w:jc w:val="center"/>
              <w:rPr>
                <w:rFonts w:ascii="宋体" w:hAnsi="宋体" w:cs="宋体"/>
                <w:kern w:val="2"/>
                <w:sz w:val="21"/>
                <w:szCs w:val="21"/>
              </w:rPr>
            </w:pPr>
          </w:p>
        </w:tc>
        <w:tc>
          <w:tcPr>
            <w:tcW w:w="1276" w:type="dxa"/>
            <w:vMerge w:val="continue"/>
            <w:vAlign w:val="center"/>
          </w:tcPr>
          <w:p w14:paraId="3F169B36">
            <w:pPr>
              <w:jc w:val="center"/>
              <w:rPr>
                <w:rFonts w:ascii="宋体" w:hAnsi="宋体" w:cs="宋体"/>
                <w:kern w:val="2"/>
                <w:sz w:val="21"/>
                <w:szCs w:val="21"/>
              </w:rPr>
            </w:pPr>
          </w:p>
        </w:tc>
        <w:tc>
          <w:tcPr>
            <w:tcW w:w="3543" w:type="dxa"/>
            <w:vMerge w:val="continue"/>
            <w:vAlign w:val="center"/>
          </w:tcPr>
          <w:p w14:paraId="614D4387">
            <w:pPr>
              <w:rPr>
                <w:rFonts w:ascii="宋体" w:hAnsi="宋体" w:cs="宋体"/>
                <w:kern w:val="2"/>
                <w:sz w:val="21"/>
                <w:szCs w:val="21"/>
              </w:rPr>
            </w:pPr>
          </w:p>
        </w:tc>
        <w:tc>
          <w:tcPr>
            <w:tcW w:w="3664" w:type="dxa"/>
            <w:vAlign w:val="center"/>
          </w:tcPr>
          <w:p w14:paraId="6C2474DF">
            <w:pPr>
              <w:adjustRightInd w:val="0"/>
              <w:snapToGrid w:val="0"/>
              <w:rPr>
                <w:rFonts w:ascii="宋体" w:hAnsi="宋体" w:cs="宋体"/>
                <w:kern w:val="2"/>
                <w:sz w:val="21"/>
                <w:szCs w:val="21"/>
              </w:rPr>
            </w:pPr>
            <w:r>
              <w:rPr>
                <w:rFonts w:hint="eastAsia" w:ascii="宋体" w:hAnsi="宋体" w:cs="宋体"/>
                <w:kern w:val="2"/>
                <w:sz w:val="21"/>
                <w:szCs w:val="21"/>
              </w:rPr>
              <w:t>每年针对本年度的创新提案实施数量，评价“最佳创新项目”</w:t>
            </w:r>
          </w:p>
        </w:tc>
      </w:tr>
      <w:tr w14:paraId="3671D2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 w:hRule="atLeast"/>
          <w:jc w:val="center"/>
        </w:trPr>
        <w:tc>
          <w:tcPr>
            <w:tcW w:w="826" w:type="dxa"/>
            <w:vMerge w:val="restart"/>
            <w:vAlign w:val="center"/>
          </w:tcPr>
          <w:p w14:paraId="3AB2BE59">
            <w:pPr>
              <w:jc w:val="center"/>
              <w:rPr>
                <w:rFonts w:ascii="宋体" w:hAnsi="宋体" w:cs="宋体"/>
                <w:kern w:val="2"/>
                <w:sz w:val="21"/>
                <w:szCs w:val="21"/>
              </w:rPr>
            </w:pPr>
            <w:r>
              <w:rPr>
                <w:rFonts w:hint="eastAsia" w:ascii="宋体" w:hAnsi="宋体" w:cs="宋体"/>
                <w:kern w:val="2"/>
                <w:sz w:val="21"/>
                <w:szCs w:val="21"/>
              </w:rPr>
              <w:t>技术革新</w:t>
            </w:r>
          </w:p>
        </w:tc>
        <w:tc>
          <w:tcPr>
            <w:tcW w:w="1276" w:type="dxa"/>
            <w:vMerge w:val="restart"/>
            <w:vAlign w:val="center"/>
          </w:tcPr>
          <w:p w14:paraId="763D3F16">
            <w:pPr>
              <w:jc w:val="center"/>
              <w:rPr>
                <w:rFonts w:ascii="宋体" w:hAnsi="宋体" w:cs="宋体"/>
                <w:kern w:val="2"/>
                <w:sz w:val="21"/>
                <w:szCs w:val="21"/>
              </w:rPr>
            </w:pPr>
            <w:r>
              <w:rPr>
                <w:rFonts w:hint="eastAsia" w:ascii="宋体" w:hAnsi="宋体" w:cs="宋体"/>
                <w:kern w:val="2"/>
                <w:sz w:val="21"/>
                <w:szCs w:val="21"/>
              </w:rPr>
              <w:t>每季度</w:t>
            </w:r>
          </w:p>
        </w:tc>
        <w:tc>
          <w:tcPr>
            <w:tcW w:w="3543" w:type="dxa"/>
            <w:vAlign w:val="center"/>
          </w:tcPr>
          <w:p w14:paraId="26AA1845">
            <w:pPr>
              <w:rPr>
                <w:rFonts w:ascii="宋体" w:hAnsi="宋体" w:cs="宋体"/>
                <w:kern w:val="2"/>
                <w:sz w:val="21"/>
                <w:szCs w:val="21"/>
              </w:rPr>
            </w:pPr>
            <w:r>
              <w:rPr>
                <w:rFonts w:hint="eastAsia" w:ascii="宋体" w:hAnsi="宋体" w:cs="宋体"/>
                <w:kern w:val="2"/>
                <w:sz w:val="21"/>
                <w:szCs w:val="21"/>
              </w:rPr>
              <w:t>每季度对提报的改善提案进行评审，立项后，成立跨部门的改善小组，对该项目进行技术攻关</w:t>
            </w:r>
          </w:p>
        </w:tc>
        <w:tc>
          <w:tcPr>
            <w:tcW w:w="3664" w:type="dxa"/>
            <w:vAlign w:val="center"/>
          </w:tcPr>
          <w:p w14:paraId="6671CA7C">
            <w:pPr>
              <w:adjustRightInd w:val="0"/>
              <w:snapToGrid w:val="0"/>
              <w:rPr>
                <w:rFonts w:ascii="宋体" w:hAnsi="宋体" w:cs="宋体"/>
                <w:kern w:val="2"/>
                <w:sz w:val="21"/>
                <w:szCs w:val="21"/>
              </w:rPr>
            </w:pPr>
            <w:r>
              <w:rPr>
                <w:rFonts w:hint="eastAsia" w:ascii="宋体" w:hAnsi="宋体" w:cs="宋体"/>
                <w:kern w:val="2"/>
                <w:sz w:val="21"/>
                <w:szCs w:val="21"/>
              </w:rPr>
              <w:t>技术革新指标下达至各部门，作为各部门重点过程类指标，进行评价</w:t>
            </w:r>
          </w:p>
        </w:tc>
      </w:tr>
      <w:tr w14:paraId="67D168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 w:hRule="atLeast"/>
          <w:jc w:val="center"/>
        </w:trPr>
        <w:tc>
          <w:tcPr>
            <w:tcW w:w="826" w:type="dxa"/>
            <w:vMerge w:val="continue"/>
            <w:vAlign w:val="center"/>
          </w:tcPr>
          <w:p w14:paraId="47A3C36C">
            <w:pPr>
              <w:jc w:val="center"/>
              <w:rPr>
                <w:rFonts w:ascii="宋体" w:hAnsi="宋体" w:cs="宋体"/>
                <w:kern w:val="2"/>
                <w:sz w:val="21"/>
                <w:szCs w:val="21"/>
              </w:rPr>
            </w:pPr>
          </w:p>
        </w:tc>
        <w:tc>
          <w:tcPr>
            <w:tcW w:w="1276" w:type="dxa"/>
            <w:vMerge w:val="continue"/>
            <w:vAlign w:val="center"/>
          </w:tcPr>
          <w:p w14:paraId="708CD5CE">
            <w:pPr>
              <w:jc w:val="center"/>
              <w:rPr>
                <w:rFonts w:ascii="宋体" w:hAnsi="宋体" w:cs="宋体"/>
                <w:kern w:val="2"/>
                <w:sz w:val="21"/>
                <w:szCs w:val="21"/>
              </w:rPr>
            </w:pPr>
          </w:p>
        </w:tc>
        <w:tc>
          <w:tcPr>
            <w:tcW w:w="3543" w:type="dxa"/>
            <w:vMerge w:val="restart"/>
            <w:vAlign w:val="center"/>
          </w:tcPr>
          <w:p w14:paraId="65F33C4A">
            <w:pPr>
              <w:rPr>
                <w:rFonts w:ascii="宋体" w:hAnsi="宋体" w:cs="宋体"/>
                <w:kern w:val="2"/>
                <w:sz w:val="21"/>
                <w:szCs w:val="21"/>
              </w:rPr>
            </w:pPr>
            <w:r>
              <w:rPr>
                <w:rFonts w:hint="eastAsia" w:ascii="宋体" w:hAnsi="宋体" w:cs="宋体"/>
                <w:kern w:val="2"/>
                <w:sz w:val="21"/>
                <w:szCs w:val="21"/>
              </w:rPr>
              <w:t>每季度对已经结案的技术革新项目进行成果发表，根据节约金额的等级进行人员奖励</w:t>
            </w:r>
          </w:p>
        </w:tc>
        <w:tc>
          <w:tcPr>
            <w:tcW w:w="3664" w:type="dxa"/>
            <w:vAlign w:val="center"/>
          </w:tcPr>
          <w:p w14:paraId="3F5CD7D9">
            <w:pPr>
              <w:adjustRightInd w:val="0"/>
              <w:snapToGrid w:val="0"/>
              <w:rPr>
                <w:rFonts w:ascii="宋体" w:hAnsi="宋体" w:cs="宋体"/>
                <w:kern w:val="2"/>
                <w:sz w:val="21"/>
                <w:szCs w:val="21"/>
              </w:rPr>
            </w:pPr>
            <w:r>
              <w:rPr>
                <w:rFonts w:hint="eastAsia" w:ascii="宋体" w:hAnsi="宋体" w:cs="宋体"/>
                <w:kern w:val="2"/>
                <w:sz w:val="21"/>
                <w:szCs w:val="21"/>
              </w:rPr>
              <w:t>每季度的成果发表会中，按照等级对项目进行奖励</w:t>
            </w:r>
          </w:p>
        </w:tc>
      </w:tr>
      <w:tr w14:paraId="38AC7E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 w:hRule="atLeast"/>
          <w:jc w:val="center"/>
        </w:trPr>
        <w:tc>
          <w:tcPr>
            <w:tcW w:w="826" w:type="dxa"/>
            <w:vMerge w:val="continue"/>
            <w:vAlign w:val="center"/>
          </w:tcPr>
          <w:p w14:paraId="67920B8C">
            <w:pPr>
              <w:jc w:val="center"/>
              <w:rPr>
                <w:rFonts w:ascii="宋体" w:hAnsi="宋体" w:cs="宋体"/>
                <w:kern w:val="2"/>
                <w:sz w:val="21"/>
                <w:szCs w:val="21"/>
              </w:rPr>
            </w:pPr>
          </w:p>
        </w:tc>
        <w:tc>
          <w:tcPr>
            <w:tcW w:w="1276" w:type="dxa"/>
            <w:vMerge w:val="continue"/>
            <w:vAlign w:val="center"/>
          </w:tcPr>
          <w:p w14:paraId="68D1DC9D">
            <w:pPr>
              <w:jc w:val="center"/>
              <w:rPr>
                <w:rFonts w:ascii="宋体" w:hAnsi="宋体" w:cs="宋体"/>
                <w:kern w:val="2"/>
                <w:sz w:val="21"/>
                <w:szCs w:val="21"/>
              </w:rPr>
            </w:pPr>
          </w:p>
        </w:tc>
        <w:tc>
          <w:tcPr>
            <w:tcW w:w="3543" w:type="dxa"/>
            <w:vMerge w:val="continue"/>
            <w:vAlign w:val="center"/>
          </w:tcPr>
          <w:p w14:paraId="56095C4F">
            <w:pPr>
              <w:rPr>
                <w:rFonts w:ascii="宋体" w:hAnsi="宋体" w:cs="宋体"/>
                <w:kern w:val="2"/>
                <w:sz w:val="21"/>
                <w:szCs w:val="21"/>
              </w:rPr>
            </w:pPr>
          </w:p>
        </w:tc>
        <w:tc>
          <w:tcPr>
            <w:tcW w:w="3664" w:type="dxa"/>
            <w:vAlign w:val="center"/>
          </w:tcPr>
          <w:p w14:paraId="40272468">
            <w:pPr>
              <w:adjustRightInd w:val="0"/>
              <w:snapToGrid w:val="0"/>
              <w:rPr>
                <w:rFonts w:ascii="宋体" w:hAnsi="宋体" w:cs="宋体"/>
                <w:kern w:val="2"/>
                <w:sz w:val="21"/>
                <w:szCs w:val="21"/>
              </w:rPr>
            </w:pPr>
            <w:r>
              <w:rPr>
                <w:rFonts w:hint="eastAsia" w:ascii="宋体" w:hAnsi="宋体" w:cs="宋体"/>
                <w:kern w:val="2"/>
                <w:sz w:val="21"/>
                <w:szCs w:val="21"/>
              </w:rPr>
              <w:t>每年针对各单位技术革新达成情况进行评比出“技术革新最佳贡献奖”、“技术革新最佳人均节约奖”</w:t>
            </w:r>
          </w:p>
        </w:tc>
      </w:tr>
      <w:tr w14:paraId="7E09C1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 w:hRule="atLeast"/>
          <w:jc w:val="center"/>
        </w:trPr>
        <w:tc>
          <w:tcPr>
            <w:tcW w:w="826" w:type="dxa"/>
            <w:vAlign w:val="center"/>
          </w:tcPr>
          <w:p w14:paraId="4C7345BF">
            <w:pPr>
              <w:jc w:val="center"/>
              <w:rPr>
                <w:rFonts w:ascii="宋体" w:hAnsi="宋体" w:cs="宋体"/>
                <w:kern w:val="2"/>
                <w:sz w:val="21"/>
                <w:szCs w:val="21"/>
              </w:rPr>
            </w:pPr>
            <w:r>
              <w:rPr>
                <w:rFonts w:hint="eastAsia" w:ascii="宋体" w:hAnsi="宋体" w:cs="宋体"/>
                <w:kern w:val="2"/>
                <w:sz w:val="21"/>
                <w:szCs w:val="21"/>
              </w:rPr>
              <w:t>管理创新</w:t>
            </w:r>
          </w:p>
        </w:tc>
        <w:tc>
          <w:tcPr>
            <w:tcW w:w="1276" w:type="dxa"/>
            <w:vAlign w:val="center"/>
          </w:tcPr>
          <w:p w14:paraId="7D477F95">
            <w:pPr>
              <w:jc w:val="center"/>
              <w:rPr>
                <w:rFonts w:ascii="宋体" w:hAnsi="宋体" w:cs="宋体"/>
                <w:kern w:val="2"/>
                <w:sz w:val="21"/>
                <w:szCs w:val="21"/>
              </w:rPr>
            </w:pPr>
            <w:r>
              <w:rPr>
                <w:rFonts w:hint="eastAsia" w:ascii="宋体" w:hAnsi="宋体" w:cs="宋体"/>
                <w:kern w:val="2"/>
                <w:sz w:val="21"/>
                <w:szCs w:val="21"/>
              </w:rPr>
              <w:t>每季度</w:t>
            </w:r>
          </w:p>
        </w:tc>
        <w:tc>
          <w:tcPr>
            <w:tcW w:w="3543" w:type="dxa"/>
            <w:vAlign w:val="center"/>
          </w:tcPr>
          <w:p w14:paraId="3AF6771B">
            <w:pPr>
              <w:rPr>
                <w:rFonts w:ascii="宋体" w:hAnsi="宋体" w:cs="宋体"/>
                <w:kern w:val="2"/>
                <w:sz w:val="21"/>
                <w:szCs w:val="21"/>
              </w:rPr>
            </w:pPr>
            <w:r>
              <w:rPr>
                <w:rFonts w:hint="eastAsia" w:ascii="宋体" w:hAnsi="宋体" w:cs="宋体"/>
                <w:kern w:val="2"/>
                <w:sz w:val="21"/>
                <w:szCs w:val="21"/>
              </w:rPr>
              <w:t>每季度对收集的管理创新提案进行评审，立项后分领域指派生产、行政、人力资源、营销、财务等模块负责人，进行改进追踪</w:t>
            </w:r>
          </w:p>
        </w:tc>
        <w:tc>
          <w:tcPr>
            <w:tcW w:w="3664" w:type="dxa"/>
            <w:vAlign w:val="center"/>
          </w:tcPr>
          <w:p w14:paraId="1C4429F1">
            <w:pPr>
              <w:adjustRightInd w:val="0"/>
              <w:snapToGrid w:val="0"/>
              <w:rPr>
                <w:rFonts w:ascii="宋体" w:hAnsi="宋体" w:cs="宋体"/>
                <w:kern w:val="2"/>
                <w:sz w:val="21"/>
                <w:szCs w:val="21"/>
              </w:rPr>
            </w:pPr>
            <w:r>
              <w:rPr>
                <w:rFonts w:hint="eastAsia" w:ascii="宋体" w:hAnsi="宋体" w:cs="宋体"/>
                <w:kern w:val="2"/>
                <w:sz w:val="21"/>
                <w:szCs w:val="21"/>
              </w:rPr>
              <w:t>凡有创新提案者，均给予纪念品奖励</w:t>
            </w:r>
          </w:p>
        </w:tc>
      </w:tr>
      <w:tr w14:paraId="28987B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 w:hRule="atLeast"/>
          <w:jc w:val="center"/>
        </w:trPr>
        <w:tc>
          <w:tcPr>
            <w:tcW w:w="826" w:type="dxa"/>
            <w:vAlign w:val="center"/>
          </w:tcPr>
          <w:p w14:paraId="576207A7">
            <w:pPr>
              <w:jc w:val="center"/>
              <w:rPr>
                <w:rFonts w:ascii="宋体" w:hAnsi="宋体" w:cs="宋体"/>
                <w:kern w:val="2"/>
                <w:sz w:val="21"/>
                <w:szCs w:val="21"/>
              </w:rPr>
            </w:pPr>
            <w:r>
              <w:rPr>
                <w:rFonts w:hint="eastAsia" w:ascii="宋体" w:hAnsi="宋体" w:cs="宋体"/>
                <w:kern w:val="2"/>
                <w:sz w:val="21"/>
                <w:szCs w:val="21"/>
              </w:rPr>
              <w:t>流程改进</w:t>
            </w:r>
          </w:p>
        </w:tc>
        <w:tc>
          <w:tcPr>
            <w:tcW w:w="1276" w:type="dxa"/>
            <w:vAlign w:val="center"/>
          </w:tcPr>
          <w:p w14:paraId="66CC680F">
            <w:pPr>
              <w:jc w:val="center"/>
              <w:rPr>
                <w:rFonts w:ascii="宋体" w:hAnsi="宋体" w:cs="宋体"/>
                <w:kern w:val="2"/>
                <w:sz w:val="21"/>
                <w:szCs w:val="21"/>
              </w:rPr>
            </w:pPr>
            <w:r>
              <w:rPr>
                <w:rFonts w:hint="eastAsia" w:ascii="宋体" w:hAnsi="宋体" w:cs="宋体"/>
                <w:kern w:val="2"/>
                <w:sz w:val="21"/>
                <w:szCs w:val="21"/>
              </w:rPr>
              <w:t>每半年</w:t>
            </w:r>
          </w:p>
        </w:tc>
        <w:tc>
          <w:tcPr>
            <w:tcW w:w="3543" w:type="dxa"/>
            <w:vAlign w:val="center"/>
          </w:tcPr>
          <w:p w14:paraId="4AC0F1D9">
            <w:pPr>
              <w:rPr>
                <w:rFonts w:ascii="宋体" w:hAnsi="宋体" w:cs="宋体"/>
                <w:kern w:val="2"/>
                <w:sz w:val="21"/>
                <w:szCs w:val="21"/>
              </w:rPr>
            </w:pPr>
            <w:r>
              <w:rPr>
                <w:rFonts w:hint="eastAsia" w:ascii="宋体" w:hAnsi="宋体" w:cs="宋体"/>
                <w:kern w:val="2"/>
                <w:sz w:val="21"/>
                <w:szCs w:val="21"/>
              </w:rPr>
              <w:t>针对员工代表提出的意见，每月进行分析评审，立项后，根据该流程改进涉及的领域，指定改进责任人</w:t>
            </w:r>
          </w:p>
        </w:tc>
        <w:tc>
          <w:tcPr>
            <w:tcW w:w="3664" w:type="dxa"/>
            <w:vAlign w:val="center"/>
          </w:tcPr>
          <w:p w14:paraId="670AE8F9">
            <w:pPr>
              <w:adjustRightInd w:val="0"/>
              <w:snapToGrid w:val="0"/>
              <w:rPr>
                <w:rFonts w:ascii="宋体" w:hAnsi="宋体" w:cs="宋体"/>
                <w:kern w:val="2"/>
                <w:sz w:val="21"/>
                <w:szCs w:val="21"/>
              </w:rPr>
            </w:pPr>
            <w:r>
              <w:rPr>
                <w:rFonts w:hint="eastAsia" w:ascii="宋体" w:hAnsi="宋体" w:cs="宋体"/>
                <w:kern w:val="2"/>
                <w:sz w:val="21"/>
                <w:szCs w:val="21"/>
              </w:rPr>
              <w:t>根据改进后的成效及员工的反应，给予相应的表彰和奖励</w:t>
            </w:r>
          </w:p>
        </w:tc>
      </w:tr>
      <w:tr w14:paraId="4CD0C6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 w:hRule="atLeast"/>
          <w:jc w:val="center"/>
        </w:trPr>
        <w:tc>
          <w:tcPr>
            <w:tcW w:w="826" w:type="dxa"/>
            <w:vMerge w:val="restart"/>
            <w:vAlign w:val="center"/>
          </w:tcPr>
          <w:p w14:paraId="7CD2AEDA">
            <w:pPr>
              <w:jc w:val="center"/>
              <w:rPr>
                <w:rFonts w:ascii="宋体" w:hAnsi="宋体" w:cs="宋体"/>
                <w:kern w:val="2"/>
                <w:sz w:val="21"/>
                <w:szCs w:val="21"/>
              </w:rPr>
            </w:pPr>
            <w:r>
              <w:rPr>
                <w:rFonts w:hint="eastAsia" w:ascii="宋体" w:hAnsi="宋体" w:cs="宋体"/>
                <w:kern w:val="2"/>
                <w:sz w:val="21"/>
                <w:szCs w:val="21"/>
              </w:rPr>
              <w:t>操作改进</w:t>
            </w:r>
          </w:p>
        </w:tc>
        <w:tc>
          <w:tcPr>
            <w:tcW w:w="1276" w:type="dxa"/>
            <w:vMerge w:val="restart"/>
            <w:vAlign w:val="center"/>
          </w:tcPr>
          <w:p w14:paraId="398AEEA9">
            <w:pPr>
              <w:jc w:val="center"/>
              <w:rPr>
                <w:rFonts w:ascii="宋体" w:hAnsi="宋体" w:cs="宋体"/>
                <w:kern w:val="2"/>
                <w:sz w:val="21"/>
                <w:szCs w:val="21"/>
              </w:rPr>
            </w:pPr>
            <w:r>
              <w:rPr>
                <w:rFonts w:hint="eastAsia" w:ascii="宋体" w:hAnsi="宋体" w:cs="宋体"/>
                <w:kern w:val="2"/>
                <w:sz w:val="21"/>
                <w:szCs w:val="21"/>
              </w:rPr>
              <w:t>每月</w:t>
            </w:r>
          </w:p>
        </w:tc>
        <w:tc>
          <w:tcPr>
            <w:tcW w:w="3543" w:type="dxa"/>
            <w:vAlign w:val="center"/>
          </w:tcPr>
          <w:p w14:paraId="21F2A0D7">
            <w:pPr>
              <w:rPr>
                <w:rFonts w:ascii="宋体" w:hAnsi="宋体" w:cs="宋体"/>
                <w:kern w:val="2"/>
                <w:sz w:val="21"/>
                <w:szCs w:val="21"/>
              </w:rPr>
            </w:pPr>
            <w:r>
              <w:rPr>
                <w:rFonts w:hint="eastAsia" w:ascii="宋体" w:hAnsi="宋体" w:cs="宋体"/>
                <w:kern w:val="2"/>
                <w:sz w:val="21"/>
                <w:szCs w:val="21"/>
              </w:rPr>
              <w:t>每天对于生产现场的操作进行提案，凡涉及操作简化、提高线平衡的提案，进行立项改善</w:t>
            </w:r>
          </w:p>
        </w:tc>
        <w:tc>
          <w:tcPr>
            <w:tcW w:w="3664" w:type="dxa"/>
            <w:vAlign w:val="center"/>
          </w:tcPr>
          <w:p w14:paraId="74110A9B">
            <w:pPr>
              <w:adjustRightInd w:val="0"/>
              <w:snapToGrid w:val="0"/>
              <w:rPr>
                <w:rFonts w:ascii="宋体" w:hAnsi="宋体" w:cs="宋体"/>
                <w:kern w:val="2"/>
                <w:sz w:val="21"/>
                <w:szCs w:val="21"/>
              </w:rPr>
            </w:pPr>
            <w:r>
              <w:rPr>
                <w:rFonts w:hint="eastAsia" w:ascii="宋体" w:hAnsi="宋体" w:cs="宋体"/>
                <w:kern w:val="2"/>
                <w:sz w:val="21"/>
                <w:szCs w:val="21"/>
              </w:rPr>
              <w:t>对已经结案的操作改进提案，对于提案人和改进负责人均有相应的奖励</w:t>
            </w:r>
          </w:p>
        </w:tc>
      </w:tr>
      <w:tr w14:paraId="640A36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26" w:type="dxa"/>
            <w:vMerge w:val="continue"/>
          </w:tcPr>
          <w:p w14:paraId="005B455D">
            <w:pPr>
              <w:jc w:val="center"/>
              <w:rPr>
                <w:rFonts w:ascii="宋体" w:hAnsi="宋体" w:cs="宋体"/>
                <w:kern w:val="2"/>
                <w:sz w:val="21"/>
                <w:szCs w:val="21"/>
              </w:rPr>
            </w:pPr>
          </w:p>
        </w:tc>
        <w:tc>
          <w:tcPr>
            <w:tcW w:w="1276" w:type="dxa"/>
            <w:vMerge w:val="continue"/>
            <w:vAlign w:val="center"/>
          </w:tcPr>
          <w:p w14:paraId="4880AABF">
            <w:pPr>
              <w:rPr>
                <w:rFonts w:ascii="宋体" w:hAnsi="宋体" w:cs="宋体"/>
                <w:kern w:val="2"/>
                <w:sz w:val="21"/>
                <w:szCs w:val="21"/>
              </w:rPr>
            </w:pPr>
          </w:p>
        </w:tc>
        <w:tc>
          <w:tcPr>
            <w:tcW w:w="3543" w:type="dxa"/>
            <w:vAlign w:val="center"/>
          </w:tcPr>
          <w:p w14:paraId="0B233071">
            <w:pPr>
              <w:rPr>
                <w:rFonts w:ascii="宋体" w:hAnsi="宋体" w:cs="宋体"/>
                <w:kern w:val="2"/>
                <w:sz w:val="21"/>
                <w:szCs w:val="21"/>
              </w:rPr>
            </w:pPr>
            <w:r>
              <w:rPr>
                <w:rFonts w:hint="eastAsia" w:ascii="宋体" w:hAnsi="宋体" w:cs="宋体"/>
                <w:kern w:val="2"/>
                <w:sz w:val="21"/>
                <w:szCs w:val="21"/>
              </w:rPr>
              <w:t>每月对改善成果进行发表和推广</w:t>
            </w:r>
          </w:p>
        </w:tc>
        <w:tc>
          <w:tcPr>
            <w:tcW w:w="3664" w:type="dxa"/>
            <w:vAlign w:val="center"/>
          </w:tcPr>
          <w:p w14:paraId="600612C0">
            <w:pPr>
              <w:adjustRightInd w:val="0"/>
              <w:snapToGrid w:val="0"/>
              <w:rPr>
                <w:rFonts w:ascii="宋体" w:hAnsi="宋体" w:cs="宋体"/>
                <w:kern w:val="2"/>
                <w:sz w:val="21"/>
                <w:szCs w:val="21"/>
              </w:rPr>
            </w:pPr>
            <w:r>
              <w:rPr>
                <w:rFonts w:hint="eastAsia" w:ascii="宋体" w:hAnsi="宋体" w:cs="宋体"/>
                <w:kern w:val="2"/>
                <w:sz w:val="21"/>
                <w:szCs w:val="21"/>
              </w:rPr>
              <w:t>经推广的提案追加奖励</w:t>
            </w:r>
          </w:p>
        </w:tc>
      </w:tr>
    </w:tbl>
    <w:p w14:paraId="76D3018A">
      <w:pPr>
        <w:pStyle w:val="5"/>
      </w:pPr>
      <w:r>
        <w:t>4.6.3.3</w:t>
      </w:r>
      <w:r>
        <w:rPr>
          <w:rFonts w:hint="eastAsia"/>
        </w:rPr>
        <w:t>改进与创新方法的应用</w:t>
      </w:r>
    </w:p>
    <w:p w14:paraId="17EF00D9">
      <w:pPr>
        <w:spacing w:line="360" w:lineRule="auto"/>
        <w:ind w:firstLine="480" w:firstLineChars="200"/>
        <w:rPr>
          <w:rFonts w:ascii="宋体" w:hAnsi="宋体" w:cs="宋体"/>
          <w:szCs w:val="32"/>
        </w:rPr>
      </w:pPr>
      <w:r>
        <w:rPr>
          <w:rFonts w:hint="eastAsia" w:ascii="宋体" w:hAnsi="宋体" w:cs="宋体"/>
          <w:szCs w:val="32"/>
        </w:rPr>
        <w:t>公司成立各种改进组织，保证各项创新与改进活动有序有效开展。各改进环节采用的主要改进方法见下表4.6.3-5。</w:t>
      </w:r>
    </w:p>
    <w:p w14:paraId="47004618">
      <w:pPr>
        <w:spacing w:line="360" w:lineRule="auto"/>
        <w:jc w:val="center"/>
        <w:rPr>
          <w:rFonts w:ascii="黑体" w:eastAsia="黑体"/>
          <w:b/>
          <w:sz w:val="21"/>
        </w:rPr>
      </w:pPr>
      <w:r>
        <w:rPr>
          <w:rFonts w:hint="eastAsia" w:ascii="黑体" w:eastAsia="黑体"/>
          <w:b/>
          <w:sz w:val="21"/>
        </w:rPr>
        <w:t>表 4.6.3-5 公司主要改进方法</w:t>
      </w:r>
    </w:p>
    <w:tbl>
      <w:tblPr>
        <w:tblStyle w:val="22"/>
        <w:tblW w:w="5000"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4788"/>
        <w:gridCol w:w="4788"/>
      </w:tblGrid>
      <w:tr w14:paraId="6122B2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3" w:hRule="atLeast"/>
        </w:trPr>
        <w:tc>
          <w:tcPr>
            <w:tcW w:w="2500" w:type="pct"/>
            <w:shd w:val="clear" w:color="auto" w:fill="948A54"/>
            <w:vAlign w:val="center"/>
          </w:tcPr>
          <w:p w14:paraId="708DE893">
            <w:pPr>
              <w:jc w:val="center"/>
              <w:rPr>
                <w:rFonts w:ascii="宋体" w:hAnsi="宋体"/>
                <w:b/>
                <w:color w:val="FFFFFF"/>
                <w:kern w:val="2"/>
              </w:rPr>
            </w:pPr>
            <w:r>
              <w:rPr>
                <w:rFonts w:hint="eastAsia" w:ascii="宋体" w:hAnsi="宋体"/>
                <w:b/>
                <w:color w:val="FFFFFF"/>
                <w:kern w:val="2"/>
              </w:rPr>
              <w:t>项目</w:t>
            </w:r>
          </w:p>
        </w:tc>
        <w:tc>
          <w:tcPr>
            <w:tcW w:w="2500" w:type="pct"/>
            <w:shd w:val="clear" w:color="auto" w:fill="948A54"/>
            <w:vAlign w:val="center"/>
          </w:tcPr>
          <w:p w14:paraId="0F2031C9">
            <w:pPr>
              <w:jc w:val="center"/>
              <w:rPr>
                <w:rFonts w:ascii="宋体" w:hAnsi="宋体"/>
                <w:b/>
                <w:color w:val="FFFFFF"/>
                <w:kern w:val="2"/>
              </w:rPr>
            </w:pPr>
            <w:r>
              <w:rPr>
                <w:rFonts w:hint="eastAsia" w:ascii="宋体" w:hAnsi="宋体"/>
                <w:b/>
                <w:color w:val="FFFFFF"/>
                <w:kern w:val="2"/>
              </w:rPr>
              <w:t>主要改进方法</w:t>
            </w:r>
          </w:p>
        </w:tc>
      </w:tr>
      <w:tr w14:paraId="77DA24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2500" w:type="pct"/>
            <w:vAlign w:val="center"/>
          </w:tcPr>
          <w:p w14:paraId="0B27BBF7">
            <w:pPr>
              <w:widowControl w:val="0"/>
              <w:jc w:val="center"/>
              <w:rPr>
                <w:rFonts w:ascii="黑体" w:eastAsia="黑体"/>
                <w:b/>
                <w:kern w:val="2"/>
              </w:rPr>
            </w:pPr>
            <w:r>
              <w:rPr>
                <w:rFonts w:hint="eastAsia" w:ascii="宋体" w:hAnsi="宋体"/>
                <w:kern w:val="2"/>
              </w:rPr>
              <w:t>顾客与市场</w:t>
            </w:r>
          </w:p>
        </w:tc>
        <w:tc>
          <w:tcPr>
            <w:tcW w:w="2500" w:type="pct"/>
            <w:vAlign w:val="center"/>
          </w:tcPr>
          <w:p w14:paraId="0E629AD2">
            <w:pPr>
              <w:widowControl w:val="0"/>
              <w:jc w:val="center"/>
              <w:rPr>
                <w:rFonts w:ascii="黑体" w:eastAsia="黑体"/>
                <w:b/>
                <w:kern w:val="2"/>
              </w:rPr>
            </w:pPr>
            <w:r>
              <w:rPr>
                <w:rFonts w:hint="eastAsia" w:ascii="宋体" w:hAnsi="宋体"/>
                <w:kern w:val="2"/>
              </w:rPr>
              <w:t>标杆对比、预算管理</w:t>
            </w:r>
          </w:p>
        </w:tc>
      </w:tr>
      <w:tr w14:paraId="796052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2500" w:type="pct"/>
            <w:vAlign w:val="center"/>
          </w:tcPr>
          <w:p w14:paraId="06BA4E1C">
            <w:pPr>
              <w:widowControl w:val="0"/>
              <w:jc w:val="center"/>
              <w:rPr>
                <w:rFonts w:ascii="黑体" w:eastAsia="黑体"/>
                <w:b/>
                <w:kern w:val="2"/>
              </w:rPr>
            </w:pPr>
            <w:r>
              <w:rPr>
                <w:rFonts w:hint="eastAsia" w:ascii="宋体" w:hAnsi="宋体"/>
                <w:kern w:val="2"/>
              </w:rPr>
              <w:t>技术开发</w:t>
            </w:r>
          </w:p>
        </w:tc>
        <w:tc>
          <w:tcPr>
            <w:tcW w:w="2500" w:type="pct"/>
            <w:vAlign w:val="center"/>
          </w:tcPr>
          <w:p w14:paraId="345343E4">
            <w:pPr>
              <w:widowControl w:val="0"/>
              <w:jc w:val="center"/>
              <w:rPr>
                <w:rFonts w:ascii="黑体" w:eastAsia="黑体"/>
                <w:b/>
                <w:kern w:val="2"/>
              </w:rPr>
            </w:pPr>
            <w:r>
              <w:rPr>
                <w:rFonts w:hint="eastAsia" w:ascii="宋体" w:hAnsi="宋体"/>
                <w:kern w:val="2"/>
              </w:rPr>
              <w:t>技术攻关、技术合作</w:t>
            </w:r>
          </w:p>
        </w:tc>
      </w:tr>
      <w:tr w14:paraId="062735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1" w:hRule="atLeast"/>
        </w:trPr>
        <w:tc>
          <w:tcPr>
            <w:tcW w:w="2500" w:type="pct"/>
            <w:vAlign w:val="center"/>
          </w:tcPr>
          <w:p w14:paraId="7F53702E">
            <w:pPr>
              <w:widowControl w:val="0"/>
              <w:jc w:val="center"/>
              <w:rPr>
                <w:rFonts w:ascii="黑体" w:eastAsia="黑体"/>
                <w:b/>
                <w:kern w:val="2"/>
              </w:rPr>
            </w:pPr>
            <w:r>
              <w:rPr>
                <w:rFonts w:hint="eastAsia" w:ascii="宋体" w:hAnsi="宋体"/>
                <w:kern w:val="2"/>
              </w:rPr>
              <w:t>材料采购</w:t>
            </w:r>
          </w:p>
        </w:tc>
        <w:tc>
          <w:tcPr>
            <w:tcW w:w="2500" w:type="pct"/>
            <w:vAlign w:val="center"/>
          </w:tcPr>
          <w:p w14:paraId="3F038C39">
            <w:pPr>
              <w:widowControl w:val="0"/>
              <w:jc w:val="center"/>
              <w:rPr>
                <w:rFonts w:ascii="黑体" w:eastAsia="黑体"/>
                <w:b/>
                <w:kern w:val="2"/>
              </w:rPr>
            </w:pPr>
            <w:r>
              <w:rPr>
                <w:rFonts w:hint="eastAsia" w:ascii="宋体" w:hAnsi="宋体"/>
                <w:kern w:val="2"/>
              </w:rPr>
              <w:t>采购信息化系统、财务预算、分类管理</w:t>
            </w:r>
          </w:p>
        </w:tc>
      </w:tr>
      <w:tr w14:paraId="07D5C1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7" w:hRule="atLeast"/>
        </w:trPr>
        <w:tc>
          <w:tcPr>
            <w:tcW w:w="2500" w:type="pct"/>
            <w:vAlign w:val="center"/>
          </w:tcPr>
          <w:p w14:paraId="29461F28">
            <w:pPr>
              <w:widowControl w:val="0"/>
              <w:jc w:val="center"/>
              <w:rPr>
                <w:rFonts w:ascii="黑体" w:eastAsia="黑体"/>
                <w:b/>
                <w:kern w:val="2"/>
              </w:rPr>
            </w:pPr>
            <w:r>
              <w:rPr>
                <w:rFonts w:hint="eastAsia" w:ascii="宋体" w:hAnsi="宋体"/>
                <w:kern w:val="2"/>
              </w:rPr>
              <w:t>财务和审计</w:t>
            </w:r>
          </w:p>
        </w:tc>
        <w:tc>
          <w:tcPr>
            <w:tcW w:w="2500" w:type="pct"/>
            <w:vAlign w:val="center"/>
          </w:tcPr>
          <w:p w14:paraId="0226068B">
            <w:pPr>
              <w:widowControl w:val="0"/>
              <w:jc w:val="center"/>
              <w:rPr>
                <w:rFonts w:ascii="黑体" w:eastAsia="黑体"/>
                <w:b/>
                <w:kern w:val="2"/>
              </w:rPr>
            </w:pPr>
            <w:r>
              <w:rPr>
                <w:rFonts w:hint="eastAsia" w:ascii="宋体" w:hAnsi="宋体"/>
                <w:kern w:val="2"/>
              </w:rPr>
              <w:t>预算管理 、对比分析法、比率分析法等</w:t>
            </w:r>
          </w:p>
        </w:tc>
      </w:tr>
      <w:tr w14:paraId="0A9C1C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5" w:hRule="atLeast"/>
        </w:trPr>
        <w:tc>
          <w:tcPr>
            <w:tcW w:w="2500" w:type="pct"/>
            <w:vAlign w:val="center"/>
          </w:tcPr>
          <w:p w14:paraId="2E5F2FDD">
            <w:pPr>
              <w:widowControl w:val="0"/>
              <w:jc w:val="center"/>
              <w:rPr>
                <w:rFonts w:ascii="黑体" w:eastAsia="黑体"/>
                <w:b/>
                <w:kern w:val="2"/>
              </w:rPr>
            </w:pPr>
            <w:r>
              <w:rPr>
                <w:rFonts w:hint="eastAsia" w:ascii="宋体" w:hAnsi="宋体"/>
                <w:kern w:val="2"/>
              </w:rPr>
              <w:t>人力资源</w:t>
            </w:r>
          </w:p>
        </w:tc>
        <w:tc>
          <w:tcPr>
            <w:tcW w:w="2500" w:type="pct"/>
            <w:vAlign w:val="center"/>
          </w:tcPr>
          <w:p w14:paraId="14BBFB15">
            <w:pPr>
              <w:widowControl w:val="0"/>
              <w:jc w:val="center"/>
              <w:rPr>
                <w:rFonts w:ascii="黑体" w:eastAsia="黑体"/>
                <w:b/>
                <w:kern w:val="2"/>
              </w:rPr>
            </w:pPr>
            <w:r>
              <w:rPr>
                <w:rFonts w:hint="eastAsia" w:ascii="宋体" w:hAnsi="宋体"/>
                <w:kern w:val="2"/>
              </w:rPr>
              <w:t>合理化建议、统计信息、</w:t>
            </w:r>
            <w:r>
              <w:rPr>
                <w:rFonts w:ascii="宋体" w:hAnsi="宋体"/>
                <w:kern w:val="2"/>
              </w:rPr>
              <w:t>HR</w:t>
            </w:r>
            <w:r>
              <w:rPr>
                <w:rFonts w:hint="eastAsia" w:ascii="宋体" w:hAnsi="宋体"/>
                <w:kern w:val="2"/>
              </w:rPr>
              <w:t>信息化系统</w:t>
            </w:r>
          </w:p>
        </w:tc>
      </w:tr>
    </w:tbl>
    <w:p w14:paraId="21EAF326">
      <w:pPr>
        <w:pStyle w:val="47"/>
        <w:spacing w:line="360" w:lineRule="auto"/>
        <w:rPr>
          <w:color w:val="000000"/>
        </w:rPr>
        <w:sectPr>
          <w:headerReference r:id="rId7" w:type="default"/>
          <w:footerReference r:id="rId8" w:type="default"/>
          <w:pgSz w:w="11906" w:h="16838"/>
          <w:pgMar w:top="1440" w:right="1286" w:bottom="1440" w:left="1260" w:header="851" w:footer="992" w:gutter="0"/>
          <w:cols w:space="720" w:num="1"/>
          <w:docGrid w:type="lines" w:linePitch="312" w:charSpace="0"/>
        </w:sectPr>
      </w:pPr>
    </w:p>
    <w:p w14:paraId="4D7EAB0B">
      <w:pPr>
        <w:pStyle w:val="3"/>
        <w:jc w:val="center"/>
      </w:pPr>
      <w:bookmarkStart w:id="64" w:name="_Toc99720443"/>
      <w:bookmarkStart w:id="65" w:name="_Toc32495"/>
      <w:bookmarkStart w:id="66" w:name="_Toc401871395"/>
      <w:r>
        <w:t>4.</w:t>
      </w:r>
      <w:r>
        <w:rPr>
          <w:rFonts w:hint="eastAsia"/>
        </w:rPr>
        <w:t>7结果</w:t>
      </w:r>
      <w:bookmarkEnd w:id="64"/>
    </w:p>
    <w:p w14:paraId="0F74A9F7">
      <w:pPr>
        <w:pStyle w:val="32"/>
        <w:spacing w:before="312" w:beforeLines="100" w:after="312" w:afterLines="100" w:line="360" w:lineRule="auto"/>
        <w:rPr>
          <w:rFonts w:ascii="Times New Roman" w:eastAsia="宋体"/>
        </w:rPr>
      </w:pPr>
      <w:bookmarkStart w:id="67" w:name="_Toc99720444"/>
      <w:r>
        <w:rPr>
          <w:rFonts w:hint="eastAsia" w:ascii="Times New Roman" w:eastAsia="宋体"/>
        </w:rPr>
        <w:t>4.7.1总则</w:t>
      </w:r>
      <w:bookmarkEnd w:id="67"/>
    </w:p>
    <w:p w14:paraId="09A9262D">
      <w:pPr>
        <w:spacing w:line="360" w:lineRule="auto"/>
        <w:ind w:firstLine="480" w:firstLineChars="200"/>
        <w:rPr>
          <w:szCs w:val="32"/>
        </w:rPr>
      </w:pPr>
      <w:r>
        <w:rPr>
          <w:rFonts w:hint="eastAsia"/>
          <w:szCs w:val="32"/>
        </w:rPr>
        <w:t>公司定期组织专题会议，对经营方面的绩效进行评价、分析和改进。针对顾客满意度、产品和服务的绩效、市场绩效、财务绩效、人力资源绩效、运行绩效以及组织的治理和社会责任绩效进行分析，完善内部资本运营制度，规范严格的绩效考核体系，使公司的人力资源管理逐步迈入成熟的阶段。人力资源的稳定，有利于公司产品质量的提高和企业核心竞争力的增强。</w:t>
      </w:r>
    </w:p>
    <w:p w14:paraId="392A3DBA">
      <w:pPr>
        <w:spacing w:line="360" w:lineRule="auto"/>
        <w:rPr>
          <w:szCs w:val="32"/>
        </w:rPr>
      </w:pPr>
      <w:r>
        <w:rPr>
          <w:rFonts w:hint="eastAsia" w:ascii="宋体" w:hAnsi="宋体"/>
          <w:szCs w:val="32"/>
        </w:rPr>
        <w:tab/>
      </w:r>
      <w:r>
        <w:rPr>
          <w:rFonts w:hint="eastAsia" w:ascii="宋体" w:hAnsi="宋体"/>
          <w:szCs w:val="32"/>
        </w:rPr>
        <w:t>公司坚为顾客和其他相关方提供更高的价值，在组织运营、法律、道德、财务指标以及组织和个人的学习方面取得更好的绩效。通过近三年关键绩效指标结果数据的纵向和横向比较，公司在各方面绩效均有较大改进，与竞争对手或行业比较在竞争能力、行业地位方面均有提升，与标杆企业在卓越程度和相关绩效方面存在的差距不断减小</w:t>
      </w:r>
      <w:r>
        <w:rPr>
          <w:rFonts w:hint="eastAsia"/>
          <w:szCs w:val="32"/>
        </w:rPr>
        <w:t>。</w:t>
      </w:r>
    </w:p>
    <w:bookmarkEnd w:id="65"/>
    <w:bookmarkEnd w:id="66"/>
    <w:p w14:paraId="248ED6F3">
      <w:pPr>
        <w:pStyle w:val="32"/>
        <w:spacing w:before="312" w:beforeLines="100" w:after="312" w:afterLines="100" w:line="360" w:lineRule="auto"/>
        <w:rPr>
          <w:rFonts w:ascii="Times New Roman" w:eastAsia="宋体"/>
        </w:rPr>
      </w:pPr>
      <w:bookmarkStart w:id="68" w:name="_Toc339617487"/>
      <w:bookmarkStart w:id="69" w:name="_Toc401871397"/>
      <w:bookmarkStart w:id="70" w:name="_Toc99720445"/>
      <w:bookmarkStart w:id="71" w:name="_Toc11270"/>
      <w:r>
        <w:rPr>
          <w:rFonts w:hint="eastAsia" w:ascii="Times New Roman" w:eastAsia="宋体"/>
        </w:rPr>
        <w:t>4.7.2 产品和服务结果</w:t>
      </w:r>
      <w:bookmarkEnd w:id="68"/>
      <w:bookmarkEnd w:id="69"/>
      <w:bookmarkEnd w:id="70"/>
      <w:bookmarkEnd w:id="71"/>
    </w:p>
    <w:p w14:paraId="6156653F">
      <w:pPr>
        <w:spacing w:line="360" w:lineRule="auto"/>
        <w:ind w:firstLine="480" w:firstLineChars="200"/>
      </w:pPr>
      <w:bookmarkStart w:id="72" w:name="_Toc342643283"/>
      <w:r>
        <w:rPr>
          <w:rFonts w:hint="eastAsia"/>
        </w:rPr>
        <w:t>公司近两年通过不断规范体系建设，建立科学、规范技术研发、创新体系和质量管理体系，从技术生产、质量、财务、销售、供应、人力资源、市场等方面全方位把控，各岗位和部门间密切有序分工、合作，完善技术开发体系，提高技术创新能力和企业发展后劲，以资产设备为纽带，把高校、研究所的人才优势和企业的装备工艺生产优势结合起来，开展与高校、科研院所等研究机构多方位合作，实现技术提升和配件生产转型升级，以资产设备为纽带，把高校、研究所的人才优势和企业的装备工艺生产优势结合起来，通过成果创新技术转化形成具备知识产权主导产品，发挥巨大的经济效益，大大提高了公司产品的市场核心竞争力。</w:t>
      </w:r>
    </w:p>
    <w:p w14:paraId="4A771547">
      <w:pPr>
        <w:spacing w:line="360" w:lineRule="auto"/>
        <w:ind w:firstLine="480" w:firstLineChars="200"/>
        <w:rPr>
          <w:rFonts w:ascii="宋体" w:hAnsi="宋体" w:cs="宋体"/>
        </w:rPr>
      </w:pPr>
      <w:r>
        <w:rPr>
          <w:rFonts w:hint="eastAsia"/>
        </w:rPr>
        <w:t>近年来，公司积极开展自主创新工作，加大研发投入力度，公司成立产品研发中心、产品试验中心。</w:t>
      </w:r>
    </w:p>
    <w:p w14:paraId="55781424">
      <w:pPr>
        <w:pStyle w:val="32"/>
        <w:spacing w:before="468" w:beforeLines="150" w:after="312" w:afterLines="100" w:line="360" w:lineRule="auto"/>
        <w:rPr>
          <w:rFonts w:ascii="Times New Roman" w:eastAsia="宋体"/>
        </w:rPr>
      </w:pPr>
      <w:bookmarkStart w:id="73" w:name="_Toc3840"/>
      <w:bookmarkStart w:id="74" w:name="_Toc99720446"/>
      <w:r>
        <w:rPr>
          <w:rFonts w:hint="eastAsia" w:ascii="Times New Roman" w:eastAsia="宋体"/>
        </w:rPr>
        <w:t>4.7.3 顾客与市场结果</w:t>
      </w:r>
      <w:bookmarkEnd w:id="73"/>
      <w:bookmarkEnd w:id="74"/>
    </w:p>
    <w:p w14:paraId="7AA990A0">
      <w:pPr>
        <w:pStyle w:val="5"/>
      </w:pPr>
      <w:bookmarkStart w:id="75" w:name="_Toc342643290"/>
      <w:r>
        <w:rPr>
          <w:rFonts w:hint="eastAsia"/>
        </w:rPr>
        <w:t>4.7.3.2 顾客方面的结果</w:t>
      </w:r>
      <w:bookmarkEnd w:id="75"/>
    </w:p>
    <w:p w14:paraId="561E4B60">
      <w:pPr>
        <w:pStyle w:val="44"/>
        <w:spacing w:beforeLines="0" w:line="360" w:lineRule="auto"/>
        <w:ind w:firstLine="0" w:firstLineChars="0"/>
        <w:rPr>
          <w:rFonts w:ascii="宋体" w:hAnsi="宋体" w:eastAsia="宋体"/>
          <w:sz w:val="28"/>
          <w:szCs w:val="28"/>
        </w:rPr>
      </w:pPr>
      <w:r>
        <w:rPr>
          <w:rFonts w:ascii="宋体" w:hAnsi="宋体" w:eastAsia="宋体"/>
          <w:sz w:val="28"/>
          <w:szCs w:val="28"/>
        </w:rPr>
        <w:t>a</w:t>
      </w:r>
      <w:r>
        <w:rPr>
          <w:rFonts w:hint="eastAsia" w:ascii="宋体" w:hAnsi="宋体" w:eastAsia="宋体"/>
          <w:sz w:val="28"/>
          <w:szCs w:val="28"/>
        </w:rPr>
        <w:t>）顾客满意的关键绩效指标的当前水平和趋势</w:t>
      </w:r>
    </w:p>
    <w:p w14:paraId="633E8873">
      <w:pPr>
        <w:spacing w:line="360" w:lineRule="auto"/>
        <w:ind w:firstLine="480" w:firstLineChars="200"/>
        <w:rPr>
          <w:rFonts w:ascii="宋体" w:hAnsi="宋体"/>
          <w:szCs w:val="32"/>
        </w:rPr>
      </w:pPr>
      <w:r>
        <w:rPr>
          <w:rFonts w:hint="eastAsia" w:ascii="宋体" w:hAnsi="宋体"/>
          <w:szCs w:val="32"/>
        </w:rPr>
        <w:t>公司每年都进行顾客满意度调查，根据调查结果，近3年的顾客满意度维持在90%以上。</w:t>
      </w:r>
    </w:p>
    <w:p w14:paraId="437A1180">
      <w:pPr>
        <w:spacing w:line="360" w:lineRule="auto"/>
        <w:jc w:val="center"/>
        <w:rPr>
          <w:rFonts w:hint="eastAsia" w:ascii="黑体" w:hAnsi="黑体" w:eastAsia="黑体" w:cs="宋体"/>
          <w:b/>
          <w:color w:val="000000"/>
          <w:sz w:val="21"/>
          <w:szCs w:val="21"/>
        </w:rPr>
      </w:pPr>
      <w:bookmarkStart w:id="76" w:name="_Ref342591892"/>
    </w:p>
    <w:p w14:paraId="531D5254">
      <w:pPr>
        <w:spacing w:line="360" w:lineRule="auto"/>
        <w:jc w:val="center"/>
        <w:rPr>
          <w:rFonts w:hint="eastAsia" w:ascii="黑体" w:hAnsi="黑体" w:eastAsia="黑体" w:cs="宋体"/>
          <w:b/>
          <w:color w:val="000000"/>
          <w:sz w:val="21"/>
          <w:szCs w:val="21"/>
        </w:rPr>
      </w:pPr>
    </w:p>
    <w:p w14:paraId="09362C49">
      <w:pPr>
        <w:spacing w:line="360" w:lineRule="auto"/>
        <w:jc w:val="center"/>
        <w:rPr>
          <w:rFonts w:hint="eastAsia" w:ascii="黑体" w:hAnsi="黑体" w:eastAsia="黑体" w:cs="宋体"/>
          <w:b/>
          <w:color w:val="000000"/>
          <w:sz w:val="21"/>
          <w:szCs w:val="21"/>
        </w:rPr>
      </w:pPr>
    </w:p>
    <w:p w14:paraId="7BC9693B">
      <w:pPr>
        <w:spacing w:line="360" w:lineRule="auto"/>
        <w:jc w:val="center"/>
        <w:rPr>
          <w:rFonts w:hint="eastAsia" w:ascii="黑体" w:hAnsi="黑体" w:eastAsia="黑体" w:cs="宋体"/>
          <w:b/>
          <w:color w:val="000000"/>
          <w:sz w:val="21"/>
          <w:szCs w:val="21"/>
        </w:rPr>
      </w:pPr>
    </w:p>
    <w:p w14:paraId="0E5286F3">
      <w:pPr>
        <w:spacing w:line="360" w:lineRule="auto"/>
        <w:jc w:val="center"/>
        <w:rPr>
          <w:rFonts w:hint="eastAsia" w:ascii="黑体" w:hAnsi="黑体" w:eastAsia="黑体" w:cs="宋体"/>
          <w:b/>
          <w:color w:val="000000"/>
          <w:sz w:val="21"/>
          <w:szCs w:val="21"/>
        </w:rPr>
      </w:pPr>
    </w:p>
    <w:p w14:paraId="7105972A">
      <w:pPr>
        <w:spacing w:line="360" w:lineRule="auto"/>
        <w:jc w:val="center"/>
        <w:rPr>
          <w:rFonts w:ascii="黑体" w:hAnsi="黑体" w:eastAsia="黑体" w:cs="宋体"/>
          <w:b/>
          <w:color w:val="000000"/>
          <w:sz w:val="21"/>
          <w:szCs w:val="21"/>
        </w:rPr>
      </w:pPr>
      <w:r>
        <w:rPr>
          <w:rFonts w:hint="eastAsia" w:ascii="黑体" w:hAnsi="黑体" w:eastAsia="黑体" w:cs="宋体"/>
          <w:b/>
          <w:color w:val="000000"/>
          <w:sz w:val="21"/>
          <w:szCs w:val="21"/>
        </w:rPr>
        <w:t>图</w:t>
      </w:r>
      <w:r>
        <w:rPr>
          <w:rFonts w:ascii="黑体" w:hAnsi="黑体" w:eastAsia="黑体" w:cs="宋体"/>
          <w:b/>
          <w:color w:val="000000"/>
          <w:sz w:val="21"/>
          <w:szCs w:val="21"/>
        </w:rPr>
        <w:t>4.7.3-</w:t>
      </w:r>
      <w:r>
        <w:fldChar w:fldCharType="begin"/>
      </w:r>
      <w:r>
        <w:instrText xml:space="preserve"> SEQ 图4.7- \* ARABIC  \* MERGEFORMAT </w:instrText>
      </w:r>
      <w:r>
        <w:fldChar w:fldCharType="separate"/>
      </w:r>
      <w:r>
        <w:rPr>
          <w:rFonts w:ascii="黑体" w:hAnsi="黑体" w:eastAsia="黑体" w:cs="宋体"/>
          <w:b/>
          <w:color w:val="000000"/>
          <w:sz w:val="21"/>
          <w:szCs w:val="21"/>
        </w:rPr>
        <w:t>1</w:t>
      </w:r>
      <w:r>
        <w:rPr>
          <w:rFonts w:ascii="黑体" w:hAnsi="黑体" w:eastAsia="黑体" w:cs="宋体"/>
          <w:b/>
          <w:color w:val="000000"/>
          <w:sz w:val="21"/>
          <w:szCs w:val="21"/>
        </w:rPr>
        <w:fldChar w:fldCharType="end"/>
      </w:r>
      <w:bookmarkEnd w:id="76"/>
      <w:r>
        <w:rPr>
          <w:rFonts w:ascii="黑体" w:hAnsi="黑体" w:eastAsia="黑体" w:cs="宋体"/>
          <w:b/>
          <w:color w:val="000000"/>
          <w:sz w:val="21"/>
          <w:szCs w:val="21"/>
        </w:rPr>
        <w:t xml:space="preserve"> 20</w:t>
      </w:r>
      <w:r>
        <w:rPr>
          <w:rFonts w:hint="eastAsia" w:ascii="黑体" w:hAnsi="黑体" w:eastAsia="黑体" w:cs="宋体"/>
          <w:b/>
          <w:color w:val="000000"/>
          <w:sz w:val="21"/>
          <w:szCs w:val="21"/>
        </w:rPr>
        <w:t>2</w:t>
      </w:r>
      <w:r>
        <w:rPr>
          <w:rFonts w:hint="eastAsia" w:ascii="黑体" w:hAnsi="黑体" w:eastAsia="黑体" w:cs="宋体"/>
          <w:b/>
          <w:color w:val="000000"/>
          <w:sz w:val="21"/>
          <w:szCs w:val="21"/>
          <w:lang w:val="en-US" w:eastAsia="zh-CN"/>
        </w:rPr>
        <w:t>2</w:t>
      </w:r>
      <w:r>
        <w:rPr>
          <w:rFonts w:ascii="黑体" w:hAnsi="黑体" w:eastAsia="黑体" w:cs="宋体"/>
          <w:b/>
          <w:color w:val="000000"/>
          <w:sz w:val="21"/>
          <w:szCs w:val="21"/>
        </w:rPr>
        <w:t>-202</w:t>
      </w:r>
      <w:r>
        <w:rPr>
          <w:rFonts w:hint="eastAsia" w:ascii="黑体" w:hAnsi="黑体" w:eastAsia="黑体" w:cs="宋体"/>
          <w:b/>
          <w:color w:val="000000"/>
          <w:sz w:val="21"/>
          <w:szCs w:val="21"/>
          <w:lang w:val="en-US" w:eastAsia="zh-CN"/>
        </w:rPr>
        <w:t>4</w:t>
      </w:r>
      <w:r>
        <w:rPr>
          <w:rFonts w:hint="eastAsia" w:ascii="黑体" w:hAnsi="黑体" w:eastAsia="黑体" w:cs="宋体"/>
          <w:b/>
          <w:color w:val="000000"/>
          <w:sz w:val="21"/>
          <w:szCs w:val="21"/>
        </w:rPr>
        <w:t>顾客满意情况</w:t>
      </w:r>
    </w:p>
    <w:p w14:paraId="7E851BF7">
      <w:pPr>
        <w:spacing w:line="360" w:lineRule="auto"/>
        <w:jc w:val="center"/>
        <w:rPr>
          <w:rFonts w:ascii="仿宋" w:hAnsi="仿宋" w:eastAsia="仿宋" w:cs="宋体"/>
          <w:b/>
          <w:color w:val="000000"/>
        </w:rPr>
      </w:pPr>
      <w:r>
        <w:rPr>
          <w:rFonts w:ascii="仿宋" w:hAnsi="仿宋" w:eastAsia="仿宋" w:cs="宋体"/>
          <w:b/>
          <w:color w:val="000000"/>
        </w:rPr>
        <w:drawing>
          <wp:inline distT="0" distB="0" distL="114300" distR="114300">
            <wp:extent cx="4114800" cy="2094865"/>
            <wp:effectExtent l="0" t="0" r="0" b="635"/>
            <wp:docPr id="27" name="图表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表 2"/>
                    <pic:cNvPicPr>
                      <a:picLocks noChangeAspect="1"/>
                    </pic:cNvPicPr>
                  </pic:nvPicPr>
                  <pic:blipFill>
                    <a:blip r:embed="rId39"/>
                    <a:srcRect b="11317"/>
                    <a:stretch>
                      <a:fillRect/>
                    </a:stretch>
                  </pic:blipFill>
                  <pic:spPr>
                    <a:xfrm>
                      <a:off x="0" y="0"/>
                      <a:ext cx="4114800" cy="2094865"/>
                    </a:xfrm>
                    <a:prstGeom prst="rect">
                      <a:avLst/>
                    </a:prstGeom>
                    <a:noFill/>
                    <a:ln>
                      <a:noFill/>
                    </a:ln>
                  </pic:spPr>
                </pic:pic>
              </a:graphicData>
            </a:graphic>
          </wp:inline>
        </w:drawing>
      </w:r>
    </w:p>
    <w:p w14:paraId="538EE0B8">
      <w:pPr>
        <w:pStyle w:val="44"/>
        <w:spacing w:before="156" w:line="360" w:lineRule="auto"/>
        <w:ind w:firstLine="0" w:firstLineChars="0"/>
        <w:rPr>
          <w:rFonts w:ascii="宋体" w:hAnsi="宋体" w:eastAsia="宋体"/>
          <w:sz w:val="28"/>
          <w:szCs w:val="28"/>
        </w:rPr>
      </w:pPr>
      <w:r>
        <w:rPr>
          <w:rFonts w:ascii="宋体" w:hAnsi="宋体" w:eastAsia="宋体"/>
          <w:sz w:val="28"/>
          <w:szCs w:val="28"/>
        </w:rPr>
        <w:t>b</w:t>
      </w:r>
      <w:r>
        <w:rPr>
          <w:rFonts w:hint="eastAsia" w:ascii="宋体" w:hAnsi="宋体" w:eastAsia="宋体"/>
          <w:sz w:val="28"/>
          <w:szCs w:val="28"/>
        </w:rPr>
        <w:t>）顾客满意与竞争对手和本行业竞争对手对比的结果</w:t>
      </w:r>
    </w:p>
    <w:p w14:paraId="2B4FD4C7">
      <w:pPr>
        <w:spacing w:line="360" w:lineRule="auto"/>
        <w:ind w:firstLine="480" w:firstLineChars="200"/>
        <w:rPr>
          <w:rFonts w:ascii="宋体" w:hAnsi="宋体"/>
          <w:szCs w:val="32"/>
        </w:rPr>
      </w:pPr>
      <w:r>
        <w:rPr>
          <w:rFonts w:hint="eastAsia" w:ascii="宋体" w:hAnsi="宋体"/>
          <w:szCs w:val="32"/>
        </w:rPr>
        <w:t>与竞争对手相比，</w:t>
      </w:r>
      <w:r>
        <w:rPr>
          <w:rFonts w:hint="eastAsia" w:ascii="宋体" w:hAnsi="宋体"/>
          <w:szCs w:val="32"/>
          <w:lang w:eastAsia="zh-CN"/>
        </w:rPr>
        <w:t>中凯涂料</w:t>
      </w:r>
      <w:r>
        <w:rPr>
          <w:rFonts w:hint="eastAsia" w:ascii="宋体" w:hAnsi="宋体"/>
          <w:szCs w:val="32"/>
        </w:rPr>
        <w:t>的顾客满意度一直处在较高的位置，公司产品</w:t>
      </w:r>
      <w:r>
        <w:rPr>
          <w:rFonts w:hint="eastAsia" w:ascii="宋体" w:hAnsi="宋体"/>
          <w:szCs w:val="32"/>
          <w:lang w:eastAsia="zh-CN"/>
        </w:rPr>
        <w:t>物美价廉</w:t>
      </w:r>
      <w:r>
        <w:rPr>
          <w:rFonts w:hint="eastAsia" w:ascii="宋体" w:hAnsi="宋体"/>
          <w:szCs w:val="32"/>
        </w:rPr>
        <w:t>，获得顾客的一致好评，在业内享有良好的声誉。</w:t>
      </w:r>
    </w:p>
    <w:p w14:paraId="30A29948">
      <w:pPr>
        <w:pStyle w:val="44"/>
        <w:spacing w:beforeLines="0" w:line="360" w:lineRule="auto"/>
        <w:ind w:firstLine="0" w:firstLineChars="0"/>
        <w:rPr>
          <w:rFonts w:ascii="宋体" w:hAnsi="宋体" w:eastAsia="宋体"/>
        </w:rPr>
      </w:pPr>
      <w:r>
        <w:rPr>
          <w:rFonts w:ascii="宋体" w:hAnsi="宋体" w:eastAsia="宋体"/>
        </w:rPr>
        <w:t>c</w:t>
      </w:r>
      <w:r>
        <w:rPr>
          <w:rFonts w:hint="eastAsia" w:ascii="宋体" w:hAnsi="宋体" w:eastAsia="宋体"/>
        </w:rPr>
        <w:t>）顾客忠诚的关键绩效指标的当前水平和趋势</w:t>
      </w:r>
    </w:p>
    <w:p w14:paraId="68DF2177">
      <w:pPr>
        <w:spacing w:line="360" w:lineRule="auto"/>
        <w:ind w:firstLine="480" w:firstLineChars="200"/>
        <w:rPr>
          <w:rFonts w:ascii="宋体" w:hAnsi="宋体"/>
        </w:rPr>
      </w:pPr>
      <w:r>
        <w:rPr>
          <w:rFonts w:hint="eastAsia" w:ascii="宋体" w:hAnsi="宋体"/>
        </w:rPr>
        <w:t>近几年公司问题顾客非常少，公司产品得到广大顾客的信任，</w:t>
      </w:r>
      <w:r>
        <w:rPr>
          <w:rFonts w:ascii="宋体" w:hAnsi="宋体"/>
        </w:rPr>
        <w:t>2</w:t>
      </w:r>
      <w:r>
        <w:rPr>
          <w:rFonts w:hint="eastAsia" w:ascii="宋体" w:hAnsi="宋体"/>
          <w:lang w:val="en-US" w:eastAsia="zh-CN"/>
        </w:rPr>
        <w:t>3</w:t>
      </w:r>
      <w:r>
        <w:rPr>
          <w:rFonts w:hint="eastAsia" w:ascii="宋体" w:hAnsi="宋体"/>
        </w:rPr>
        <w:t>、2</w:t>
      </w:r>
      <w:r>
        <w:rPr>
          <w:rFonts w:hint="eastAsia" w:ascii="宋体" w:hAnsi="宋体"/>
          <w:lang w:val="en-US" w:eastAsia="zh-CN"/>
        </w:rPr>
        <w:t>4</w:t>
      </w:r>
      <w:r>
        <w:rPr>
          <w:rFonts w:hint="eastAsia" w:ascii="宋体" w:hAnsi="宋体"/>
        </w:rPr>
        <w:t>、2</w:t>
      </w:r>
      <w:r>
        <w:rPr>
          <w:rFonts w:hint="eastAsia" w:ascii="宋体" w:hAnsi="宋体"/>
          <w:lang w:val="en-US" w:eastAsia="zh-CN"/>
        </w:rPr>
        <w:t>5</w:t>
      </w:r>
      <w:r>
        <w:rPr>
          <w:rFonts w:hint="eastAsia" w:ascii="宋体" w:hAnsi="宋体"/>
        </w:rPr>
        <w:t>年公司的顾客忠诚度指标结果为92%、92%、93%。</w:t>
      </w:r>
      <w:bookmarkEnd w:id="72"/>
    </w:p>
    <w:p w14:paraId="5313C8EB">
      <w:pPr>
        <w:pStyle w:val="5"/>
      </w:pPr>
      <w:r>
        <w:rPr>
          <w:rFonts w:hint="eastAsia"/>
        </w:rPr>
        <w:t>4.7.3.3 市场方面的结果</w:t>
      </w:r>
    </w:p>
    <w:p w14:paraId="390FAE6C">
      <w:pPr>
        <w:pStyle w:val="44"/>
        <w:spacing w:beforeLines="0" w:line="360" w:lineRule="auto"/>
        <w:ind w:firstLine="470" w:firstLineChars="196"/>
        <w:rPr>
          <w:rFonts w:ascii="宋体" w:hAnsi="宋体" w:eastAsia="宋体"/>
          <w:b w:val="0"/>
        </w:rPr>
      </w:pPr>
      <w:r>
        <w:rPr>
          <w:rFonts w:hint="eastAsia" w:ascii="宋体" w:hAnsi="宋体" w:eastAsia="宋体"/>
          <w:b w:val="0"/>
        </w:rPr>
        <w:t>市场的关键绩效指标的当前水平和趋势</w:t>
      </w:r>
    </w:p>
    <w:p w14:paraId="29A330EA">
      <w:pPr>
        <w:autoSpaceDE w:val="0"/>
        <w:autoSpaceDN w:val="0"/>
        <w:adjustRightInd w:val="0"/>
        <w:spacing w:line="360" w:lineRule="auto"/>
        <w:ind w:firstLine="422" w:firstLineChars="200"/>
        <w:jc w:val="center"/>
        <w:rPr>
          <w:rFonts w:ascii="黑体" w:hAnsi="黑体" w:eastAsia="黑体" w:cs="宋体"/>
          <w:b/>
          <w:sz w:val="21"/>
          <w:szCs w:val="21"/>
        </w:rPr>
      </w:pPr>
      <w:r>
        <w:rPr>
          <w:rFonts w:hint="eastAsia" w:ascii="黑体" w:hAnsi="黑体" w:eastAsia="黑体" w:cs="宋体"/>
          <w:b/>
          <w:sz w:val="21"/>
          <w:szCs w:val="21"/>
        </w:rPr>
        <w:t>表</w:t>
      </w:r>
      <w:r>
        <w:rPr>
          <w:rFonts w:ascii="黑体" w:hAnsi="黑体" w:eastAsia="黑体" w:cs="宋体"/>
          <w:b/>
          <w:sz w:val="21"/>
          <w:szCs w:val="21"/>
        </w:rPr>
        <w:t>4.7.</w:t>
      </w:r>
      <w:r>
        <w:rPr>
          <w:rFonts w:hint="eastAsia" w:ascii="黑体" w:hAnsi="黑体" w:eastAsia="黑体" w:cs="宋体"/>
          <w:b/>
          <w:sz w:val="21"/>
          <w:szCs w:val="21"/>
        </w:rPr>
        <w:t>3</w:t>
      </w:r>
      <w:r>
        <w:rPr>
          <w:rFonts w:ascii="黑体" w:hAnsi="黑体" w:eastAsia="黑体" w:cs="宋体"/>
          <w:b/>
          <w:sz w:val="21"/>
          <w:szCs w:val="21"/>
        </w:rPr>
        <w:t>-</w:t>
      </w:r>
      <w:r>
        <w:rPr>
          <w:rFonts w:hint="eastAsia" w:ascii="黑体" w:hAnsi="黑体" w:eastAsia="黑体" w:cs="宋体"/>
          <w:b/>
          <w:sz w:val="21"/>
          <w:szCs w:val="21"/>
        </w:rPr>
        <w:t>1 202</w:t>
      </w:r>
      <w:r>
        <w:rPr>
          <w:rFonts w:hint="eastAsia" w:ascii="黑体" w:hAnsi="黑体" w:eastAsia="黑体" w:cs="宋体"/>
          <w:b/>
          <w:sz w:val="21"/>
          <w:szCs w:val="21"/>
          <w:lang w:val="en-US" w:eastAsia="zh-CN"/>
        </w:rPr>
        <w:t>3</w:t>
      </w:r>
      <w:r>
        <w:rPr>
          <w:rFonts w:hint="eastAsia" w:ascii="黑体" w:hAnsi="黑体" w:eastAsia="黑体" w:cs="宋体"/>
          <w:b/>
          <w:sz w:val="21"/>
          <w:szCs w:val="21"/>
        </w:rPr>
        <w:t>-202</w:t>
      </w:r>
      <w:r>
        <w:rPr>
          <w:rFonts w:hint="eastAsia" w:ascii="黑体" w:hAnsi="黑体" w:eastAsia="黑体" w:cs="宋体"/>
          <w:b/>
          <w:sz w:val="21"/>
          <w:szCs w:val="21"/>
          <w:lang w:val="en-US" w:eastAsia="zh-CN"/>
        </w:rPr>
        <w:t>5</w:t>
      </w:r>
      <w:r>
        <w:rPr>
          <w:rFonts w:hint="eastAsia" w:ascii="黑体" w:hAnsi="黑体" w:eastAsia="黑体" w:cs="宋体"/>
          <w:b/>
          <w:sz w:val="21"/>
          <w:szCs w:val="21"/>
        </w:rPr>
        <w:t>年主要产品签单统计表</w:t>
      </w:r>
    </w:p>
    <w:tbl>
      <w:tblPr>
        <w:tblStyle w:val="22"/>
        <w:tblW w:w="82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6"/>
        <w:gridCol w:w="1276"/>
        <w:gridCol w:w="1843"/>
        <w:gridCol w:w="1701"/>
        <w:gridCol w:w="1602"/>
      </w:tblGrid>
      <w:tr w14:paraId="6A90C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blHeader/>
          <w:jc w:val="center"/>
        </w:trPr>
        <w:tc>
          <w:tcPr>
            <w:tcW w:w="1796" w:type="dxa"/>
            <w:shd w:val="clear" w:color="auto" w:fill="938953"/>
            <w:vAlign w:val="center"/>
          </w:tcPr>
          <w:p w14:paraId="74984604">
            <w:pPr>
              <w:pStyle w:val="31"/>
              <w:widowControl w:val="0"/>
              <w:spacing w:line="400" w:lineRule="exact"/>
              <w:rPr>
                <w:rFonts w:ascii="宋体" w:hAnsi="宋体" w:eastAsia="宋体"/>
                <w:b/>
                <w:color w:val="auto"/>
                <w:kern w:val="2"/>
                <w:sz w:val="21"/>
                <w:szCs w:val="21"/>
              </w:rPr>
            </w:pPr>
            <w:r>
              <w:rPr>
                <w:rFonts w:hint="eastAsia" w:ascii="宋体" w:hAnsi="宋体" w:eastAsia="宋体"/>
                <w:b/>
                <w:color w:val="auto"/>
                <w:kern w:val="2"/>
                <w:sz w:val="21"/>
                <w:szCs w:val="21"/>
              </w:rPr>
              <w:t>产品名称</w:t>
            </w:r>
          </w:p>
        </w:tc>
        <w:tc>
          <w:tcPr>
            <w:tcW w:w="1276" w:type="dxa"/>
            <w:shd w:val="clear" w:color="auto" w:fill="938953"/>
            <w:vAlign w:val="center"/>
          </w:tcPr>
          <w:p w14:paraId="10C2EC76">
            <w:pPr>
              <w:pStyle w:val="31"/>
              <w:widowControl w:val="0"/>
              <w:spacing w:line="400" w:lineRule="exact"/>
              <w:rPr>
                <w:rFonts w:ascii="宋体" w:hAnsi="宋体" w:eastAsia="宋体"/>
                <w:b/>
                <w:color w:val="auto"/>
                <w:kern w:val="2"/>
                <w:sz w:val="21"/>
                <w:szCs w:val="21"/>
              </w:rPr>
            </w:pPr>
            <w:r>
              <w:rPr>
                <w:rFonts w:hint="eastAsia" w:ascii="宋体" w:hAnsi="宋体" w:eastAsia="宋体"/>
                <w:b/>
                <w:color w:val="auto"/>
                <w:kern w:val="2"/>
                <w:sz w:val="21"/>
                <w:szCs w:val="21"/>
              </w:rPr>
              <w:t>单位</w:t>
            </w:r>
          </w:p>
        </w:tc>
        <w:tc>
          <w:tcPr>
            <w:tcW w:w="1843" w:type="dxa"/>
            <w:shd w:val="clear" w:color="auto" w:fill="938953"/>
            <w:vAlign w:val="center"/>
          </w:tcPr>
          <w:p w14:paraId="20F618A7">
            <w:pPr>
              <w:pStyle w:val="31"/>
              <w:widowControl w:val="0"/>
              <w:spacing w:line="260" w:lineRule="exact"/>
              <w:rPr>
                <w:rFonts w:ascii="宋体" w:hAnsi="宋体" w:eastAsia="宋体"/>
                <w:b/>
                <w:color w:val="auto"/>
                <w:kern w:val="2"/>
                <w:sz w:val="21"/>
                <w:szCs w:val="21"/>
              </w:rPr>
            </w:pPr>
            <w:r>
              <w:rPr>
                <w:rFonts w:hint="eastAsia" w:ascii="宋体" w:hAnsi="宋体" w:eastAsia="宋体"/>
                <w:b/>
                <w:color w:val="auto"/>
                <w:kern w:val="2"/>
                <w:sz w:val="21"/>
                <w:szCs w:val="21"/>
              </w:rPr>
              <w:t>202</w:t>
            </w:r>
            <w:r>
              <w:rPr>
                <w:rFonts w:hint="eastAsia" w:ascii="宋体" w:hAnsi="宋体" w:eastAsia="宋体"/>
                <w:b/>
                <w:color w:val="auto"/>
                <w:kern w:val="2"/>
                <w:sz w:val="21"/>
                <w:szCs w:val="21"/>
                <w:lang w:val="en-US" w:eastAsia="zh-CN"/>
              </w:rPr>
              <w:t>3</w:t>
            </w:r>
            <w:r>
              <w:rPr>
                <w:rFonts w:hint="eastAsia" w:ascii="宋体" w:hAnsi="宋体" w:eastAsia="宋体"/>
                <w:b/>
                <w:color w:val="auto"/>
                <w:kern w:val="2"/>
                <w:sz w:val="21"/>
                <w:szCs w:val="21"/>
              </w:rPr>
              <w:t>年</w:t>
            </w:r>
          </w:p>
        </w:tc>
        <w:tc>
          <w:tcPr>
            <w:tcW w:w="1701" w:type="dxa"/>
            <w:shd w:val="clear" w:color="auto" w:fill="938953"/>
            <w:vAlign w:val="center"/>
          </w:tcPr>
          <w:p w14:paraId="1C1C7179">
            <w:pPr>
              <w:pStyle w:val="31"/>
              <w:widowControl w:val="0"/>
              <w:spacing w:line="260" w:lineRule="exact"/>
              <w:rPr>
                <w:rFonts w:ascii="宋体" w:hAnsi="宋体" w:eastAsia="宋体"/>
                <w:b/>
                <w:color w:val="auto"/>
                <w:kern w:val="2"/>
                <w:sz w:val="21"/>
                <w:szCs w:val="21"/>
              </w:rPr>
            </w:pPr>
            <w:r>
              <w:rPr>
                <w:rFonts w:hint="eastAsia" w:ascii="宋体" w:hAnsi="宋体" w:eastAsia="宋体"/>
                <w:b/>
                <w:color w:val="auto"/>
                <w:kern w:val="2"/>
                <w:sz w:val="21"/>
                <w:szCs w:val="21"/>
              </w:rPr>
              <w:t>20</w:t>
            </w:r>
            <w:r>
              <w:rPr>
                <w:rFonts w:ascii="宋体" w:hAnsi="宋体" w:eastAsia="宋体"/>
                <w:b/>
                <w:color w:val="auto"/>
                <w:kern w:val="2"/>
                <w:sz w:val="21"/>
                <w:szCs w:val="21"/>
              </w:rPr>
              <w:t>2</w:t>
            </w:r>
            <w:r>
              <w:rPr>
                <w:rFonts w:hint="eastAsia" w:ascii="宋体" w:hAnsi="宋体" w:eastAsia="宋体"/>
                <w:b/>
                <w:color w:val="auto"/>
                <w:kern w:val="2"/>
                <w:sz w:val="21"/>
                <w:szCs w:val="21"/>
                <w:lang w:val="en-US" w:eastAsia="zh-CN"/>
              </w:rPr>
              <w:t>4</w:t>
            </w:r>
            <w:r>
              <w:rPr>
                <w:rFonts w:hint="eastAsia" w:ascii="宋体" w:hAnsi="宋体" w:eastAsia="宋体"/>
                <w:b/>
                <w:color w:val="auto"/>
                <w:kern w:val="2"/>
                <w:sz w:val="21"/>
                <w:szCs w:val="21"/>
              </w:rPr>
              <w:t>年</w:t>
            </w:r>
          </w:p>
        </w:tc>
        <w:tc>
          <w:tcPr>
            <w:tcW w:w="1602" w:type="dxa"/>
            <w:shd w:val="clear" w:color="auto" w:fill="938953"/>
            <w:vAlign w:val="center"/>
          </w:tcPr>
          <w:p w14:paraId="0A39E848">
            <w:pPr>
              <w:pStyle w:val="31"/>
              <w:widowControl w:val="0"/>
              <w:spacing w:line="260" w:lineRule="exact"/>
              <w:rPr>
                <w:rFonts w:ascii="宋体" w:hAnsi="宋体" w:eastAsia="宋体"/>
                <w:b/>
                <w:color w:val="auto"/>
                <w:kern w:val="2"/>
                <w:sz w:val="21"/>
                <w:szCs w:val="21"/>
              </w:rPr>
            </w:pPr>
            <w:r>
              <w:rPr>
                <w:rFonts w:hint="eastAsia" w:ascii="宋体" w:hAnsi="宋体" w:eastAsia="宋体"/>
                <w:b/>
                <w:color w:val="auto"/>
                <w:kern w:val="2"/>
                <w:sz w:val="21"/>
                <w:szCs w:val="21"/>
              </w:rPr>
              <w:t>202</w:t>
            </w:r>
            <w:r>
              <w:rPr>
                <w:rFonts w:hint="eastAsia" w:ascii="宋体" w:hAnsi="宋体" w:eastAsia="宋体"/>
                <w:b/>
                <w:color w:val="auto"/>
                <w:kern w:val="2"/>
                <w:sz w:val="21"/>
                <w:szCs w:val="21"/>
                <w:lang w:val="en-US" w:eastAsia="zh-CN"/>
              </w:rPr>
              <w:t>5</w:t>
            </w:r>
            <w:r>
              <w:rPr>
                <w:rFonts w:hint="eastAsia" w:ascii="宋体" w:hAnsi="宋体" w:eastAsia="宋体"/>
                <w:b/>
                <w:color w:val="auto"/>
                <w:kern w:val="2"/>
                <w:sz w:val="21"/>
                <w:szCs w:val="21"/>
              </w:rPr>
              <w:t>年</w:t>
            </w:r>
          </w:p>
        </w:tc>
      </w:tr>
      <w:tr w14:paraId="6AD6B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1796" w:type="dxa"/>
            <w:vAlign w:val="center"/>
          </w:tcPr>
          <w:p w14:paraId="4EB88C7F">
            <w:pPr>
              <w:spacing w:line="400" w:lineRule="exact"/>
              <w:jc w:val="center"/>
              <w:rPr>
                <w:rFonts w:ascii="宋体" w:hAnsi="宋体"/>
                <w:spacing w:val="-4"/>
                <w:kern w:val="2"/>
                <w:sz w:val="21"/>
                <w:szCs w:val="21"/>
              </w:rPr>
            </w:pPr>
            <w:r>
              <w:rPr>
                <w:rFonts w:hint="eastAsia" w:ascii="宋体" w:hAnsi="宋体"/>
                <w:b/>
                <w:kern w:val="2"/>
                <w:sz w:val="21"/>
                <w:szCs w:val="21"/>
              </w:rPr>
              <w:t>销售额</w:t>
            </w:r>
          </w:p>
        </w:tc>
        <w:tc>
          <w:tcPr>
            <w:tcW w:w="1276" w:type="dxa"/>
            <w:vAlign w:val="center"/>
          </w:tcPr>
          <w:p w14:paraId="18F2CF96">
            <w:pPr>
              <w:spacing w:line="400" w:lineRule="exact"/>
              <w:jc w:val="center"/>
              <w:rPr>
                <w:rFonts w:ascii="宋体" w:hAnsi="宋体"/>
                <w:spacing w:val="-4"/>
                <w:kern w:val="2"/>
                <w:sz w:val="21"/>
                <w:szCs w:val="21"/>
              </w:rPr>
            </w:pPr>
            <w:r>
              <w:rPr>
                <w:rFonts w:hint="eastAsia" w:ascii="宋体" w:hAnsi="宋体"/>
                <w:spacing w:val="-4"/>
                <w:kern w:val="2"/>
                <w:sz w:val="21"/>
                <w:szCs w:val="21"/>
              </w:rPr>
              <w:t>万元</w:t>
            </w:r>
          </w:p>
        </w:tc>
        <w:tc>
          <w:tcPr>
            <w:tcW w:w="1843" w:type="dxa"/>
            <w:vAlign w:val="center"/>
          </w:tcPr>
          <w:p w14:paraId="3612731A">
            <w:pPr>
              <w:spacing w:line="400" w:lineRule="exact"/>
              <w:jc w:val="center"/>
              <w:rPr>
                <w:rFonts w:hint="default" w:ascii="宋体" w:hAnsi="宋体" w:eastAsia="宋体"/>
                <w:spacing w:val="-4"/>
                <w:kern w:val="2"/>
                <w:sz w:val="21"/>
                <w:szCs w:val="21"/>
                <w:lang w:val="en-US" w:eastAsia="zh-CN"/>
              </w:rPr>
            </w:pPr>
            <w:r>
              <w:rPr>
                <w:rFonts w:hint="eastAsia" w:ascii="宋体" w:hAnsi="宋体"/>
                <w:spacing w:val="-4"/>
                <w:kern w:val="2"/>
                <w:sz w:val="21"/>
                <w:szCs w:val="21"/>
                <w:lang w:val="en-US" w:eastAsia="zh-CN"/>
              </w:rPr>
              <w:t>2449</w:t>
            </w:r>
          </w:p>
        </w:tc>
        <w:tc>
          <w:tcPr>
            <w:tcW w:w="1701" w:type="dxa"/>
            <w:vAlign w:val="center"/>
          </w:tcPr>
          <w:p w14:paraId="7CD67C77">
            <w:pPr>
              <w:spacing w:line="400" w:lineRule="exact"/>
              <w:jc w:val="center"/>
              <w:rPr>
                <w:rFonts w:hint="default" w:ascii="宋体" w:hAnsi="宋体" w:eastAsia="宋体"/>
                <w:spacing w:val="-4"/>
                <w:kern w:val="2"/>
                <w:sz w:val="21"/>
                <w:szCs w:val="21"/>
                <w:lang w:val="en-US" w:eastAsia="zh-CN"/>
              </w:rPr>
            </w:pPr>
            <w:r>
              <w:rPr>
                <w:rFonts w:hint="eastAsia" w:ascii="宋体" w:hAnsi="宋体"/>
                <w:spacing w:val="-4"/>
                <w:kern w:val="2"/>
                <w:sz w:val="21"/>
                <w:szCs w:val="21"/>
                <w:lang w:val="en-US" w:eastAsia="zh-CN"/>
              </w:rPr>
              <w:t>1876</w:t>
            </w:r>
          </w:p>
        </w:tc>
        <w:tc>
          <w:tcPr>
            <w:tcW w:w="1602" w:type="dxa"/>
            <w:vAlign w:val="center"/>
          </w:tcPr>
          <w:p w14:paraId="4B71E122">
            <w:pPr>
              <w:spacing w:line="400" w:lineRule="exact"/>
              <w:jc w:val="center"/>
              <w:rPr>
                <w:rFonts w:hint="default" w:ascii="宋体" w:hAnsi="宋体" w:eastAsia="宋体"/>
                <w:spacing w:val="-4"/>
                <w:kern w:val="2"/>
                <w:sz w:val="21"/>
                <w:szCs w:val="21"/>
                <w:lang w:val="en-US" w:eastAsia="zh-CN"/>
              </w:rPr>
            </w:pPr>
            <w:r>
              <w:rPr>
                <w:rFonts w:hint="eastAsia" w:ascii="宋体" w:hAnsi="宋体"/>
                <w:spacing w:val="-4"/>
                <w:kern w:val="2"/>
                <w:sz w:val="21"/>
                <w:szCs w:val="21"/>
                <w:lang w:val="en-US" w:eastAsia="zh-CN"/>
              </w:rPr>
              <w:t>2104</w:t>
            </w:r>
          </w:p>
        </w:tc>
      </w:tr>
    </w:tbl>
    <w:p w14:paraId="4967B855">
      <w:pPr>
        <w:autoSpaceDE w:val="0"/>
        <w:autoSpaceDN w:val="0"/>
        <w:adjustRightInd w:val="0"/>
        <w:spacing w:before="156" w:beforeLines="50" w:line="360" w:lineRule="auto"/>
        <w:ind w:firstLine="422" w:firstLineChars="200"/>
        <w:jc w:val="center"/>
        <w:rPr>
          <w:rFonts w:ascii="黑体" w:hAnsi="黑体" w:eastAsia="黑体" w:cs="宋体"/>
          <w:b/>
          <w:sz w:val="21"/>
          <w:szCs w:val="21"/>
        </w:rPr>
      </w:pPr>
      <w:r>
        <w:rPr>
          <w:rFonts w:hint="eastAsia" w:ascii="黑体" w:hAnsi="黑体" w:eastAsia="黑体" w:cs="宋体"/>
          <w:b/>
          <w:sz w:val="21"/>
          <w:szCs w:val="21"/>
        </w:rPr>
        <w:t>表</w:t>
      </w:r>
      <w:r>
        <w:rPr>
          <w:rFonts w:ascii="黑体" w:hAnsi="黑体" w:eastAsia="黑体" w:cs="宋体"/>
          <w:b/>
          <w:sz w:val="21"/>
          <w:szCs w:val="21"/>
        </w:rPr>
        <w:t>4.7.</w:t>
      </w:r>
      <w:r>
        <w:rPr>
          <w:rFonts w:hint="eastAsia" w:ascii="黑体" w:hAnsi="黑体" w:eastAsia="黑体" w:cs="宋体"/>
          <w:b/>
          <w:sz w:val="21"/>
          <w:szCs w:val="21"/>
        </w:rPr>
        <w:t>3</w:t>
      </w:r>
      <w:r>
        <w:rPr>
          <w:rFonts w:ascii="黑体" w:hAnsi="黑体" w:eastAsia="黑体" w:cs="宋体"/>
          <w:b/>
          <w:sz w:val="21"/>
          <w:szCs w:val="21"/>
        </w:rPr>
        <w:t>-</w:t>
      </w:r>
      <w:r>
        <w:rPr>
          <w:rFonts w:hint="eastAsia" w:ascii="黑体" w:hAnsi="黑体" w:eastAsia="黑体" w:cs="宋体"/>
          <w:b/>
          <w:sz w:val="21"/>
          <w:szCs w:val="21"/>
        </w:rPr>
        <w:t>2 202</w:t>
      </w:r>
      <w:r>
        <w:rPr>
          <w:rFonts w:hint="eastAsia" w:ascii="黑体" w:hAnsi="黑体" w:eastAsia="黑体" w:cs="宋体"/>
          <w:b/>
          <w:sz w:val="21"/>
          <w:szCs w:val="21"/>
          <w:lang w:val="en-US" w:eastAsia="zh-CN"/>
        </w:rPr>
        <w:t>2</w:t>
      </w:r>
      <w:r>
        <w:rPr>
          <w:rFonts w:hint="eastAsia" w:ascii="黑体" w:hAnsi="黑体" w:eastAsia="黑体" w:cs="宋体"/>
          <w:b/>
          <w:sz w:val="21"/>
          <w:szCs w:val="21"/>
        </w:rPr>
        <w:t>-202</w:t>
      </w:r>
      <w:r>
        <w:rPr>
          <w:rFonts w:hint="eastAsia" w:ascii="黑体" w:hAnsi="黑体" w:eastAsia="黑体" w:cs="宋体"/>
          <w:b/>
          <w:sz w:val="21"/>
          <w:szCs w:val="21"/>
          <w:lang w:val="en-US" w:eastAsia="zh-CN"/>
        </w:rPr>
        <w:t>4</w:t>
      </w:r>
      <w:r>
        <w:rPr>
          <w:rFonts w:hint="eastAsia" w:ascii="黑体" w:hAnsi="黑体" w:eastAsia="黑体" w:cs="宋体"/>
          <w:b/>
          <w:sz w:val="21"/>
          <w:szCs w:val="21"/>
        </w:rPr>
        <w:t>年市场占有率统计表</w:t>
      </w:r>
    </w:p>
    <w:tbl>
      <w:tblPr>
        <w:tblStyle w:val="22"/>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8"/>
        <w:gridCol w:w="1753"/>
        <w:gridCol w:w="1793"/>
        <w:gridCol w:w="1668"/>
        <w:gridCol w:w="1668"/>
      </w:tblGrid>
      <w:tr w14:paraId="41DED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blHeader/>
          <w:jc w:val="center"/>
        </w:trPr>
        <w:tc>
          <w:tcPr>
            <w:tcW w:w="961" w:type="pct"/>
            <w:shd w:val="clear" w:color="auto" w:fill="938953"/>
            <w:vAlign w:val="center"/>
          </w:tcPr>
          <w:p w14:paraId="2B178400">
            <w:pPr>
              <w:pStyle w:val="31"/>
              <w:widowControl w:val="0"/>
              <w:spacing w:line="400" w:lineRule="exact"/>
              <w:rPr>
                <w:rFonts w:ascii="宋体" w:hAnsi="宋体" w:eastAsia="宋体"/>
                <w:b/>
                <w:color w:val="auto"/>
                <w:kern w:val="2"/>
                <w:sz w:val="21"/>
                <w:szCs w:val="21"/>
              </w:rPr>
            </w:pPr>
            <w:r>
              <w:rPr>
                <w:rFonts w:hint="eastAsia" w:ascii="宋体" w:hAnsi="宋体" w:eastAsia="宋体"/>
                <w:b/>
                <w:color w:val="auto"/>
                <w:kern w:val="2"/>
                <w:sz w:val="21"/>
                <w:szCs w:val="21"/>
              </w:rPr>
              <w:t>产品名称</w:t>
            </w:r>
          </w:p>
        </w:tc>
        <w:tc>
          <w:tcPr>
            <w:tcW w:w="1029" w:type="pct"/>
            <w:shd w:val="clear" w:color="auto" w:fill="938953"/>
            <w:vAlign w:val="center"/>
          </w:tcPr>
          <w:p w14:paraId="402FB5CA">
            <w:pPr>
              <w:pStyle w:val="31"/>
              <w:widowControl w:val="0"/>
              <w:spacing w:line="400" w:lineRule="exact"/>
              <w:rPr>
                <w:rFonts w:ascii="宋体" w:hAnsi="宋体" w:eastAsia="宋体"/>
                <w:b/>
                <w:color w:val="auto"/>
                <w:kern w:val="2"/>
                <w:sz w:val="21"/>
                <w:szCs w:val="21"/>
              </w:rPr>
            </w:pPr>
            <w:r>
              <w:rPr>
                <w:rFonts w:hint="eastAsia" w:ascii="宋体" w:hAnsi="宋体" w:eastAsia="宋体"/>
                <w:b/>
                <w:color w:val="auto"/>
                <w:kern w:val="2"/>
                <w:sz w:val="21"/>
                <w:szCs w:val="21"/>
              </w:rPr>
              <w:t>单位</w:t>
            </w:r>
          </w:p>
        </w:tc>
        <w:tc>
          <w:tcPr>
            <w:tcW w:w="1052" w:type="pct"/>
            <w:shd w:val="clear" w:color="auto" w:fill="938953"/>
            <w:vAlign w:val="center"/>
          </w:tcPr>
          <w:p w14:paraId="015DCC4C">
            <w:pPr>
              <w:pStyle w:val="31"/>
              <w:widowControl w:val="0"/>
              <w:spacing w:line="260" w:lineRule="exact"/>
              <w:rPr>
                <w:rFonts w:ascii="宋体" w:hAnsi="宋体" w:eastAsia="宋体"/>
                <w:b/>
                <w:color w:val="auto"/>
                <w:kern w:val="2"/>
                <w:sz w:val="21"/>
                <w:szCs w:val="21"/>
              </w:rPr>
            </w:pPr>
            <w:r>
              <w:rPr>
                <w:rFonts w:hint="eastAsia" w:ascii="宋体" w:hAnsi="宋体" w:eastAsia="宋体"/>
                <w:b/>
                <w:color w:val="auto"/>
                <w:kern w:val="2"/>
                <w:sz w:val="21"/>
                <w:szCs w:val="21"/>
              </w:rPr>
              <w:t>202</w:t>
            </w:r>
            <w:r>
              <w:rPr>
                <w:rFonts w:hint="eastAsia" w:ascii="宋体" w:hAnsi="宋体" w:eastAsia="宋体"/>
                <w:b/>
                <w:color w:val="auto"/>
                <w:kern w:val="2"/>
                <w:sz w:val="21"/>
                <w:szCs w:val="21"/>
                <w:lang w:val="en-US" w:eastAsia="zh-CN"/>
              </w:rPr>
              <w:t>3</w:t>
            </w:r>
            <w:r>
              <w:rPr>
                <w:rFonts w:hint="eastAsia" w:ascii="宋体" w:hAnsi="宋体" w:eastAsia="宋体"/>
                <w:b/>
                <w:color w:val="auto"/>
                <w:kern w:val="2"/>
                <w:sz w:val="21"/>
                <w:szCs w:val="21"/>
              </w:rPr>
              <w:t>年</w:t>
            </w:r>
          </w:p>
        </w:tc>
        <w:tc>
          <w:tcPr>
            <w:tcW w:w="979" w:type="pct"/>
            <w:shd w:val="clear" w:color="auto" w:fill="938953"/>
            <w:vAlign w:val="center"/>
          </w:tcPr>
          <w:p w14:paraId="06731EC9">
            <w:pPr>
              <w:pStyle w:val="31"/>
              <w:widowControl w:val="0"/>
              <w:spacing w:line="260" w:lineRule="exact"/>
              <w:rPr>
                <w:rFonts w:ascii="宋体" w:hAnsi="宋体" w:eastAsia="宋体"/>
                <w:b/>
                <w:color w:val="auto"/>
                <w:kern w:val="2"/>
                <w:sz w:val="21"/>
                <w:szCs w:val="21"/>
              </w:rPr>
            </w:pPr>
            <w:r>
              <w:rPr>
                <w:rFonts w:hint="eastAsia" w:ascii="宋体" w:hAnsi="宋体" w:eastAsia="宋体"/>
                <w:b/>
                <w:color w:val="auto"/>
                <w:kern w:val="2"/>
                <w:sz w:val="21"/>
                <w:szCs w:val="21"/>
              </w:rPr>
              <w:t>20</w:t>
            </w:r>
            <w:r>
              <w:rPr>
                <w:rFonts w:ascii="宋体" w:hAnsi="宋体" w:eastAsia="宋体"/>
                <w:b/>
                <w:color w:val="auto"/>
                <w:kern w:val="2"/>
                <w:sz w:val="21"/>
                <w:szCs w:val="21"/>
              </w:rPr>
              <w:t>2</w:t>
            </w:r>
            <w:r>
              <w:rPr>
                <w:rFonts w:hint="eastAsia" w:ascii="宋体" w:hAnsi="宋体" w:eastAsia="宋体"/>
                <w:b/>
                <w:color w:val="auto"/>
                <w:kern w:val="2"/>
                <w:sz w:val="21"/>
                <w:szCs w:val="21"/>
                <w:lang w:val="en-US" w:eastAsia="zh-CN"/>
              </w:rPr>
              <w:t>4</w:t>
            </w:r>
            <w:r>
              <w:rPr>
                <w:rFonts w:hint="eastAsia" w:ascii="宋体" w:hAnsi="宋体" w:eastAsia="宋体"/>
                <w:b/>
                <w:color w:val="auto"/>
                <w:kern w:val="2"/>
                <w:sz w:val="21"/>
                <w:szCs w:val="21"/>
              </w:rPr>
              <w:t>年</w:t>
            </w:r>
          </w:p>
        </w:tc>
        <w:tc>
          <w:tcPr>
            <w:tcW w:w="979" w:type="pct"/>
            <w:shd w:val="clear" w:color="auto" w:fill="938953"/>
            <w:vAlign w:val="center"/>
          </w:tcPr>
          <w:p w14:paraId="0970A7B7">
            <w:pPr>
              <w:pStyle w:val="31"/>
              <w:widowControl w:val="0"/>
              <w:spacing w:line="260" w:lineRule="exact"/>
              <w:rPr>
                <w:rFonts w:ascii="宋体" w:hAnsi="宋体" w:eastAsia="宋体"/>
                <w:b/>
                <w:color w:val="auto"/>
                <w:kern w:val="2"/>
                <w:sz w:val="21"/>
                <w:szCs w:val="21"/>
              </w:rPr>
            </w:pPr>
            <w:r>
              <w:rPr>
                <w:rFonts w:hint="eastAsia" w:ascii="宋体" w:hAnsi="宋体" w:eastAsia="宋体"/>
                <w:b/>
                <w:color w:val="auto"/>
                <w:kern w:val="2"/>
                <w:sz w:val="21"/>
                <w:szCs w:val="21"/>
              </w:rPr>
              <w:t>202</w:t>
            </w:r>
            <w:r>
              <w:rPr>
                <w:rFonts w:hint="eastAsia" w:ascii="宋体" w:hAnsi="宋体" w:eastAsia="宋体"/>
                <w:b/>
                <w:color w:val="auto"/>
                <w:kern w:val="2"/>
                <w:sz w:val="21"/>
                <w:szCs w:val="21"/>
                <w:lang w:val="en-US" w:eastAsia="zh-CN"/>
              </w:rPr>
              <w:t>5</w:t>
            </w:r>
            <w:r>
              <w:rPr>
                <w:rFonts w:hint="eastAsia" w:ascii="宋体" w:hAnsi="宋体" w:eastAsia="宋体"/>
                <w:b/>
                <w:color w:val="auto"/>
                <w:kern w:val="2"/>
                <w:sz w:val="21"/>
                <w:szCs w:val="21"/>
              </w:rPr>
              <w:t>年</w:t>
            </w:r>
          </w:p>
        </w:tc>
      </w:tr>
      <w:tr w14:paraId="0D589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961" w:type="pct"/>
            <w:vAlign w:val="center"/>
          </w:tcPr>
          <w:p w14:paraId="1D68923E">
            <w:pPr>
              <w:spacing w:line="400" w:lineRule="exact"/>
              <w:jc w:val="both"/>
              <w:rPr>
                <w:rFonts w:ascii="宋体" w:hAnsi="宋体"/>
                <w:b/>
                <w:kern w:val="2"/>
                <w:sz w:val="21"/>
                <w:szCs w:val="21"/>
              </w:rPr>
            </w:pPr>
            <w:r>
              <w:rPr>
                <w:rFonts w:hint="eastAsia" w:ascii="宋体" w:hAnsi="宋体"/>
                <w:b/>
                <w:kern w:val="2"/>
                <w:sz w:val="21"/>
                <w:szCs w:val="21"/>
              </w:rPr>
              <w:t>市场占有率</w:t>
            </w:r>
          </w:p>
        </w:tc>
        <w:tc>
          <w:tcPr>
            <w:tcW w:w="1029" w:type="pct"/>
            <w:vAlign w:val="center"/>
          </w:tcPr>
          <w:p w14:paraId="4FBF2645">
            <w:pPr>
              <w:spacing w:line="400" w:lineRule="exact"/>
              <w:jc w:val="center"/>
              <w:rPr>
                <w:rFonts w:ascii="宋体" w:hAnsi="宋体"/>
                <w:spacing w:val="-4"/>
                <w:kern w:val="2"/>
                <w:sz w:val="21"/>
                <w:szCs w:val="21"/>
              </w:rPr>
            </w:pPr>
            <w:r>
              <w:rPr>
                <w:rFonts w:hint="eastAsia" w:ascii="宋体" w:hAnsi="宋体"/>
                <w:spacing w:val="-4"/>
                <w:kern w:val="2"/>
                <w:sz w:val="21"/>
                <w:szCs w:val="21"/>
              </w:rPr>
              <w:t>%</w:t>
            </w:r>
          </w:p>
        </w:tc>
        <w:tc>
          <w:tcPr>
            <w:tcW w:w="1052" w:type="pct"/>
            <w:vAlign w:val="center"/>
          </w:tcPr>
          <w:p w14:paraId="732C056C">
            <w:pPr>
              <w:spacing w:line="400" w:lineRule="exact"/>
              <w:jc w:val="center"/>
              <w:rPr>
                <w:rFonts w:hint="default" w:ascii="宋体" w:hAnsi="宋体" w:eastAsia="宋体"/>
                <w:spacing w:val="-4"/>
                <w:kern w:val="2"/>
                <w:sz w:val="21"/>
                <w:szCs w:val="21"/>
                <w:lang w:val="en-US" w:eastAsia="zh-CN"/>
              </w:rPr>
            </w:pPr>
            <w:r>
              <w:rPr>
                <w:rFonts w:hint="eastAsia" w:ascii="宋体" w:hAnsi="宋体"/>
                <w:spacing w:val="-4"/>
                <w:kern w:val="2"/>
                <w:sz w:val="21"/>
                <w:szCs w:val="21"/>
                <w:lang w:val="en-US" w:eastAsia="zh-CN"/>
              </w:rPr>
              <w:t>6.9</w:t>
            </w:r>
          </w:p>
        </w:tc>
        <w:tc>
          <w:tcPr>
            <w:tcW w:w="979" w:type="pct"/>
            <w:vAlign w:val="center"/>
          </w:tcPr>
          <w:p w14:paraId="7AD8F0B3">
            <w:pPr>
              <w:spacing w:line="400" w:lineRule="exact"/>
              <w:jc w:val="center"/>
              <w:rPr>
                <w:rFonts w:hint="default" w:ascii="宋体" w:hAnsi="宋体" w:eastAsia="宋体"/>
                <w:spacing w:val="-4"/>
                <w:kern w:val="2"/>
                <w:sz w:val="21"/>
                <w:szCs w:val="21"/>
                <w:lang w:val="en-US" w:eastAsia="zh-CN"/>
              </w:rPr>
            </w:pPr>
            <w:r>
              <w:rPr>
                <w:rFonts w:hint="eastAsia" w:ascii="宋体" w:hAnsi="宋体"/>
                <w:spacing w:val="-4"/>
                <w:kern w:val="2"/>
                <w:sz w:val="21"/>
                <w:szCs w:val="21"/>
                <w:lang w:val="en-US" w:eastAsia="zh-CN"/>
              </w:rPr>
              <w:t>4.8</w:t>
            </w:r>
          </w:p>
        </w:tc>
        <w:tc>
          <w:tcPr>
            <w:tcW w:w="979" w:type="pct"/>
            <w:vAlign w:val="center"/>
          </w:tcPr>
          <w:p w14:paraId="6F96F597">
            <w:pPr>
              <w:spacing w:line="400" w:lineRule="exact"/>
              <w:jc w:val="center"/>
              <w:rPr>
                <w:rFonts w:hint="default" w:ascii="宋体" w:hAnsi="宋体" w:eastAsia="宋体"/>
                <w:spacing w:val="-4"/>
                <w:kern w:val="2"/>
                <w:sz w:val="21"/>
                <w:szCs w:val="21"/>
                <w:lang w:val="en-US" w:eastAsia="zh-CN"/>
              </w:rPr>
            </w:pPr>
            <w:r>
              <w:rPr>
                <w:rFonts w:hint="eastAsia" w:ascii="宋体" w:hAnsi="宋体"/>
                <w:spacing w:val="-4"/>
                <w:kern w:val="2"/>
                <w:sz w:val="21"/>
                <w:szCs w:val="21"/>
                <w:lang w:val="en-US" w:eastAsia="zh-CN"/>
              </w:rPr>
              <w:t>5.5</w:t>
            </w:r>
          </w:p>
        </w:tc>
      </w:tr>
    </w:tbl>
    <w:p w14:paraId="1AC13D0C">
      <w:pPr>
        <w:rPr>
          <w:highlight w:val="yellow"/>
        </w:rPr>
      </w:pPr>
    </w:p>
    <w:p w14:paraId="024FA89D">
      <w:pPr>
        <w:pStyle w:val="32"/>
        <w:spacing w:before="312" w:beforeLines="100" w:after="312" w:afterLines="100" w:line="360" w:lineRule="auto"/>
        <w:rPr>
          <w:rFonts w:ascii="Times New Roman" w:eastAsia="宋体"/>
        </w:rPr>
      </w:pPr>
      <w:bookmarkStart w:id="77" w:name="_Toc342643292"/>
      <w:bookmarkStart w:id="78" w:name="_Toc99720447"/>
      <w:r>
        <w:rPr>
          <w:rFonts w:hint="eastAsia" w:ascii="Times New Roman" w:eastAsia="宋体"/>
        </w:rPr>
        <w:t>4.7.4 财务结果</w:t>
      </w:r>
      <w:bookmarkEnd w:id="77"/>
      <w:bookmarkEnd w:id="78"/>
    </w:p>
    <w:p w14:paraId="45044BCD">
      <w:pPr>
        <w:pStyle w:val="36"/>
        <w:spacing w:line="360" w:lineRule="auto"/>
        <w:ind w:firstLine="480"/>
        <w:rPr>
          <w:rFonts w:ascii="宋体" w:hAnsi="宋体" w:eastAsia="宋体"/>
          <w:color w:val="auto"/>
        </w:rPr>
      </w:pPr>
      <w:r>
        <w:rPr>
          <w:rFonts w:hint="eastAsia" w:ascii="宋体" w:hAnsi="宋体" w:eastAsia="宋体"/>
          <w:color w:val="auto"/>
        </w:rPr>
        <w:t>近几年来，公司发展迅速，取得了比较好的绩效指标。公司每年进行战略评审，比较实际值与目标值。表4.7.4-1显示了近3年公司的财务结果情况。</w:t>
      </w:r>
    </w:p>
    <w:p w14:paraId="50DCDD3A">
      <w:pPr>
        <w:autoSpaceDE w:val="0"/>
        <w:autoSpaceDN w:val="0"/>
        <w:adjustRightInd w:val="0"/>
        <w:spacing w:line="360" w:lineRule="auto"/>
        <w:ind w:firstLine="422" w:firstLineChars="200"/>
        <w:jc w:val="center"/>
        <w:rPr>
          <w:rFonts w:ascii="黑体" w:hAnsi="黑体" w:eastAsia="黑体" w:cs="宋体"/>
          <w:b/>
          <w:sz w:val="21"/>
          <w:szCs w:val="21"/>
        </w:rPr>
      </w:pPr>
      <w:r>
        <w:rPr>
          <w:rFonts w:hint="eastAsia" w:ascii="黑体" w:hAnsi="黑体" w:eastAsia="黑体" w:cs="宋体"/>
          <w:b/>
          <w:sz w:val="21"/>
          <w:szCs w:val="21"/>
        </w:rPr>
        <w:t>表</w:t>
      </w:r>
      <w:r>
        <w:rPr>
          <w:rFonts w:ascii="黑体" w:hAnsi="黑体" w:eastAsia="黑体" w:cs="宋体"/>
          <w:b/>
          <w:sz w:val="21"/>
          <w:szCs w:val="21"/>
        </w:rPr>
        <w:t>4.7.4-</w:t>
      </w:r>
      <w:r>
        <w:rPr>
          <w:rFonts w:hint="eastAsia" w:ascii="黑体" w:hAnsi="黑体" w:eastAsia="黑体" w:cs="宋体"/>
          <w:b/>
          <w:sz w:val="21"/>
          <w:szCs w:val="21"/>
        </w:rPr>
        <w:t>1 财务结果一览表</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4"/>
        <w:gridCol w:w="2522"/>
        <w:gridCol w:w="1273"/>
        <w:gridCol w:w="1331"/>
        <w:gridCol w:w="1331"/>
        <w:gridCol w:w="1331"/>
      </w:tblGrid>
      <w:tr w14:paraId="3F8A4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31" w:type="pct"/>
            <w:shd w:val="clear" w:color="auto" w:fill="938953"/>
            <w:vAlign w:val="center"/>
          </w:tcPr>
          <w:p w14:paraId="441FDE2D">
            <w:pPr>
              <w:spacing w:line="360" w:lineRule="auto"/>
              <w:jc w:val="center"/>
              <w:rPr>
                <w:rFonts w:ascii="宋体"/>
                <w:spacing w:val="-4"/>
                <w:sz w:val="21"/>
                <w:szCs w:val="21"/>
              </w:rPr>
            </w:pPr>
            <w:r>
              <w:rPr>
                <w:rFonts w:hint="eastAsia" w:ascii="宋体"/>
                <w:spacing w:val="-4"/>
                <w:sz w:val="21"/>
                <w:szCs w:val="21"/>
              </w:rPr>
              <w:t>序号</w:t>
            </w:r>
          </w:p>
        </w:tc>
        <w:tc>
          <w:tcPr>
            <w:tcW w:w="1479" w:type="pct"/>
            <w:shd w:val="clear" w:color="auto" w:fill="938953"/>
            <w:vAlign w:val="center"/>
          </w:tcPr>
          <w:p w14:paraId="159B319A">
            <w:pPr>
              <w:spacing w:line="360" w:lineRule="auto"/>
              <w:jc w:val="center"/>
              <w:rPr>
                <w:rFonts w:ascii="宋体"/>
                <w:spacing w:val="-4"/>
                <w:sz w:val="21"/>
                <w:szCs w:val="21"/>
              </w:rPr>
            </w:pPr>
            <w:r>
              <w:rPr>
                <w:rFonts w:hint="eastAsia" w:ascii="宋体"/>
                <w:spacing w:val="-4"/>
                <w:sz w:val="21"/>
                <w:szCs w:val="21"/>
              </w:rPr>
              <w:t>项  目</w:t>
            </w:r>
          </w:p>
        </w:tc>
        <w:tc>
          <w:tcPr>
            <w:tcW w:w="746" w:type="pct"/>
            <w:shd w:val="clear" w:color="auto" w:fill="938953"/>
            <w:vAlign w:val="center"/>
          </w:tcPr>
          <w:p w14:paraId="7DCA9ED5">
            <w:pPr>
              <w:spacing w:line="360" w:lineRule="auto"/>
              <w:jc w:val="center"/>
              <w:rPr>
                <w:rFonts w:ascii="宋体"/>
                <w:spacing w:val="-4"/>
                <w:sz w:val="21"/>
                <w:szCs w:val="21"/>
              </w:rPr>
            </w:pPr>
            <w:r>
              <w:rPr>
                <w:rFonts w:hint="eastAsia" w:ascii="宋体"/>
                <w:spacing w:val="-4"/>
                <w:sz w:val="21"/>
                <w:szCs w:val="21"/>
              </w:rPr>
              <w:t>单位</w:t>
            </w:r>
          </w:p>
        </w:tc>
        <w:tc>
          <w:tcPr>
            <w:tcW w:w="780" w:type="pct"/>
            <w:shd w:val="clear" w:color="auto" w:fill="938953"/>
            <w:vAlign w:val="center"/>
          </w:tcPr>
          <w:p w14:paraId="613C52EE">
            <w:pPr>
              <w:spacing w:line="360" w:lineRule="auto"/>
              <w:jc w:val="center"/>
              <w:rPr>
                <w:rFonts w:ascii="宋体"/>
                <w:b/>
                <w:bCs/>
                <w:spacing w:val="-4"/>
                <w:sz w:val="21"/>
                <w:szCs w:val="21"/>
              </w:rPr>
            </w:pPr>
            <w:r>
              <w:rPr>
                <w:rFonts w:hint="eastAsia" w:ascii="宋体"/>
                <w:b/>
                <w:bCs/>
                <w:spacing w:val="-4"/>
                <w:sz w:val="21"/>
                <w:szCs w:val="21"/>
              </w:rPr>
              <w:t>202</w:t>
            </w:r>
            <w:r>
              <w:rPr>
                <w:rFonts w:hint="eastAsia" w:ascii="宋体"/>
                <w:b/>
                <w:bCs/>
                <w:spacing w:val="-4"/>
                <w:sz w:val="21"/>
                <w:szCs w:val="21"/>
                <w:lang w:val="en-US" w:eastAsia="zh-CN"/>
              </w:rPr>
              <w:t>3</w:t>
            </w:r>
            <w:r>
              <w:rPr>
                <w:rFonts w:hint="eastAsia" w:ascii="宋体"/>
                <w:b/>
                <w:bCs/>
                <w:spacing w:val="-4"/>
                <w:sz w:val="21"/>
                <w:szCs w:val="21"/>
              </w:rPr>
              <w:t>年</w:t>
            </w:r>
          </w:p>
        </w:tc>
        <w:tc>
          <w:tcPr>
            <w:tcW w:w="780" w:type="pct"/>
            <w:shd w:val="clear" w:color="auto" w:fill="938953"/>
            <w:vAlign w:val="center"/>
          </w:tcPr>
          <w:p w14:paraId="6246508C">
            <w:pPr>
              <w:spacing w:line="360" w:lineRule="auto"/>
              <w:jc w:val="center"/>
              <w:rPr>
                <w:rFonts w:ascii="宋体"/>
                <w:b/>
                <w:bCs/>
                <w:spacing w:val="-4"/>
                <w:sz w:val="21"/>
                <w:szCs w:val="21"/>
              </w:rPr>
            </w:pPr>
            <w:r>
              <w:rPr>
                <w:rFonts w:hint="eastAsia" w:ascii="宋体"/>
                <w:b/>
                <w:bCs/>
                <w:spacing w:val="-4"/>
                <w:sz w:val="21"/>
                <w:szCs w:val="21"/>
              </w:rPr>
              <w:t>20</w:t>
            </w:r>
            <w:r>
              <w:rPr>
                <w:rFonts w:ascii="宋体"/>
                <w:b/>
                <w:bCs/>
                <w:spacing w:val="-4"/>
                <w:sz w:val="21"/>
                <w:szCs w:val="21"/>
              </w:rPr>
              <w:t>2</w:t>
            </w:r>
            <w:r>
              <w:rPr>
                <w:rFonts w:hint="eastAsia" w:ascii="宋体"/>
                <w:b/>
                <w:bCs/>
                <w:spacing w:val="-4"/>
                <w:sz w:val="21"/>
                <w:szCs w:val="21"/>
                <w:lang w:val="en-US" w:eastAsia="zh-CN"/>
              </w:rPr>
              <w:t>4</w:t>
            </w:r>
            <w:r>
              <w:rPr>
                <w:rFonts w:hint="eastAsia" w:ascii="宋体"/>
                <w:b/>
                <w:bCs/>
                <w:spacing w:val="-4"/>
                <w:sz w:val="21"/>
                <w:szCs w:val="21"/>
              </w:rPr>
              <w:t>年</w:t>
            </w:r>
          </w:p>
        </w:tc>
        <w:tc>
          <w:tcPr>
            <w:tcW w:w="780" w:type="pct"/>
            <w:shd w:val="clear" w:color="auto" w:fill="938953"/>
            <w:vAlign w:val="center"/>
          </w:tcPr>
          <w:p w14:paraId="3E8CEDC4">
            <w:pPr>
              <w:spacing w:line="360" w:lineRule="auto"/>
              <w:jc w:val="center"/>
              <w:rPr>
                <w:rFonts w:ascii="宋体"/>
                <w:b/>
                <w:bCs/>
                <w:spacing w:val="-4"/>
                <w:sz w:val="21"/>
                <w:szCs w:val="21"/>
              </w:rPr>
            </w:pPr>
            <w:r>
              <w:rPr>
                <w:rFonts w:hint="eastAsia" w:ascii="宋体"/>
                <w:b/>
                <w:bCs/>
                <w:spacing w:val="-4"/>
                <w:sz w:val="21"/>
                <w:szCs w:val="21"/>
              </w:rPr>
              <w:t>202</w:t>
            </w:r>
            <w:r>
              <w:rPr>
                <w:rFonts w:hint="eastAsia" w:ascii="宋体"/>
                <w:b/>
                <w:bCs/>
                <w:spacing w:val="-4"/>
                <w:sz w:val="21"/>
                <w:szCs w:val="21"/>
                <w:lang w:val="en-US" w:eastAsia="zh-CN"/>
              </w:rPr>
              <w:t>5</w:t>
            </w:r>
            <w:r>
              <w:rPr>
                <w:rFonts w:hint="eastAsia" w:ascii="宋体"/>
                <w:b/>
                <w:bCs/>
                <w:spacing w:val="-4"/>
                <w:sz w:val="21"/>
                <w:szCs w:val="21"/>
              </w:rPr>
              <w:t>年</w:t>
            </w:r>
          </w:p>
        </w:tc>
      </w:tr>
      <w:tr w14:paraId="58C13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31" w:type="pct"/>
            <w:vAlign w:val="center"/>
          </w:tcPr>
          <w:p w14:paraId="37215130">
            <w:pPr>
              <w:spacing w:line="360" w:lineRule="auto"/>
              <w:jc w:val="center"/>
              <w:rPr>
                <w:rFonts w:ascii="宋体"/>
                <w:spacing w:val="-4"/>
                <w:sz w:val="21"/>
                <w:szCs w:val="21"/>
              </w:rPr>
            </w:pPr>
            <w:r>
              <w:rPr>
                <w:rFonts w:hint="eastAsia" w:ascii="宋体"/>
                <w:spacing w:val="-4"/>
                <w:sz w:val="21"/>
                <w:szCs w:val="21"/>
              </w:rPr>
              <w:t>1</w:t>
            </w:r>
          </w:p>
        </w:tc>
        <w:tc>
          <w:tcPr>
            <w:tcW w:w="1479" w:type="pct"/>
            <w:vAlign w:val="center"/>
          </w:tcPr>
          <w:p w14:paraId="143473A2">
            <w:pPr>
              <w:spacing w:line="360" w:lineRule="auto"/>
              <w:jc w:val="center"/>
              <w:rPr>
                <w:rFonts w:ascii="宋体"/>
                <w:spacing w:val="-4"/>
                <w:sz w:val="21"/>
                <w:szCs w:val="21"/>
              </w:rPr>
            </w:pPr>
            <w:r>
              <w:rPr>
                <w:rFonts w:hint="eastAsia" w:ascii="宋体"/>
                <w:spacing w:val="-4"/>
                <w:sz w:val="21"/>
                <w:szCs w:val="21"/>
              </w:rPr>
              <w:t>总资产</w:t>
            </w:r>
          </w:p>
        </w:tc>
        <w:tc>
          <w:tcPr>
            <w:tcW w:w="746" w:type="pct"/>
            <w:vAlign w:val="center"/>
          </w:tcPr>
          <w:p w14:paraId="3B44D57C">
            <w:pPr>
              <w:spacing w:line="360" w:lineRule="auto"/>
              <w:jc w:val="center"/>
              <w:rPr>
                <w:rFonts w:ascii="宋体"/>
                <w:spacing w:val="-4"/>
                <w:sz w:val="21"/>
                <w:szCs w:val="21"/>
              </w:rPr>
            </w:pPr>
            <w:r>
              <w:rPr>
                <w:rFonts w:hint="eastAsia" w:ascii="宋体"/>
                <w:spacing w:val="-4"/>
                <w:sz w:val="21"/>
                <w:szCs w:val="21"/>
              </w:rPr>
              <w:t>万元</w:t>
            </w:r>
          </w:p>
        </w:tc>
        <w:tc>
          <w:tcPr>
            <w:tcW w:w="780" w:type="pct"/>
            <w:shd w:val="clear" w:color="auto" w:fill="auto"/>
            <w:vAlign w:val="center"/>
          </w:tcPr>
          <w:p w14:paraId="5ABEC266">
            <w:pPr>
              <w:spacing w:line="360" w:lineRule="auto"/>
              <w:jc w:val="center"/>
              <w:rPr>
                <w:rFonts w:hint="default" w:ascii="宋体" w:hAnsi="宋体" w:eastAsia="宋体" w:cs="宋体"/>
                <w:color w:val="000000"/>
                <w:sz w:val="21"/>
                <w:szCs w:val="21"/>
                <w:highlight w:val="yellow"/>
                <w:lang w:val="en-US" w:eastAsia="zh-CN" w:bidi="ar-SA"/>
              </w:rPr>
            </w:pPr>
            <w:r>
              <w:rPr>
                <w:rFonts w:hint="eastAsia" w:ascii="宋体" w:hAnsi="宋体" w:cs="宋体"/>
                <w:color w:val="000000"/>
                <w:szCs w:val="21"/>
                <w:lang w:val="en-US" w:eastAsia="zh-CN"/>
              </w:rPr>
              <w:t>3707</w:t>
            </w:r>
          </w:p>
        </w:tc>
        <w:tc>
          <w:tcPr>
            <w:tcW w:w="780" w:type="pct"/>
            <w:shd w:val="clear" w:color="auto" w:fill="auto"/>
            <w:vAlign w:val="center"/>
          </w:tcPr>
          <w:p w14:paraId="6334A06A">
            <w:pPr>
              <w:spacing w:line="360" w:lineRule="auto"/>
              <w:jc w:val="center"/>
              <w:rPr>
                <w:rFonts w:hint="default" w:ascii="宋体" w:hAnsi="宋体" w:eastAsia="宋体" w:cs="宋体"/>
                <w:color w:val="000000"/>
                <w:sz w:val="21"/>
                <w:szCs w:val="21"/>
                <w:highlight w:val="yellow"/>
                <w:lang w:val="en-US" w:eastAsia="zh-CN" w:bidi="ar-SA"/>
              </w:rPr>
            </w:pPr>
            <w:r>
              <w:rPr>
                <w:rFonts w:hint="eastAsia" w:ascii="宋体" w:hAnsi="宋体" w:cs="宋体"/>
                <w:color w:val="000000"/>
                <w:szCs w:val="21"/>
                <w:lang w:val="en-US" w:eastAsia="zh-CN"/>
              </w:rPr>
              <w:t>3552</w:t>
            </w:r>
          </w:p>
        </w:tc>
        <w:tc>
          <w:tcPr>
            <w:tcW w:w="780" w:type="pct"/>
            <w:vAlign w:val="center"/>
          </w:tcPr>
          <w:p w14:paraId="74FAE8C8">
            <w:pPr>
              <w:spacing w:line="360" w:lineRule="auto"/>
              <w:jc w:val="center"/>
              <w:rPr>
                <w:rFonts w:hint="default"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3917</w:t>
            </w:r>
          </w:p>
        </w:tc>
      </w:tr>
      <w:tr w14:paraId="57E87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31" w:type="pct"/>
            <w:vAlign w:val="center"/>
          </w:tcPr>
          <w:p w14:paraId="0888ED9B">
            <w:pPr>
              <w:spacing w:line="360" w:lineRule="auto"/>
              <w:jc w:val="center"/>
              <w:rPr>
                <w:rFonts w:ascii="宋体"/>
                <w:spacing w:val="-4"/>
                <w:sz w:val="21"/>
                <w:szCs w:val="21"/>
              </w:rPr>
            </w:pPr>
            <w:r>
              <w:rPr>
                <w:rFonts w:hint="eastAsia" w:ascii="宋体"/>
                <w:spacing w:val="-4"/>
                <w:sz w:val="21"/>
                <w:szCs w:val="21"/>
              </w:rPr>
              <w:t>2</w:t>
            </w:r>
          </w:p>
        </w:tc>
        <w:tc>
          <w:tcPr>
            <w:tcW w:w="1479" w:type="pct"/>
            <w:vAlign w:val="center"/>
          </w:tcPr>
          <w:p w14:paraId="08101300">
            <w:pPr>
              <w:spacing w:line="360" w:lineRule="auto"/>
              <w:jc w:val="center"/>
              <w:rPr>
                <w:rFonts w:ascii="宋体"/>
                <w:spacing w:val="-4"/>
                <w:sz w:val="21"/>
                <w:szCs w:val="21"/>
              </w:rPr>
            </w:pPr>
            <w:r>
              <w:rPr>
                <w:rFonts w:hint="eastAsia" w:ascii="宋体"/>
                <w:spacing w:val="-4"/>
                <w:sz w:val="21"/>
                <w:szCs w:val="21"/>
              </w:rPr>
              <w:t>主营业务收入</w:t>
            </w:r>
          </w:p>
        </w:tc>
        <w:tc>
          <w:tcPr>
            <w:tcW w:w="746" w:type="pct"/>
            <w:vAlign w:val="center"/>
          </w:tcPr>
          <w:p w14:paraId="6BB5A99C">
            <w:pPr>
              <w:spacing w:line="360" w:lineRule="auto"/>
              <w:jc w:val="center"/>
              <w:rPr>
                <w:rFonts w:ascii="宋体"/>
                <w:spacing w:val="-4"/>
                <w:sz w:val="21"/>
                <w:szCs w:val="21"/>
              </w:rPr>
            </w:pPr>
            <w:r>
              <w:rPr>
                <w:rFonts w:hint="eastAsia" w:ascii="宋体"/>
                <w:spacing w:val="-4"/>
                <w:sz w:val="21"/>
                <w:szCs w:val="21"/>
              </w:rPr>
              <w:t>万元</w:t>
            </w:r>
          </w:p>
        </w:tc>
        <w:tc>
          <w:tcPr>
            <w:tcW w:w="780" w:type="pct"/>
            <w:shd w:val="clear" w:color="auto" w:fill="auto"/>
            <w:vAlign w:val="center"/>
          </w:tcPr>
          <w:p w14:paraId="3338B1DF">
            <w:pPr>
              <w:spacing w:line="360" w:lineRule="auto"/>
              <w:jc w:val="center"/>
              <w:rPr>
                <w:rFonts w:hint="default" w:ascii="宋体" w:hAnsi="宋体" w:eastAsia="宋体" w:cs="宋体"/>
                <w:color w:val="000000"/>
                <w:sz w:val="21"/>
                <w:szCs w:val="21"/>
                <w:highlight w:val="yellow"/>
                <w:lang w:val="en-US" w:eastAsia="zh-CN" w:bidi="ar-SA"/>
              </w:rPr>
            </w:pPr>
            <w:r>
              <w:rPr>
                <w:rFonts w:hint="eastAsia" w:ascii="宋体" w:hAnsi="宋体" w:cs="宋体"/>
                <w:color w:val="000000"/>
                <w:szCs w:val="21"/>
                <w:lang w:val="en-US" w:eastAsia="zh-CN"/>
              </w:rPr>
              <w:t>2720</w:t>
            </w:r>
          </w:p>
        </w:tc>
        <w:tc>
          <w:tcPr>
            <w:tcW w:w="780" w:type="pct"/>
            <w:shd w:val="clear" w:color="auto" w:fill="auto"/>
            <w:vAlign w:val="center"/>
          </w:tcPr>
          <w:p w14:paraId="210C7694">
            <w:pPr>
              <w:spacing w:line="360" w:lineRule="auto"/>
              <w:jc w:val="center"/>
              <w:rPr>
                <w:rFonts w:hint="default" w:ascii="宋体" w:hAnsi="宋体" w:eastAsia="宋体" w:cs="宋体"/>
                <w:color w:val="000000"/>
                <w:sz w:val="21"/>
                <w:szCs w:val="21"/>
                <w:highlight w:val="yellow"/>
                <w:lang w:val="en-US" w:eastAsia="zh-CN" w:bidi="ar-SA"/>
              </w:rPr>
            </w:pPr>
            <w:r>
              <w:rPr>
                <w:rFonts w:hint="eastAsia" w:ascii="宋体" w:hAnsi="宋体" w:cs="宋体"/>
                <w:color w:val="000000"/>
                <w:szCs w:val="21"/>
              </w:rPr>
              <w:t>21</w:t>
            </w:r>
            <w:r>
              <w:rPr>
                <w:rFonts w:hint="eastAsia" w:ascii="宋体" w:hAnsi="宋体" w:cs="宋体"/>
                <w:color w:val="000000"/>
                <w:szCs w:val="21"/>
                <w:lang w:val="en-US" w:eastAsia="zh-CN"/>
              </w:rPr>
              <w:t>98</w:t>
            </w:r>
          </w:p>
        </w:tc>
        <w:tc>
          <w:tcPr>
            <w:tcW w:w="780" w:type="pct"/>
            <w:vAlign w:val="center"/>
          </w:tcPr>
          <w:p w14:paraId="762DD8F0">
            <w:pPr>
              <w:spacing w:line="360" w:lineRule="auto"/>
              <w:jc w:val="center"/>
              <w:rPr>
                <w:rFonts w:hint="default" w:ascii="宋体" w:hAnsi="宋体" w:eastAsia="宋体" w:cs="宋体"/>
                <w:color w:val="000000"/>
                <w:sz w:val="21"/>
                <w:szCs w:val="21"/>
                <w:highlight w:val="none"/>
                <w:lang w:val="en-US" w:eastAsia="zh-CN"/>
              </w:rPr>
            </w:pPr>
            <w:r>
              <w:rPr>
                <w:rFonts w:hint="eastAsia" w:ascii="宋体" w:hAnsi="宋体"/>
                <w:spacing w:val="-4"/>
                <w:kern w:val="2"/>
                <w:sz w:val="21"/>
                <w:szCs w:val="21"/>
                <w:highlight w:val="none"/>
                <w:lang w:val="en-US" w:eastAsia="zh-CN"/>
              </w:rPr>
              <w:t>2236</w:t>
            </w:r>
          </w:p>
        </w:tc>
      </w:tr>
      <w:tr w14:paraId="7846F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31" w:type="pct"/>
            <w:vAlign w:val="center"/>
          </w:tcPr>
          <w:p w14:paraId="0B8A5B21">
            <w:pPr>
              <w:spacing w:line="360" w:lineRule="auto"/>
              <w:jc w:val="center"/>
              <w:rPr>
                <w:rFonts w:ascii="宋体"/>
                <w:spacing w:val="-4"/>
                <w:sz w:val="21"/>
                <w:szCs w:val="21"/>
              </w:rPr>
            </w:pPr>
            <w:r>
              <w:rPr>
                <w:rFonts w:hint="eastAsia" w:ascii="宋体"/>
                <w:spacing w:val="-4"/>
                <w:sz w:val="21"/>
                <w:szCs w:val="21"/>
              </w:rPr>
              <w:t>3</w:t>
            </w:r>
          </w:p>
        </w:tc>
        <w:tc>
          <w:tcPr>
            <w:tcW w:w="1479" w:type="pct"/>
            <w:vAlign w:val="center"/>
          </w:tcPr>
          <w:p w14:paraId="55D6BD3B">
            <w:pPr>
              <w:spacing w:line="360" w:lineRule="auto"/>
              <w:jc w:val="center"/>
              <w:rPr>
                <w:rFonts w:ascii="宋体"/>
                <w:spacing w:val="-4"/>
                <w:sz w:val="21"/>
                <w:szCs w:val="21"/>
              </w:rPr>
            </w:pPr>
            <w:r>
              <w:rPr>
                <w:rFonts w:hint="eastAsia" w:ascii="宋体"/>
                <w:spacing w:val="-4"/>
                <w:sz w:val="21"/>
                <w:szCs w:val="21"/>
              </w:rPr>
              <w:t>营业外收入</w:t>
            </w:r>
          </w:p>
        </w:tc>
        <w:tc>
          <w:tcPr>
            <w:tcW w:w="746" w:type="pct"/>
            <w:vAlign w:val="center"/>
          </w:tcPr>
          <w:p w14:paraId="2A265BC6">
            <w:pPr>
              <w:spacing w:line="360" w:lineRule="auto"/>
              <w:jc w:val="center"/>
              <w:rPr>
                <w:rFonts w:ascii="宋体"/>
                <w:spacing w:val="-4"/>
                <w:sz w:val="21"/>
                <w:szCs w:val="21"/>
              </w:rPr>
            </w:pPr>
            <w:r>
              <w:rPr>
                <w:rFonts w:hint="eastAsia" w:ascii="宋体"/>
                <w:spacing w:val="-4"/>
                <w:sz w:val="21"/>
                <w:szCs w:val="21"/>
              </w:rPr>
              <w:t>万元</w:t>
            </w:r>
          </w:p>
        </w:tc>
        <w:tc>
          <w:tcPr>
            <w:tcW w:w="780" w:type="pct"/>
            <w:shd w:val="clear" w:color="auto" w:fill="auto"/>
            <w:vAlign w:val="center"/>
          </w:tcPr>
          <w:p w14:paraId="1C9B7E84">
            <w:pPr>
              <w:spacing w:line="360" w:lineRule="auto"/>
              <w:jc w:val="center"/>
              <w:rPr>
                <w:rFonts w:hint="eastAsia" w:ascii="宋体" w:hAnsi="宋体" w:eastAsia="宋体" w:cs="宋体"/>
                <w:color w:val="000000"/>
                <w:sz w:val="21"/>
                <w:szCs w:val="21"/>
                <w:highlight w:val="yellow"/>
                <w:lang w:val="en-US" w:eastAsia="zh-CN" w:bidi="ar-SA"/>
              </w:rPr>
            </w:pPr>
            <w:r>
              <w:rPr>
                <w:rFonts w:hint="eastAsia" w:ascii="宋体" w:hAnsi="宋体" w:cs="宋体"/>
                <w:color w:val="000000"/>
                <w:szCs w:val="21"/>
              </w:rPr>
              <w:t>8</w:t>
            </w:r>
            <w:r>
              <w:rPr>
                <w:rFonts w:hint="eastAsia" w:ascii="宋体" w:hAnsi="宋体" w:cs="宋体"/>
                <w:color w:val="000000"/>
                <w:szCs w:val="21"/>
                <w:lang w:val="en-US" w:eastAsia="zh-CN"/>
              </w:rPr>
              <w:t>2</w:t>
            </w:r>
          </w:p>
        </w:tc>
        <w:tc>
          <w:tcPr>
            <w:tcW w:w="780" w:type="pct"/>
            <w:shd w:val="clear" w:color="auto" w:fill="auto"/>
            <w:vAlign w:val="center"/>
          </w:tcPr>
          <w:p w14:paraId="145161A7">
            <w:pPr>
              <w:spacing w:line="360" w:lineRule="auto"/>
              <w:jc w:val="center"/>
              <w:rPr>
                <w:rFonts w:hint="default" w:ascii="宋体" w:hAnsi="宋体" w:eastAsia="宋体" w:cs="宋体"/>
                <w:color w:val="000000"/>
                <w:sz w:val="21"/>
                <w:szCs w:val="21"/>
                <w:highlight w:val="yellow"/>
                <w:lang w:val="en-US" w:eastAsia="zh-CN" w:bidi="ar-SA"/>
              </w:rPr>
            </w:pPr>
            <w:r>
              <w:rPr>
                <w:rFonts w:hint="eastAsia" w:ascii="宋体" w:hAnsi="宋体" w:cs="宋体"/>
                <w:color w:val="000000"/>
                <w:szCs w:val="21"/>
                <w:lang w:val="en-US" w:eastAsia="zh-CN"/>
              </w:rPr>
              <w:t>21</w:t>
            </w:r>
          </w:p>
        </w:tc>
        <w:tc>
          <w:tcPr>
            <w:tcW w:w="780" w:type="pct"/>
            <w:vAlign w:val="center"/>
          </w:tcPr>
          <w:p w14:paraId="111BF307">
            <w:pPr>
              <w:spacing w:line="360" w:lineRule="auto"/>
              <w:jc w:val="center"/>
              <w:rPr>
                <w:rFonts w:hint="default"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22</w:t>
            </w:r>
          </w:p>
        </w:tc>
      </w:tr>
      <w:tr w14:paraId="04DC9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31" w:type="pct"/>
            <w:vAlign w:val="center"/>
          </w:tcPr>
          <w:p w14:paraId="56BA29F0">
            <w:pPr>
              <w:spacing w:line="360" w:lineRule="auto"/>
              <w:jc w:val="center"/>
              <w:rPr>
                <w:rFonts w:ascii="宋体"/>
                <w:spacing w:val="-4"/>
                <w:sz w:val="21"/>
                <w:szCs w:val="21"/>
              </w:rPr>
            </w:pPr>
            <w:r>
              <w:rPr>
                <w:rFonts w:hint="eastAsia" w:ascii="宋体"/>
                <w:spacing w:val="-4"/>
                <w:sz w:val="21"/>
                <w:szCs w:val="21"/>
              </w:rPr>
              <w:t>4</w:t>
            </w:r>
          </w:p>
        </w:tc>
        <w:tc>
          <w:tcPr>
            <w:tcW w:w="1479" w:type="pct"/>
            <w:vAlign w:val="center"/>
          </w:tcPr>
          <w:p w14:paraId="3EE7BC52">
            <w:pPr>
              <w:spacing w:line="360" w:lineRule="auto"/>
              <w:jc w:val="center"/>
              <w:rPr>
                <w:rFonts w:ascii="宋体"/>
                <w:spacing w:val="-4"/>
                <w:sz w:val="21"/>
                <w:szCs w:val="21"/>
              </w:rPr>
            </w:pPr>
            <w:r>
              <w:rPr>
                <w:rFonts w:hint="eastAsia" w:ascii="宋体"/>
                <w:spacing w:val="-4"/>
                <w:sz w:val="21"/>
                <w:szCs w:val="21"/>
              </w:rPr>
              <w:t>利润总额</w:t>
            </w:r>
          </w:p>
        </w:tc>
        <w:tc>
          <w:tcPr>
            <w:tcW w:w="746" w:type="pct"/>
            <w:vAlign w:val="center"/>
          </w:tcPr>
          <w:p w14:paraId="5B30715A">
            <w:pPr>
              <w:spacing w:line="360" w:lineRule="auto"/>
              <w:jc w:val="center"/>
              <w:rPr>
                <w:rFonts w:ascii="宋体"/>
                <w:spacing w:val="-4"/>
                <w:sz w:val="21"/>
                <w:szCs w:val="21"/>
              </w:rPr>
            </w:pPr>
            <w:r>
              <w:rPr>
                <w:rFonts w:hint="eastAsia" w:ascii="宋体"/>
                <w:spacing w:val="-4"/>
                <w:sz w:val="21"/>
                <w:szCs w:val="21"/>
              </w:rPr>
              <w:t>万元</w:t>
            </w:r>
          </w:p>
        </w:tc>
        <w:tc>
          <w:tcPr>
            <w:tcW w:w="780" w:type="pct"/>
            <w:shd w:val="clear" w:color="auto" w:fill="auto"/>
            <w:vAlign w:val="center"/>
          </w:tcPr>
          <w:p w14:paraId="6C79622F">
            <w:pPr>
              <w:spacing w:line="360" w:lineRule="auto"/>
              <w:jc w:val="center"/>
              <w:rPr>
                <w:rFonts w:hint="default" w:ascii="宋体" w:hAnsi="宋体" w:eastAsia="宋体" w:cs="宋体"/>
                <w:color w:val="000000"/>
                <w:sz w:val="21"/>
                <w:szCs w:val="21"/>
                <w:highlight w:val="yellow"/>
                <w:lang w:val="en-US" w:eastAsia="zh-CN" w:bidi="ar-SA"/>
              </w:rPr>
            </w:pPr>
            <w:r>
              <w:rPr>
                <w:rFonts w:hint="eastAsia" w:ascii="宋体" w:hAnsi="宋体" w:cs="宋体"/>
                <w:color w:val="000000"/>
                <w:szCs w:val="21"/>
                <w:lang w:val="en-US" w:eastAsia="zh-CN"/>
              </w:rPr>
              <w:t>89</w:t>
            </w:r>
          </w:p>
        </w:tc>
        <w:tc>
          <w:tcPr>
            <w:tcW w:w="780" w:type="pct"/>
            <w:shd w:val="clear" w:color="auto" w:fill="auto"/>
            <w:vAlign w:val="center"/>
          </w:tcPr>
          <w:p w14:paraId="07B892C6">
            <w:pPr>
              <w:spacing w:line="360" w:lineRule="auto"/>
              <w:jc w:val="center"/>
              <w:rPr>
                <w:rFonts w:hint="default" w:ascii="宋体" w:hAnsi="宋体" w:eastAsia="宋体" w:cs="宋体"/>
                <w:color w:val="000000"/>
                <w:sz w:val="21"/>
                <w:szCs w:val="21"/>
                <w:highlight w:val="yellow"/>
                <w:lang w:val="en-US" w:eastAsia="zh-CN" w:bidi="ar-SA"/>
              </w:rPr>
            </w:pPr>
            <w:r>
              <w:rPr>
                <w:rFonts w:hint="eastAsia" w:ascii="宋体" w:hAnsi="宋体" w:cs="宋体"/>
                <w:color w:val="000000"/>
                <w:szCs w:val="21"/>
                <w:lang w:val="en-US" w:eastAsia="zh-CN"/>
              </w:rPr>
              <w:t>45</w:t>
            </w:r>
          </w:p>
        </w:tc>
        <w:tc>
          <w:tcPr>
            <w:tcW w:w="780" w:type="pct"/>
            <w:vAlign w:val="center"/>
          </w:tcPr>
          <w:p w14:paraId="4EE36668">
            <w:pPr>
              <w:spacing w:line="360" w:lineRule="auto"/>
              <w:jc w:val="center"/>
              <w:rPr>
                <w:rFonts w:hint="default"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90</w:t>
            </w:r>
          </w:p>
        </w:tc>
      </w:tr>
      <w:tr w14:paraId="5AA3E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31" w:type="pct"/>
            <w:vAlign w:val="center"/>
          </w:tcPr>
          <w:p w14:paraId="1CCB8BE8">
            <w:pPr>
              <w:spacing w:line="360" w:lineRule="auto"/>
              <w:jc w:val="center"/>
              <w:rPr>
                <w:rFonts w:ascii="宋体"/>
                <w:spacing w:val="-4"/>
                <w:sz w:val="21"/>
                <w:szCs w:val="21"/>
              </w:rPr>
            </w:pPr>
            <w:r>
              <w:rPr>
                <w:rFonts w:hint="eastAsia" w:ascii="宋体"/>
                <w:spacing w:val="-4"/>
                <w:sz w:val="21"/>
                <w:szCs w:val="21"/>
              </w:rPr>
              <w:t>5</w:t>
            </w:r>
          </w:p>
        </w:tc>
        <w:tc>
          <w:tcPr>
            <w:tcW w:w="1479" w:type="pct"/>
            <w:vAlign w:val="center"/>
          </w:tcPr>
          <w:p w14:paraId="47C30285">
            <w:pPr>
              <w:spacing w:line="360" w:lineRule="auto"/>
              <w:jc w:val="center"/>
              <w:rPr>
                <w:rFonts w:ascii="宋体"/>
                <w:spacing w:val="-4"/>
                <w:sz w:val="21"/>
                <w:szCs w:val="21"/>
              </w:rPr>
            </w:pPr>
            <w:r>
              <w:rPr>
                <w:rFonts w:hint="eastAsia" w:ascii="宋体"/>
                <w:spacing w:val="-4"/>
                <w:sz w:val="21"/>
                <w:szCs w:val="21"/>
              </w:rPr>
              <w:t>纳税总额</w:t>
            </w:r>
          </w:p>
        </w:tc>
        <w:tc>
          <w:tcPr>
            <w:tcW w:w="746" w:type="pct"/>
            <w:vAlign w:val="center"/>
          </w:tcPr>
          <w:p w14:paraId="1F448DD9">
            <w:pPr>
              <w:spacing w:line="360" w:lineRule="auto"/>
              <w:jc w:val="center"/>
              <w:rPr>
                <w:rFonts w:ascii="宋体"/>
                <w:spacing w:val="-4"/>
                <w:sz w:val="21"/>
                <w:szCs w:val="21"/>
              </w:rPr>
            </w:pPr>
            <w:r>
              <w:rPr>
                <w:rFonts w:hint="eastAsia" w:ascii="宋体"/>
                <w:spacing w:val="-4"/>
                <w:sz w:val="21"/>
                <w:szCs w:val="21"/>
              </w:rPr>
              <w:t>万元</w:t>
            </w:r>
          </w:p>
        </w:tc>
        <w:tc>
          <w:tcPr>
            <w:tcW w:w="780" w:type="pct"/>
            <w:shd w:val="clear" w:color="auto" w:fill="auto"/>
            <w:vAlign w:val="center"/>
          </w:tcPr>
          <w:p w14:paraId="24027608">
            <w:pPr>
              <w:spacing w:line="360" w:lineRule="auto"/>
              <w:jc w:val="center"/>
              <w:rPr>
                <w:rFonts w:hint="default" w:ascii="宋体" w:hAnsi="宋体" w:eastAsia="宋体" w:cs="宋体"/>
                <w:color w:val="000000"/>
                <w:sz w:val="21"/>
                <w:szCs w:val="21"/>
                <w:highlight w:val="yellow"/>
                <w:lang w:val="en-US" w:eastAsia="zh-CN" w:bidi="ar-SA"/>
              </w:rPr>
            </w:pPr>
            <w:r>
              <w:rPr>
                <w:rFonts w:hint="eastAsia" w:ascii="宋体" w:hAnsi="宋体" w:cs="宋体"/>
                <w:color w:val="000000"/>
                <w:szCs w:val="21"/>
                <w:lang w:val="en-US" w:eastAsia="zh-CN"/>
              </w:rPr>
              <w:t>89</w:t>
            </w:r>
          </w:p>
        </w:tc>
        <w:tc>
          <w:tcPr>
            <w:tcW w:w="780" w:type="pct"/>
            <w:shd w:val="clear" w:color="auto" w:fill="auto"/>
            <w:vAlign w:val="center"/>
          </w:tcPr>
          <w:p w14:paraId="0D76CD3A">
            <w:pPr>
              <w:spacing w:line="360" w:lineRule="auto"/>
              <w:jc w:val="center"/>
              <w:rPr>
                <w:rFonts w:hint="default" w:ascii="宋体" w:hAnsi="宋体" w:eastAsia="宋体" w:cs="宋体"/>
                <w:color w:val="000000"/>
                <w:sz w:val="21"/>
                <w:szCs w:val="21"/>
                <w:highlight w:val="yellow"/>
                <w:lang w:val="en-US" w:eastAsia="zh-CN" w:bidi="ar-SA"/>
              </w:rPr>
            </w:pPr>
            <w:r>
              <w:rPr>
                <w:rFonts w:hint="eastAsia" w:ascii="宋体" w:hAnsi="宋体" w:cs="宋体"/>
                <w:color w:val="000000"/>
                <w:szCs w:val="21"/>
                <w:lang w:val="en-US" w:eastAsia="zh-CN"/>
              </w:rPr>
              <w:t>98</w:t>
            </w:r>
          </w:p>
        </w:tc>
        <w:tc>
          <w:tcPr>
            <w:tcW w:w="780" w:type="pct"/>
            <w:vAlign w:val="center"/>
          </w:tcPr>
          <w:p w14:paraId="21ABE604">
            <w:pPr>
              <w:spacing w:line="360" w:lineRule="auto"/>
              <w:jc w:val="center"/>
              <w:rPr>
                <w:rFonts w:hint="default"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120</w:t>
            </w:r>
          </w:p>
        </w:tc>
      </w:tr>
      <w:tr w14:paraId="58BCA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31" w:type="pct"/>
            <w:vAlign w:val="center"/>
          </w:tcPr>
          <w:p w14:paraId="5CDE9970">
            <w:pPr>
              <w:spacing w:line="360" w:lineRule="auto"/>
              <w:jc w:val="center"/>
              <w:rPr>
                <w:rFonts w:ascii="宋体"/>
                <w:spacing w:val="-4"/>
                <w:sz w:val="21"/>
                <w:szCs w:val="21"/>
              </w:rPr>
            </w:pPr>
            <w:r>
              <w:rPr>
                <w:rFonts w:hint="eastAsia" w:ascii="宋体"/>
                <w:spacing w:val="-4"/>
                <w:sz w:val="21"/>
                <w:szCs w:val="21"/>
              </w:rPr>
              <w:t>6</w:t>
            </w:r>
          </w:p>
        </w:tc>
        <w:tc>
          <w:tcPr>
            <w:tcW w:w="1479" w:type="pct"/>
            <w:vAlign w:val="center"/>
          </w:tcPr>
          <w:p w14:paraId="62B1563F">
            <w:pPr>
              <w:spacing w:line="360" w:lineRule="auto"/>
              <w:jc w:val="center"/>
              <w:rPr>
                <w:rFonts w:ascii="宋体"/>
                <w:spacing w:val="-4"/>
                <w:sz w:val="21"/>
                <w:szCs w:val="21"/>
              </w:rPr>
            </w:pPr>
            <w:r>
              <w:rPr>
                <w:rFonts w:hint="eastAsia"/>
                <w:color w:val="000000"/>
                <w:sz w:val="21"/>
                <w:szCs w:val="21"/>
              </w:rPr>
              <w:t>总资产贡献率</w:t>
            </w:r>
          </w:p>
        </w:tc>
        <w:tc>
          <w:tcPr>
            <w:tcW w:w="746" w:type="pct"/>
            <w:vAlign w:val="center"/>
          </w:tcPr>
          <w:p w14:paraId="484692B1">
            <w:pPr>
              <w:spacing w:line="360" w:lineRule="auto"/>
              <w:jc w:val="center"/>
              <w:rPr>
                <w:rFonts w:ascii="宋体"/>
                <w:spacing w:val="-4"/>
                <w:sz w:val="21"/>
                <w:szCs w:val="21"/>
              </w:rPr>
            </w:pPr>
            <w:r>
              <w:rPr>
                <w:rFonts w:hint="eastAsia" w:ascii="宋体"/>
                <w:spacing w:val="-4"/>
                <w:sz w:val="21"/>
                <w:szCs w:val="21"/>
              </w:rPr>
              <w:t>%</w:t>
            </w:r>
          </w:p>
        </w:tc>
        <w:tc>
          <w:tcPr>
            <w:tcW w:w="780" w:type="pct"/>
            <w:shd w:val="clear" w:color="auto" w:fill="auto"/>
            <w:vAlign w:val="center"/>
          </w:tcPr>
          <w:p w14:paraId="5676680A">
            <w:pPr>
              <w:spacing w:line="360" w:lineRule="auto"/>
              <w:jc w:val="center"/>
              <w:rPr>
                <w:rFonts w:ascii="宋体" w:hAnsi="宋体" w:eastAsia="宋体" w:cs="宋体"/>
                <w:color w:val="000000"/>
                <w:sz w:val="21"/>
                <w:szCs w:val="21"/>
                <w:highlight w:val="yellow"/>
                <w:lang w:val="en-US" w:eastAsia="zh-CN" w:bidi="ar-SA"/>
              </w:rPr>
            </w:pPr>
            <w:r>
              <w:rPr>
                <w:rFonts w:hint="eastAsia" w:ascii="宋体" w:hAnsi="宋体" w:cs="宋体"/>
                <w:color w:val="000000"/>
                <w:szCs w:val="21"/>
              </w:rPr>
              <w:t>13.35%</w:t>
            </w:r>
          </w:p>
        </w:tc>
        <w:tc>
          <w:tcPr>
            <w:tcW w:w="780" w:type="pct"/>
            <w:shd w:val="clear" w:color="auto" w:fill="auto"/>
            <w:vAlign w:val="center"/>
          </w:tcPr>
          <w:p w14:paraId="17823C60">
            <w:pPr>
              <w:spacing w:line="360" w:lineRule="auto"/>
              <w:jc w:val="center"/>
              <w:rPr>
                <w:rFonts w:ascii="宋体" w:hAnsi="宋体" w:eastAsia="宋体" w:cs="宋体"/>
                <w:color w:val="000000"/>
                <w:sz w:val="21"/>
                <w:szCs w:val="21"/>
                <w:highlight w:val="yellow"/>
                <w:lang w:val="en-US" w:eastAsia="zh-CN" w:bidi="ar-SA"/>
              </w:rPr>
            </w:pPr>
            <w:r>
              <w:rPr>
                <w:rFonts w:hint="eastAsia" w:ascii="宋体" w:hAnsi="宋体" w:cs="宋体"/>
                <w:color w:val="000000"/>
                <w:szCs w:val="21"/>
              </w:rPr>
              <w:t>8.0%</w:t>
            </w:r>
          </w:p>
        </w:tc>
        <w:tc>
          <w:tcPr>
            <w:tcW w:w="780" w:type="pct"/>
            <w:vAlign w:val="center"/>
          </w:tcPr>
          <w:p w14:paraId="7A52E233">
            <w:pPr>
              <w:spacing w:line="360" w:lineRule="auto"/>
              <w:jc w:val="center"/>
              <w:rPr>
                <w:rFonts w:hint="default"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9.85</w:t>
            </w:r>
          </w:p>
        </w:tc>
      </w:tr>
      <w:tr w14:paraId="31B74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31" w:type="pct"/>
            <w:vAlign w:val="center"/>
          </w:tcPr>
          <w:p w14:paraId="589DE3C1">
            <w:pPr>
              <w:spacing w:line="360" w:lineRule="auto"/>
              <w:jc w:val="center"/>
              <w:rPr>
                <w:rFonts w:ascii="宋体"/>
                <w:spacing w:val="-4"/>
                <w:sz w:val="21"/>
                <w:szCs w:val="21"/>
              </w:rPr>
            </w:pPr>
            <w:r>
              <w:rPr>
                <w:rFonts w:hint="eastAsia" w:ascii="宋体"/>
                <w:spacing w:val="-4"/>
                <w:sz w:val="21"/>
                <w:szCs w:val="21"/>
              </w:rPr>
              <w:t>7</w:t>
            </w:r>
          </w:p>
        </w:tc>
        <w:tc>
          <w:tcPr>
            <w:tcW w:w="1479" w:type="pct"/>
            <w:vAlign w:val="center"/>
          </w:tcPr>
          <w:p w14:paraId="3C3756F4">
            <w:pPr>
              <w:spacing w:line="360" w:lineRule="auto"/>
              <w:jc w:val="center"/>
              <w:rPr>
                <w:rFonts w:ascii="宋体"/>
                <w:spacing w:val="-4"/>
                <w:sz w:val="21"/>
                <w:szCs w:val="21"/>
              </w:rPr>
            </w:pPr>
            <w:r>
              <w:rPr>
                <w:rFonts w:hint="eastAsia"/>
                <w:color w:val="000000"/>
                <w:sz w:val="21"/>
                <w:szCs w:val="21"/>
              </w:rPr>
              <w:t>资本保值增值率</w:t>
            </w:r>
          </w:p>
        </w:tc>
        <w:tc>
          <w:tcPr>
            <w:tcW w:w="746" w:type="pct"/>
          </w:tcPr>
          <w:p w14:paraId="320FA170">
            <w:pPr>
              <w:spacing w:line="360" w:lineRule="auto"/>
              <w:jc w:val="center"/>
              <w:rPr>
                <w:rFonts w:ascii="宋体"/>
                <w:spacing w:val="-4"/>
                <w:sz w:val="21"/>
                <w:szCs w:val="21"/>
              </w:rPr>
            </w:pPr>
            <w:r>
              <w:rPr>
                <w:rFonts w:hint="eastAsia" w:ascii="宋体" w:hAnsi="宋体" w:cs="宋体"/>
                <w:color w:val="000000"/>
                <w:sz w:val="21"/>
                <w:szCs w:val="21"/>
              </w:rPr>
              <w:t>%</w:t>
            </w:r>
          </w:p>
        </w:tc>
        <w:tc>
          <w:tcPr>
            <w:tcW w:w="780" w:type="pct"/>
            <w:shd w:val="clear" w:color="auto" w:fill="auto"/>
            <w:vAlign w:val="center"/>
          </w:tcPr>
          <w:p w14:paraId="1CB11484">
            <w:pPr>
              <w:spacing w:line="360" w:lineRule="auto"/>
              <w:jc w:val="center"/>
              <w:rPr>
                <w:rFonts w:ascii="宋体" w:hAnsi="宋体" w:eastAsia="宋体" w:cs="宋体"/>
                <w:color w:val="000000"/>
                <w:sz w:val="21"/>
                <w:szCs w:val="21"/>
                <w:highlight w:val="yellow"/>
                <w:lang w:val="en-US" w:eastAsia="zh-CN" w:bidi="ar-SA"/>
              </w:rPr>
            </w:pPr>
            <w:r>
              <w:rPr>
                <w:rFonts w:hint="eastAsia" w:ascii="宋体" w:hAnsi="宋体" w:cs="宋体"/>
                <w:color w:val="000000"/>
                <w:szCs w:val="21"/>
              </w:rPr>
              <w:t>156%</w:t>
            </w:r>
          </w:p>
        </w:tc>
        <w:tc>
          <w:tcPr>
            <w:tcW w:w="780" w:type="pct"/>
            <w:shd w:val="clear" w:color="auto" w:fill="auto"/>
            <w:vAlign w:val="center"/>
          </w:tcPr>
          <w:p w14:paraId="506CC2BA">
            <w:pPr>
              <w:spacing w:line="360" w:lineRule="auto"/>
              <w:jc w:val="center"/>
              <w:rPr>
                <w:rFonts w:ascii="宋体" w:hAnsi="宋体" w:eastAsia="宋体" w:cs="宋体"/>
                <w:color w:val="000000"/>
                <w:sz w:val="21"/>
                <w:szCs w:val="21"/>
                <w:highlight w:val="yellow"/>
                <w:lang w:val="en-US" w:eastAsia="zh-CN" w:bidi="ar-SA"/>
              </w:rPr>
            </w:pPr>
            <w:r>
              <w:rPr>
                <w:rFonts w:hint="eastAsia" w:ascii="宋体" w:hAnsi="宋体" w:cs="宋体"/>
                <w:color w:val="000000"/>
                <w:szCs w:val="21"/>
              </w:rPr>
              <w:t>156%</w:t>
            </w:r>
          </w:p>
        </w:tc>
        <w:tc>
          <w:tcPr>
            <w:tcW w:w="780" w:type="pct"/>
            <w:vAlign w:val="center"/>
          </w:tcPr>
          <w:p w14:paraId="77772AF0">
            <w:pPr>
              <w:spacing w:line="360" w:lineRule="auto"/>
              <w:jc w:val="center"/>
              <w:rPr>
                <w:rFonts w:hint="default"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161</w:t>
            </w:r>
          </w:p>
        </w:tc>
      </w:tr>
      <w:tr w14:paraId="73F70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31" w:type="pct"/>
            <w:vAlign w:val="center"/>
          </w:tcPr>
          <w:p w14:paraId="5EA2B1BE">
            <w:pPr>
              <w:spacing w:line="360" w:lineRule="auto"/>
              <w:jc w:val="center"/>
              <w:rPr>
                <w:rFonts w:ascii="宋体"/>
                <w:spacing w:val="-4"/>
                <w:sz w:val="21"/>
                <w:szCs w:val="21"/>
              </w:rPr>
            </w:pPr>
            <w:r>
              <w:rPr>
                <w:rFonts w:hint="eastAsia" w:ascii="宋体"/>
                <w:spacing w:val="-4"/>
                <w:sz w:val="21"/>
                <w:szCs w:val="21"/>
              </w:rPr>
              <w:t>8</w:t>
            </w:r>
          </w:p>
        </w:tc>
        <w:tc>
          <w:tcPr>
            <w:tcW w:w="1479" w:type="pct"/>
            <w:vAlign w:val="center"/>
          </w:tcPr>
          <w:p w14:paraId="2289BD9C">
            <w:pPr>
              <w:spacing w:line="360" w:lineRule="auto"/>
              <w:jc w:val="center"/>
              <w:rPr>
                <w:rFonts w:ascii="宋体"/>
                <w:spacing w:val="-4"/>
                <w:sz w:val="21"/>
                <w:szCs w:val="21"/>
              </w:rPr>
            </w:pPr>
            <w:r>
              <w:rPr>
                <w:rFonts w:hint="eastAsia"/>
                <w:color w:val="000000"/>
                <w:sz w:val="21"/>
                <w:szCs w:val="21"/>
              </w:rPr>
              <w:t>资产负债率</w:t>
            </w:r>
          </w:p>
        </w:tc>
        <w:tc>
          <w:tcPr>
            <w:tcW w:w="746" w:type="pct"/>
          </w:tcPr>
          <w:p w14:paraId="193BDF9E">
            <w:pPr>
              <w:spacing w:line="360" w:lineRule="auto"/>
              <w:jc w:val="center"/>
              <w:rPr>
                <w:rFonts w:ascii="宋体"/>
                <w:spacing w:val="-4"/>
                <w:sz w:val="21"/>
                <w:szCs w:val="21"/>
              </w:rPr>
            </w:pPr>
            <w:r>
              <w:rPr>
                <w:rFonts w:hint="eastAsia" w:ascii="宋体" w:hAnsi="宋体" w:cs="宋体"/>
                <w:color w:val="000000"/>
                <w:sz w:val="21"/>
                <w:szCs w:val="21"/>
              </w:rPr>
              <w:t>%</w:t>
            </w:r>
          </w:p>
        </w:tc>
        <w:tc>
          <w:tcPr>
            <w:tcW w:w="780" w:type="pct"/>
            <w:shd w:val="clear" w:color="auto" w:fill="auto"/>
            <w:vAlign w:val="center"/>
          </w:tcPr>
          <w:p w14:paraId="28FE70FD">
            <w:pPr>
              <w:spacing w:line="360" w:lineRule="auto"/>
              <w:jc w:val="center"/>
              <w:rPr>
                <w:rFonts w:ascii="宋体" w:hAnsi="宋体" w:eastAsia="宋体" w:cs="宋体"/>
                <w:color w:val="000000"/>
                <w:sz w:val="21"/>
                <w:szCs w:val="21"/>
                <w:highlight w:val="yellow"/>
                <w:lang w:val="en-US" w:eastAsia="zh-CN" w:bidi="ar-SA"/>
              </w:rPr>
            </w:pPr>
            <w:r>
              <w:rPr>
                <w:rFonts w:hint="eastAsia" w:ascii="宋体" w:hAnsi="宋体" w:cs="宋体"/>
                <w:color w:val="000000"/>
                <w:szCs w:val="21"/>
              </w:rPr>
              <w:t>76.05%</w:t>
            </w:r>
          </w:p>
        </w:tc>
        <w:tc>
          <w:tcPr>
            <w:tcW w:w="780" w:type="pct"/>
            <w:shd w:val="clear" w:color="auto" w:fill="auto"/>
            <w:vAlign w:val="center"/>
          </w:tcPr>
          <w:p w14:paraId="4441636A">
            <w:pPr>
              <w:spacing w:line="360" w:lineRule="auto"/>
              <w:jc w:val="center"/>
              <w:rPr>
                <w:rFonts w:ascii="宋体" w:hAnsi="宋体" w:eastAsia="宋体" w:cs="宋体"/>
                <w:color w:val="000000"/>
                <w:sz w:val="21"/>
                <w:szCs w:val="21"/>
                <w:highlight w:val="yellow"/>
                <w:lang w:val="en-US" w:eastAsia="zh-CN" w:bidi="ar-SA"/>
              </w:rPr>
            </w:pPr>
            <w:r>
              <w:rPr>
                <w:rFonts w:hint="eastAsia" w:ascii="宋体" w:hAnsi="宋体" w:cs="宋体"/>
                <w:color w:val="000000"/>
                <w:szCs w:val="21"/>
              </w:rPr>
              <w:t>70.80%</w:t>
            </w:r>
          </w:p>
        </w:tc>
        <w:tc>
          <w:tcPr>
            <w:tcW w:w="780" w:type="pct"/>
            <w:vAlign w:val="center"/>
          </w:tcPr>
          <w:p w14:paraId="1B8FBA9E">
            <w:pPr>
              <w:spacing w:line="360" w:lineRule="auto"/>
              <w:jc w:val="center"/>
              <w:rPr>
                <w:rFonts w:hint="default"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72.10</w:t>
            </w:r>
          </w:p>
        </w:tc>
      </w:tr>
      <w:tr w14:paraId="6FAE3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31" w:type="pct"/>
            <w:vAlign w:val="center"/>
          </w:tcPr>
          <w:p w14:paraId="66263225">
            <w:pPr>
              <w:spacing w:line="360" w:lineRule="auto"/>
              <w:jc w:val="center"/>
              <w:rPr>
                <w:rFonts w:ascii="宋体"/>
                <w:spacing w:val="-4"/>
                <w:sz w:val="21"/>
                <w:szCs w:val="21"/>
              </w:rPr>
            </w:pPr>
            <w:r>
              <w:rPr>
                <w:rFonts w:hint="eastAsia" w:ascii="宋体"/>
                <w:spacing w:val="-4"/>
                <w:sz w:val="21"/>
                <w:szCs w:val="21"/>
              </w:rPr>
              <w:t>9</w:t>
            </w:r>
          </w:p>
        </w:tc>
        <w:tc>
          <w:tcPr>
            <w:tcW w:w="1479" w:type="pct"/>
            <w:vAlign w:val="center"/>
          </w:tcPr>
          <w:p w14:paraId="625EA828">
            <w:pPr>
              <w:spacing w:line="360" w:lineRule="auto"/>
              <w:jc w:val="center"/>
              <w:rPr>
                <w:rFonts w:ascii="宋体"/>
                <w:spacing w:val="-4"/>
                <w:sz w:val="21"/>
                <w:szCs w:val="21"/>
              </w:rPr>
            </w:pPr>
            <w:r>
              <w:rPr>
                <w:rFonts w:hint="eastAsia"/>
                <w:color w:val="000000"/>
                <w:sz w:val="21"/>
                <w:szCs w:val="21"/>
              </w:rPr>
              <w:t>流动资产周转率</w:t>
            </w:r>
          </w:p>
        </w:tc>
        <w:tc>
          <w:tcPr>
            <w:tcW w:w="746" w:type="pct"/>
          </w:tcPr>
          <w:p w14:paraId="6465E3E4">
            <w:pPr>
              <w:spacing w:line="360" w:lineRule="auto"/>
              <w:jc w:val="center"/>
              <w:rPr>
                <w:rFonts w:ascii="宋体"/>
                <w:spacing w:val="-4"/>
                <w:sz w:val="21"/>
                <w:szCs w:val="21"/>
              </w:rPr>
            </w:pPr>
            <w:r>
              <w:rPr>
                <w:rFonts w:hint="eastAsia" w:ascii="宋体" w:hAnsi="宋体" w:cs="宋体"/>
                <w:color w:val="000000"/>
                <w:sz w:val="21"/>
                <w:szCs w:val="21"/>
              </w:rPr>
              <w:t>%</w:t>
            </w:r>
          </w:p>
        </w:tc>
        <w:tc>
          <w:tcPr>
            <w:tcW w:w="780" w:type="pct"/>
            <w:shd w:val="clear" w:color="auto" w:fill="auto"/>
            <w:vAlign w:val="center"/>
          </w:tcPr>
          <w:p w14:paraId="33E4881B">
            <w:pPr>
              <w:spacing w:line="360" w:lineRule="auto"/>
              <w:jc w:val="center"/>
              <w:rPr>
                <w:rFonts w:ascii="宋体" w:hAnsi="宋体" w:eastAsia="宋体" w:cs="宋体"/>
                <w:color w:val="000000"/>
                <w:sz w:val="21"/>
                <w:szCs w:val="21"/>
                <w:highlight w:val="yellow"/>
                <w:lang w:val="en-US" w:eastAsia="zh-CN" w:bidi="ar-SA"/>
              </w:rPr>
            </w:pPr>
            <w:r>
              <w:rPr>
                <w:rFonts w:hint="eastAsia" w:ascii="宋体" w:hAnsi="宋体" w:cs="宋体"/>
                <w:color w:val="000000"/>
                <w:szCs w:val="21"/>
              </w:rPr>
              <w:t>1.69</w:t>
            </w:r>
          </w:p>
        </w:tc>
        <w:tc>
          <w:tcPr>
            <w:tcW w:w="780" w:type="pct"/>
            <w:shd w:val="clear" w:color="auto" w:fill="auto"/>
            <w:vAlign w:val="center"/>
          </w:tcPr>
          <w:p w14:paraId="61464B53">
            <w:pPr>
              <w:spacing w:line="360" w:lineRule="auto"/>
              <w:jc w:val="center"/>
              <w:rPr>
                <w:rFonts w:ascii="宋体" w:hAnsi="宋体" w:eastAsia="宋体" w:cs="宋体"/>
                <w:color w:val="000000"/>
                <w:sz w:val="21"/>
                <w:szCs w:val="21"/>
                <w:highlight w:val="yellow"/>
                <w:lang w:val="en-US" w:eastAsia="zh-CN" w:bidi="ar-SA"/>
              </w:rPr>
            </w:pPr>
            <w:r>
              <w:rPr>
                <w:rFonts w:hint="eastAsia" w:ascii="宋体" w:hAnsi="宋体" w:cs="宋体"/>
                <w:color w:val="000000"/>
                <w:szCs w:val="21"/>
              </w:rPr>
              <w:t>1.56</w:t>
            </w:r>
          </w:p>
        </w:tc>
        <w:tc>
          <w:tcPr>
            <w:tcW w:w="780" w:type="pct"/>
            <w:vAlign w:val="center"/>
          </w:tcPr>
          <w:p w14:paraId="60C48EFC">
            <w:pPr>
              <w:spacing w:line="360" w:lineRule="auto"/>
              <w:jc w:val="center"/>
              <w:rPr>
                <w:rFonts w:hint="default"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1.71</w:t>
            </w:r>
          </w:p>
        </w:tc>
      </w:tr>
      <w:tr w14:paraId="64FD0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31" w:type="pct"/>
            <w:vAlign w:val="center"/>
          </w:tcPr>
          <w:p w14:paraId="0ACAB98F">
            <w:pPr>
              <w:spacing w:line="360" w:lineRule="auto"/>
              <w:jc w:val="center"/>
              <w:rPr>
                <w:rFonts w:ascii="宋体"/>
                <w:spacing w:val="-4"/>
                <w:sz w:val="21"/>
                <w:szCs w:val="21"/>
              </w:rPr>
            </w:pPr>
            <w:r>
              <w:rPr>
                <w:rFonts w:hint="eastAsia" w:ascii="宋体"/>
                <w:spacing w:val="-4"/>
                <w:sz w:val="21"/>
                <w:szCs w:val="21"/>
              </w:rPr>
              <w:t>1</w:t>
            </w:r>
            <w:r>
              <w:rPr>
                <w:rFonts w:ascii="宋体"/>
                <w:spacing w:val="-4"/>
                <w:sz w:val="21"/>
                <w:szCs w:val="21"/>
              </w:rPr>
              <w:t>0</w:t>
            </w:r>
          </w:p>
        </w:tc>
        <w:tc>
          <w:tcPr>
            <w:tcW w:w="1479" w:type="pct"/>
            <w:vAlign w:val="center"/>
          </w:tcPr>
          <w:p w14:paraId="1E3D68DC">
            <w:pPr>
              <w:spacing w:line="360" w:lineRule="auto"/>
              <w:jc w:val="center"/>
              <w:rPr>
                <w:rFonts w:ascii="宋体"/>
                <w:spacing w:val="-4"/>
                <w:sz w:val="21"/>
                <w:szCs w:val="21"/>
              </w:rPr>
            </w:pPr>
            <w:r>
              <w:rPr>
                <w:rFonts w:hint="eastAsia"/>
                <w:color w:val="000000"/>
                <w:sz w:val="21"/>
                <w:szCs w:val="21"/>
              </w:rPr>
              <w:t>成本费用利润率</w:t>
            </w:r>
          </w:p>
        </w:tc>
        <w:tc>
          <w:tcPr>
            <w:tcW w:w="746" w:type="pct"/>
          </w:tcPr>
          <w:p w14:paraId="34EC8575">
            <w:pPr>
              <w:spacing w:line="360" w:lineRule="auto"/>
              <w:jc w:val="center"/>
              <w:rPr>
                <w:rFonts w:ascii="宋体"/>
                <w:spacing w:val="-4"/>
                <w:sz w:val="21"/>
                <w:szCs w:val="21"/>
              </w:rPr>
            </w:pPr>
            <w:r>
              <w:rPr>
                <w:rFonts w:hint="eastAsia" w:ascii="宋体" w:hAnsi="宋体" w:cs="宋体"/>
                <w:color w:val="000000"/>
                <w:sz w:val="21"/>
                <w:szCs w:val="21"/>
              </w:rPr>
              <w:t>%</w:t>
            </w:r>
          </w:p>
        </w:tc>
        <w:tc>
          <w:tcPr>
            <w:tcW w:w="780" w:type="pct"/>
            <w:shd w:val="clear" w:color="auto" w:fill="auto"/>
            <w:vAlign w:val="center"/>
          </w:tcPr>
          <w:p w14:paraId="70C8A28E">
            <w:pPr>
              <w:spacing w:line="360" w:lineRule="auto"/>
              <w:jc w:val="center"/>
              <w:rPr>
                <w:rFonts w:ascii="宋体" w:hAnsi="宋体" w:eastAsia="宋体" w:cs="宋体"/>
                <w:color w:val="000000"/>
                <w:sz w:val="21"/>
                <w:szCs w:val="21"/>
                <w:highlight w:val="yellow"/>
                <w:lang w:val="en-US" w:eastAsia="zh-CN" w:bidi="ar-SA"/>
              </w:rPr>
            </w:pPr>
            <w:r>
              <w:rPr>
                <w:rFonts w:hint="eastAsia" w:ascii="宋体" w:hAnsi="宋体" w:cs="宋体"/>
                <w:color w:val="000000"/>
                <w:szCs w:val="21"/>
              </w:rPr>
              <w:t>8.9%</w:t>
            </w:r>
          </w:p>
        </w:tc>
        <w:tc>
          <w:tcPr>
            <w:tcW w:w="780" w:type="pct"/>
            <w:shd w:val="clear" w:color="auto" w:fill="auto"/>
            <w:vAlign w:val="center"/>
          </w:tcPr>
          <w:p w14:paraId="5C11259C">
            <w:pPr>
              <w:spacing w:line="360" w:lineRule="auto"/>
              <w:jc w:val="center"/>
              <w:rPr>
                <w:rFonts w:ascii="宋体" w:hAnsi="宋体" w:eastAsia="宋体" w:cs="宋体"/>
                <w:color w:val="000000"/>
                <w:sz w:val="21"/>
                <w:szCs w:val="21"/>
                <w:highlight w:val="yellow"/>
                <w:lang w:val="en-US" w:eastAsia="zh-CN" w:bidi="ar-SA"/>
              </w:rPr>
            </w:pPr>
            <w:r>
              <w:rPr>
                <w:rFonts w:hint="eastAsia" w:ascii="宋体" w:hAnsi="宋体" w:cs="宋体"/>
                <w:color w:val="000000"/>
                <w:szCs w:val="21"/>
              </w:rPr>
              <w:t>3.86%</w:t>
            </w:r>
          </w:p>
        </w:tc>
        <w:tc>
          <w:tcPr>
            <w:tcW w:w="780" w:type="pct"/>
            <w:vAlign w:val="center"/>
          </w:tcPr>
          <w:p w14:paraId="18DCAD9D">
            <w:pPr>
              <w:spacing w:line="360" w:lineRule="auto"/>
              <w:jc w:val="center"/>
              <w:rPr>
                <w:rFonts w:hint="default"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5.68</w:t>
            </w:r>
          </w:p>
        </w:tc>
      </w:tr>
      <w:tr w14:paraId="693D4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31" w:type="pct"/>
            <w:vAlign w:val="center"/>
          </w:tcPr>
          <w:p w14:paraId="5B2782AB">
            <w:pPr>
              <w:spacing w:line="360" w:lineRule="auto"/>
              <w:jc w:val="center"/>
              <w:rPr>
                <w:rFonts w:ascii="宋体"/>
                <w:spacing w:val="-4"/>
                <w:sz w:val="21"/>
                <w:szCs w:val="21"/>
              </w:rPr>
            </w:pPr>
            <w:r>
              <w:rPr>
                <w:rFonts w:hint="eastAsia" w:ascii="宋体"/>
                <w:spacing w:val="-4"/>
                <w:sz w:val="21"/>
                <w:szCs w:val="21"/>
              </w:rPr>
              <w:t>1</w:t>
            </w:r>
            <w:r>
              <w:rPr>
                <w:rFonts w:ascii="宋体"/>
                <w:spacing w:val="-4"/>
                <w:sz w:val="21"/>
                <w:szCs w:val="21"/>
              </w:rPr>
              <w:t>1</w:t>
            </w:r>
          </w:p>
        </w:tc>
        <w:tc>
          <w:tcPr>
            <w:tcW w:w="1479" w:type="pct"/>
            <w:vAlign w:val="center"/>
          </w:tcPr>
          <w:p w14:paraId="15CCB2D7">
            <w:pPr>
              <w:spacing w:line="360" w:lineRule="auto"/>
              <w:jc w:val="center"/>
              <w:rPr>
                <w:rFonts w:ascii="宋体"/>
                <w:spacing w:val="-4"/>
                <w:sz w:val="21"/>
                <w:szCs w:val="21"/>
              </w:rPr>
            </w:pPr>
            <w:r>
              <w:rPr>
                <w:rFonts w:hint="eastAsia"/>
                <w:color w:val="000000"/>
                <w:sz w:val="21"/>
                <w:szCs w:val="21"/>
              </w:rPr>
              <w:t>所有者权益</w:t>
            </w:r>
          </w:p>
        </w:tc>
        <w:tc>
          <w:tcPr>
            <w:tcW w:w="746" w:type="pct"/>
          </w:tcPr>
          <w:p w14:paraId="68F597FA">
            <w:pPr>
              <w:spacing w:line="360" w:lineRule="auto"/>
              <w:jc w:val="center"/>
              <w:rPr>
                <w:rFonts w:ascii="宋体"/>
                <w:spacing w:val="-4"/>
                <w:sz w:val="21"/>
                <w:szCs w:val="21"/>
              </w:rPr>
            </w:pPr>
            <w:r>
              <w:rPr>
                <w:rFonts w:hint="eastAsia" w:ascii="宋体"/>
                <w:spacing w:val="-4"/>
                <w:sz w:val="21"/>
                <w:szCs w:val="21"/>
              </w:rPr>
              <w:t>万元</w:t>
            </w:r>
          </w:p>
        </w:tc>
        <w:tc>
          <w:tcPr>
            <w:tcW w:w="780" w:type="pct"/>
            <w:shd w:val="clear" w:color="auto" w:fill="auto"/>
            <w:vAlign w:val="center"/>
          </w:tcPr>
          <w:p w14:paraId="30D442AA">
            <w:pPr>
              <w:spacing w:line="360" w:lineRule="auto"/>
              <w:jc w:val="center"/>
              <w:rPr>
                <w:rFonts w:hint="default" w:ascii="宋体" w:hAnsi="宋体" w:eastAsia="宋体" w:cs="宋体"/>
                <w:color w:val="000000"/>
                <w:sz w:val="21"/>
                <w:szCs w:val="21"/>
                <w:highlight w:val="yellow"/>
                <w:lang w:val="en-US" w:eastAsia="zh-CN" w:bidi="ar-SA"/>
              </w:rPr>
            </w:pPr>
            <w:r>
              <w:rPr>
                <w:rFonts w:hint="eastAsia" w:ascii="宋体" w:hAnsi="宋体" w:cs="宋体"/>
                <w:color w:val="000000"/>
                <w:szCs w:val="21"/>
                <w:lang w:val="en-US" w:eastAsia="zh-CN"/>
              </w:rPr>
              <w:t>1449</w:t>
            </w:r>
          </w:p>
        </w:tc>
        <w:tc>
          <w:tcPr>
            <w:tcW w:w="780" w:type="pct"/>
            <w:shd w:val="clear" w:color="auto" w:fill="auto"/>
            <w:vAlign w:val="center"/>
          </w:tcPr>
          <w:p w14:paraId="5A0E3C5D">
            <w:pPr>
              <w:spacing w:line="360" w:lineRule="auto"/>
              <w:jc w:val="center"/>
              <w:rPr>
                <w:rFonts w:hint="default" w:ascii="宋体" w:hAnsi="宋体" w:eastAsia="宋体" w:cs="宋体"/>
                <w:color w:val="000000"/>
                <w:sz w:val="21"/>
                <w:szCs w:val="21"/>
                <w:highlight w:val="yellow"/>
                <w:lang w:val="en-US" w:eastAsia="zh-CN" w:bidi="ar-SA"/>
              </w:rPr>
            </w:pPr>
            <w:r>
              <w:rPr>
                <w:rFonts w:hint="eastAsia" w:ascii="宋体" w:hAnsi="宋体" w:cs="宋体"/>
                <w:color w:val="000000"/>
                <w:szCs w:val="21"/>
                <w:lang w:val="en-US" w:eastAsia="zh-CN"/>
              </w:rPr>
              <w:t>1422</w:t>
            </w:r>
          </w:p>
        </w:tc>
        <w:tc>
          <w:tcPr>
            <w:tcW w:w="780" w:type="pct"/>
            <w:vAlign w:val="center"/>
          </w:tcPr>
          <w:p w14:paraId="6F2E95FF">
            <w:pPr>
              <w:spacing w:line="360" w:lineRule="auto"/>
              <w:jc w:val="center"/>
              <w:rPr>
                <w:rFonts w:hint="default"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1497</w:t>
            </w:r>
          </w:p>
        </w:tc>
      </w:tr>
    </w:tbl>
    <w:p w14:paraId="78CA7E6B">
      <w:pPr>
        <w:autoSpaceDE w:val="0"/>
        <w:autoSpaceDN w:val="0"/>
        <w:adjustRightInd w:val="0"/>
        <w:spacing w:line="360" w:lineRule="auto"/>
        <w:ind w:firstLine="422" w:firstLineChars="200"/>
        <w:jc w:val="center"/>
        <w:rPr>
          <w:rFonts w:ascii="黑体" w:hAnsi="黑体" w:eastAsia="黑体" w:cs="宋体"/>
          <w:b/>
          <w:sz w:val="21"/>
          <w:szCs w:val="21"/>
        </w:rPr>
      </w:pPr>
    </w:p>
    <w:p w14:paraId="4A5B989C">
      <w:pPr>
        <w:pStyle w:val="32"/>
        <w:spacing w:before="312" w:beforeLines="100" w:after="312" w:afterLines="100" w:line="360" w:lineRule="auto"/>
        <w:rPr>
          <w:rFonts w:ascii="Times New Roman" w:eastAsia="宋体"/>
        </w:rPr>
      </w:pPr>
      <w:bookmarkStart w:id="79" w:name="_Toc99720448"/>
      <w:bookmarkStart w:id="80" w:name="_Toc342643293"/>
      <w:r>
        <w:rPr>
          <w:rFonts w:hint="eastAsia" w:ascii="Times New Roman" w:eastAsia="宋体"/>
        </w:rPr>
        <w:t>4.7.5 资源结果</w:t>
      </w:r>
      <w:bookmarkEnd w:id="79"/>
    </w:p>
    <w:p w14:paraId="36FA7536">
      <w:pPr>
        <w:pStyle w:val="44"/>
        <w:spacing w:beforeLines="0" w:line="360" w:lineRule="auto"/>
        <w:ind w:firstLine="0" w:firstLineChars="0"/>
        <w:rPr>
          <w:rFonts w:ascii="宋体" w:hAnsi="宋体" w:eastAsia="宋体"/>
        </w:rPr>
      </w:pPr>
      <w:r>
        <w:rPr>
          <w:rFonts w:ascii="宋体" w:hAnsi="宋体" w:eastAsia="宋体"/>
        </w:rPr>
        <w:t>(</w:t>
      </w:r>
      <w:r>
        <w:rPr>
          <w:rFonts w:hint="eastAsia" w:ascii="宋体" w:hAnsi="宋体" w:eastAsia="宋体"/>
        </w:rPr>
        <w:t>一)人力资源结果</w:t>
      </w:r>
    </w:p>
    <w:p w14:paraId="416F589B">
      <w:pPr>
        <w:pStyle w:val="41"/>
        <w:spacing w:beforeLines="0" w:line="360" w:lineRule="auto"/>
        <w:ind w:firstLine="0" w:firstLineChars="0"/>
        <w:rPr>
          <w:rFonts w:ascii="宋体" w:hAnsi="宋体" w:eastAsia="宋体"/>
          <w:color w:val="auto"/>
        </w:rPr>
      </w:pPr>
      <w:r>
        <w:rPr>
          <w:rFonts w:ascii="宋体" w:hAnsi="宋体" w:eastAsia="宋体"/>
          <w:color w:val="auto"/>
        </w:rPr>
        <w:t xml:space="preserve">a) </w:t>
      </w:r>
      <w:r>
        <w:rPr>
          <w:rFonts w:hint="eastAsia" w:ascii="宋体" w:hAnsi="宋体" w:eastAsia="宋体"/>
          <w:color w:val="auto"/>
        </w:rPr>
        <w:t>工作系统绩效的主要测量指标</w:t>
      </w:r>
    </w:p>
    <w:p w14:paraId="67A710CB">
      <w:pPr>
        <w:pStyle w:val="36"/>
        <w:spacing w:line="360" w:lineRule="auto"/>
        <w:ind w:firstLine="0" w:firstLineChars="0"/>
        <w:rPr>
          <w:rFonts w:ascii="宋体" w:hAnsi="宋体" w:eastAsia="宋体"/>
          <w:color w:val="auto"/>
        </w:rPr>
      </w:pPr>
      <w:r>
        <w:rPr>
          <w:rFonts w:ascii="宋体" w:hAnsi="宋体" w:eastAsia="宋体"/>
          <w:color w:val="auto"/>
        </w:rPr>
        <w:t>1)</w:t>
      </w:r>
      <w:r>
        <w:rPr>
          <w:rFonts w:hint="eastAsia" w:ascii="宋体" w:hAnsi="宋体" w:eastAsia="宋体"/>
          <w:color w:val="auto"/>
        </w:rPr>
        <w:t>管理层比率</w:t>
      </w:r>
    </w:p>
    <w:p w14:paraId="0F3C1776">
      <w:pPr>
        <w:autoSpaceDE w:val="0"/>
        <w:autoSpaceDN w:val="0"/>
        <w:adjustRightInd w:val="0"/>
        <w:spacing w:line="360" w:lineRule="auto"/>
        <w:ind w:firstLine="422" w:firstLineChars="200"/>
        <w:jc w:val="center"/>
        <w:rPr>
          <w:rFonts w:ascii="黑体" w:hAnsi="黑体" w:eastAsia="黑体" w:cs="宋体"/>
          <w:b/>
          <w:sz w:val="21"/>
          <w:szCs w:val="21"/>
        </w:rPr>
      </w:pPr>
      <w:r>
        <w:rPr>
          <w:rFonts w:hint="eastAsia" w:ascii="黑体" w:hAnsi="黑体" w:eastAsia="黑体" w:cs="宋体"/>
          <w:b/>
          <w:sz w:val="21"/>
          <w:szCs w:val="21"/>
        </w:rPr>
        <w:t>表</w:t>
      </w:r>
      <w:r>
        <w:rPr>
          <w:rFonts w:ascii="黑体" w:hAnsi="黑体" w:eastAsia="黑体" w:cs="宋体"/>
          <w:b/>
          <w:sz w:val="21"/>
          <w:szCs w:val="21"/>
        </w:rPr>
        <w:t>4.7.5-</w:t>
      </w:r>
      <w:r>
        <w:rPr>
          <w:rFonts w:hint="eastAsia" w:ascii="黑体" w:hAnsi="黑体" w:eastAsia="黑体" w:cs="宋体"/>
          <w:b/>
          <w:sz w:val="21"/>
          <w:szCs w:val="21"/>
        </w:rPr>
        <w:t>1 岗位管理层级</w:t>
      </w:r>
    </w:p>
    <w:tbl>
      <w:tblPr>
        <w:tblStyle w:val="22"/>
        <w:tblW w:w="85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2126"/>
        <w:gridCol w:w="2126"/>
        <w:gridCol w:w="2068"/>
      </w:tblGrid>
      <w:tr w14:paraId="6BC98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blHeader/>
          <w:jc w:val="center"/>
        </w:trPr>
        <w:tc>
          <w:tcPr>
            <w:tcW w:w="2268" w:type="dxa"/>
            <w:shd w:val="clear" w:color="auto" w:fill="938953"/>
            <w:vAlign w:val="center"/>
          </w:tcPr>
          <w:p w14:paraId="0F5CC9EF">
            <w:pPr>
              <w:pStyle w:val="31"/>
              <w:widowControl w:val="0"/>
              <w:spacing w:line="400" w:lineRule="exact"/>
              <w:rPr>
                <w:rFonts w:ascii="宋体" w:hAnsi="宋体" w:eastAsia="宋体"/>
                <w:b/>
                <w:color w:val="auto"/>
                <w:kern w:val="2"/>
              </w:rPr>
            </w:pPr>
            <w:r>
              <w:rPr>
                <w:rFonts w:hint="eastAsia" w:ascii="宋体" w:hAnsi="宋体" w:eastAsia="宋体"/>
                <w:b/>
                <w:color w:val="auto"/>
                <w:kern w:val="2"/>
              </w:rPr>
              <w:t>年度</w:t>
            </w:r>
          </w:p>
        </w:tc>
        <w:tc>
          <w:tcPr>
            <w:tcW w:w="2126" w:type="dxa"/>
            <w:shd w:val="clear" w:color="auto" w:fill="938953"/>
            <w:vAlign w:val="center"/>
          </w:tcPr>
          <w:p w14:paraId="75BB94E9">
            <w:pPr>
              <w:pStyle w:val="31"/>
              <w:widowControl w:val="0"/>
              <w:spacing w:line="260" w:lineRule="exact"/>
              <w:rPr>
                <w:rFonts w:ascii="宋体" w:hAnsi="宋体" w:eastAsia="宋体"/>
                <w:b/>
                <w:color w:val="auto"/>
                <w:kern w:val="2"/>
              </w:rPr>
            </w:pPr>
            <w:r>
              <w:rPr>
                <w:rFonts w:hint="eastAsia" w:ascii="宋体"/>
                <w:b/>
                <w:bCs/>
                <w:spacing w:val="-4"/>
              </w:rPr>
              <w:t>20</w:t>
            </w:r>
            <w:r>
              <w:rPr>
                <w:rFonts w:ascii="宋体"/>
                <w:b/>
                <w:bCs/>
                <w:spacing w:val="-4"/>
              </w:rPr>
              <w:t>2</w:t>
            </w:r>
            <w:r>
              <w:rPr>
                <w:rFonts w:hint="eastAsia" w:ascii="宋体"/>
                <w:b/>
                <w:bCs/>
                <w:spacing w:val="-4"/>
                <w:lang w:val="en-US" w:eastAsia="zh-CN"/>
              </w:rPr>
              <w:t>3</w:t>
            </w:r>
            <w:r>
              <w:rPr>
                <w:rFonts w:hint="eastAsia" w:ascii="宋体"/>
                <w:b/>
                <w:bCs/>
                <w:spacing w:val="-4"/>
              </w:rPr>
              <w:t>年</w:t>
            </w:r>
          </w:p>
        </w:tc>
        <w:tc>
          <w:tcPr>
            <w:tcW w:w="2126" w:type="dxa"/>
            <w:shd w:val="clear" w:color="auto" w:fill="938953"/>
            <w:vAlign w:val="center"/>
          </w:tcPr>
          <w:p w14:paraId="384CAC9A">
            <w:pPr>
              <w:pStyle w:val="31"/>
              <w:widowControl w:val="0"/>
              <w:spacing w:line="260" w:lineRule="exact"/>
              <w:rPr>
                <w:rFonts w:ascii="宋体" w:hAnsi="宋体" w:eastAsia="宋体"/>
                <w:b/>
                <w:color w:val="auto"/>
                <w:kern w:val="2"/>
              </w:rPr>
            </w:pPr>
            <w:r>
              <w:rPr>
                <w:rFonts w:hint="eastAsia" w:ascii="宋体"/>
                <w:b/>
                <w:bCs/>
                <w:spacing w:val="-4"/>
              </w:rPr>
              <w:t>202</w:t>
            </w:r>
            <w:r>
              <w:rPr>
                <w:rFonts w:hint="eastAsia" w:ascii="宋体"/>
                <w:b/>
                <w:bCs/>
                <w:spacing w:val="-4"/>
                <w:lang w:val="en-US" w:eastAsia="zh-CN"/>
              </w:rPr>
              <w:t>4</w:t>
            </w:r>
            <w:r>
              <w:rPr>
                <w:rFonts w:hint="eastAsia" w:ascii="宋体"/>
                <w:b/>
                <w:bCs/>
                <w:spacing w:val="-4"/>
              </w:rPr>
              <w:t>年</w:t>
            </w:r>
          </w:p>
        </w:tc>
        <w:tc>
          <w:tcPr>
            <w:tcW w:w="2068" w:type="dxa"/>
            <w:shd w:val="clear" w:color="auto" w:fill="938953"/>
            <w:vAlign w:val="center"/>
          </w:tcPr>
          <w:p w14:paraId="70865075">
            <w:pPr>
              <w:pStyle w:val="31"/>
              <w:widowControl w:val="0"/>
              <w:spacing w:line="260" w:lineRule="exact"/>
              <w:rPr>
                <w:rFonts w:ascii="宋体" w:hAnsi="宋体" w:eastAsia="宋体"/>
                <w:b/>
                <w:color w:val="auto"/>
                <w:kern w:val="2"/>
              </w:rPr>
            </w:pPr>
            <w:r>
              <w:rPr>
                <w:rFonts w:hint="eastAsia" w:ascii="宋体"/>
                <w:b/>
                <w:bCs/>
                <w:spacing w:val="-4"/>
              </w:rPr>
              <w:t>202</w:t>
            </w:r>
            <w:r>
              <w:rPr>
                <w:rFonts w:hint="eastAsia" w:ascii="宋体"/>
                <w:b/>
                <w:bCs/>
                <w:spacing w:val="-4"/>
                <w:lang w:val="en-US" w:eastAsia="zh-CN"/>
              </w:rPr>
              <w:t>5</w:t>
            </w:r>
            <w:r>
              <w:rPr>
                <w:rFonts w:hint="eastAsia" w:ascii="宋体"/>
                <w:b/>
                <w:bCs/>
                <w:spacing w:val="-4"/>
              </w:rPr>
              <w:t>年</w:t>
            </w:r>
          </w:p>
        </w:tc>
      </w:tr>
      <w:tr w14:paraId="023A4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2268" w:type="dxa"/>
            <w:vAlign w:val="center"/>
          </w:tcPr>
          <w:p w14:paraId="2C7631A6">
            <w:pPr>
              <w:spacing w:line="400" w:lineRule="exact"/>
              <w:jc w:val="center"/>
              <w:rPr>
                <w:rFonts w:ascii="宋体" w:hAnsi="宋体"/>
                <w:spacing w:val="-4"/>
                <w:kern w:val="2"/>
                <w:sz w:val="21"/>
                <w:szCs w:val="21"/>
              </w:rPr>
            </w:pPr>
            <w:r>
              <w:rPr>
                <w:rFonts w:hint="eastAsia" w:ascii="宋体" w:hAnsi="宋体"/>
                <w:spacing w:val="-4"/>
                <w:kern w:val="2"/>
                <w:sz w:val="21"/>
                <w:szCs w:val="21"/>
              </w:rPr>
              <w:t>管理人员/人</w:t>
            </w:r>
          </w:p>
        </w:tc>
        <w:tc>
          <w:tcPr>
            <w:tcW w:w="2126" w:type="dxa"/>
            <w:shd w:val="clear" w:color="auto" w:fill="auto"/>
            <w:vAlign w:val="center"/>
          </w:tcPr>
          <w:p w14:paraId="4D5B7011">
            <w:pPr>
              <w:spacing w:line="400" w:lineRule="exact"/>
              <w:jc w:val="center"/>
              <w:rPr>
                <w:rFonts w:ascii="宋体" w:hAnsi="宋体" w:eastAsia="宋体" w:cs="Times New Roman"/>
                <w:spacing w:val="-4"/>
                <w:kern w:val="2"/>
                <w:sz w:val="21"/>
                <w:szCs w:val="21"/>
                <w:lang w:val="en-US" w:eastAsia="zh-CN" w:bidi="ar-SA"/>
              </w:rPr>
            </w:pPr>
            <w:r>
              <w:rPr>
                <w:rFonts w:hint="eastAsia" w:ascii="宋体" w:hAnsi="宋体"/>
                <w:spacing w:val="-4"/>
                <w:kern w:val="2"/>
                <w:sz w:val="21"/>
                <w:szCs w:val="21"/>
              </w:rPr>
              <w:t>15</w:t>
            </w:r>
          </w:p>
        </w:tc>
        <w:tc>
          <w:tcPr>
            <w:tcW w:w="2126" w:type="dxa"/>
            <w:shd w:val="clear" w:color="auto" w:fill="auto"/>
            <w:vAlign w:val="center"/>
          </w:tcPr>
          <w:p w14:paraId="47E70FF2">
            <w:pPr>
              <w:spacing w:line="400" w:lineRule="exact"/>
              <w:jc w:val="center"/>
              <w:rPr>
                <w:rFonts w:ascii="宋体" w:hAnsi="宋体" w:eastAsia="宋体" w:cs="Times New Roman"/>
                <w:spacing w:val="-4"/>
                <w:kern w:val="2"/>
                <w:sz w:val="21"/>
                <w:szCs w:val="21"/>
                <w:lang w:val="en-US" w:eastAsia="zh-CN" w:bidi="ar-SA"/>
              </w:rPr>
            </w:pPr>
            <w:r>
              <w:rPr>
                <w:rFonts w:hint="eastAsia" w:ascii="宋体" w:hAnsi="宋体"/>
                <w:spacing w:val="-4"/>
                <w:kern w:val="2"/>
                <w:sz w:val="21"/>
                <w:szCs w:val="21"/>
              </w:rPr>
              <w:t>17</w:t>
            </w:r>
          </w:p>
        </w:tc>
        <w:tc>
          <w:tcPr>
            <w:tcW w:w="2068" w:type="dxa"/>
            <w:vAlign w:val="center"/>
          </w:tcPr>
          <w:p w14:paraId="065B939B">
            <w:pPr>
              <w:spacing w:line="400" w:lineRule="exact"/>
              <w:jc w:val="center"/>
              <w:rPr>
                <w:rFonts w:hint="default" w:ascii="宋体" w:hAnsi="宋体" w:eastAsia="宋体"/>
                <w:spacing w:val="-4"/>
                <w:kern w:val="2"/>
                <w:sz w:val="21"/>
                <w:szCs w:val="21"/>
                <w:lang w:val="en-US" w:eastAsia="zh-CN"/>
              </w:rPr>
            </w:pPr>
            <w:r>
              <w:rPr>
                <w:rFonts w:hint="eastAsia" w:ascii="宋体" w:hAnsi="宋体"/>
                <w:spacing w:val="-4"/>
                <w:kern w:val="2"/>
                <w:sz w:val="21"/>
                <w:szCs w:val="21"/>
                <w:lang w:val="en-US" w:eastAsia="zh-CN"/>
              </w:rPr>
              <w:t>16</w:t>
            </w:r>
          </w:p>
        </w:tc>
      </w:tr>
      <w:tr w14:paraId="342B7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2268" w:type="dxa"/>
            <w:vAlign w:val="center"/>
          </w:tcPr>
          <w:p w14:paraId="110A6942">
            <w:pPr>
              <w:spacing w:line="400" w:lineRule="exact"/>
              <w:jc w:val="center"/>
              <w:rPr>
                <w:rFonts w:ascii="宋体" w:hAnsi="宋体"/>
                <w:spacing w:val="-4"/>
                <w:kern w:val="2"/>
                <w:sz w:val="21"/>
                <w:szCs w:val="21"/>
              </w:rPr>
            </w:pPr>
            <w:r>
              <w:rPr>
                <w:rFonts w:hint="eastAsia" w:ascii="宋体" w:hAnsi="宋体"/>
                <w:spacing w:val="-4"/>
                <w:kern w:val="2"/>
                <w:sz w:val="21"/>
                <w:szCs w:val="21"/>
              </w:rPr>
              <w:t>员工数/人</w:t>
            </w:r>
          </w:p>
        </w:tc>
        <w:tc>
          <w:tcPr>
            <w:tcW w:w="2126" w:type="dxa"/>
            <w:shd w:val="clear" w:color="auto" w:fill="auto"/>
            <w:vAlign w:val="center"/>
          </w:tcPr>
          <w:p w14:paraId="5774BF13">
            <w:pPr>
              <w:spacing w:line="400" w:lineRule="exact"/>
              <w:jc w:val="center"/>
              <w:rPr>
                <w:rFonts w:ascii="宋体" w:hAnsi="宋体" w:eastAsia="宋体" w:cs="Times New Roman"/>
                <w:spacing w:val="-4"/>
                <w:kern w:val="2"/>
                <w:sz w:val="21"/>
                <w:szCs w:val="21"/>
                <w:lang w:val="en-US" w:eastAsia="zh-CN" w:bidi="ar-SA"/>
              </w:rPr>
            </w:pPr>
            <w:r>
              <w:rPr>
                <w:rFonts w:hint="eastAsia" w:ascii="宋体" w:hAnsi="宋体"/>
                <w:spacing w:val="-4"/>
                <w:kern w:val="2"/>
                <w:sz w:val="21"/>
                <w:szCs w:val="21"/>
              </w:rPr>
              <w:t>45</w:t>
            </w:r>
          </w:p>
        </w:tc>
        <w:tc>
          <w:tcPr>
            <w:tcW w:w="2126" w:type="dxa"/>
            <w:shd w:val="clear" w:color="auto" w:fill="auto"/>
            <w:vAlign w:val="center"/>
          </w:tcPr>
          <w:p w14:paraId="34D3324A">
            <w:pPr>
              <w:spacing w:line="400" w:lineRule="exact"/>
              <w:jc w:val="center"/>
              <w:rPr>
                <w:rFonts w:ascii="宋体" w:hAnsi="宋体" w:eastAsia="宋体" w:cs="Times New Roman"/>
                <w:spacing w:val="-4"/>
                <w:kern w:val="2"/>
                <w:sz w:val="21"/>
                <w:szCs w:val="21"/>
                <w:lang w:val="en-US" w:eastAsia="zh-CN" w:bidi="ar-SA"/>
              </w:rPr>
            </w:pPr>
            <w:r>
              <w:rPr>
                <w:rFonts w:hint="eastAsia" w:ascii="宋体" w:hAnsi="宋体"/>
                <w:spacing w:val="-4"/>
                <w:kern w:val="2"/>
                <w:sz w:val="21"/>
                <w:szCs w:val="21"/>
              </w:rPr>
              <w:t>50</w:t>
            </w:r>
          </w:p>
        </w:tc>
        <w:tc>
          <w:tcPr>
            <w:tcW w:w="2068" w:type="dxa"/>
            <w:vAlign w:val="center"/>
          </w:tcPr>
          <w:p w14:paraId="253D1A6D">
            <w:pPr>
              <w:spacing w:line="400" w:lineRule="exact"/>
              <w:jc w:val="center"/>
              <w:rPr>
                <w:rFonts w:hint="default" w:ascii="宋体" w:hAnsi="宋体" w:eastAsia="宋体"/>
                <w:spacing w:val="-4"/>
                <w:kern w:val="2"/>
                <w:sz w:val="21"/>
                <w:szCs w:val="21"/>
                <w:lang w:val="en-US" w:eastAsia="zh-CN"/>
              </w:rPr>
            </w:pPr>
            <w:r>
              <w:rPr>
                <w:rFonts w:hint="eastAsia" w:ascii="宋体" w:hAnsi="宋体"/>
                <w:spacing w:val="-4"/>
                <w:kern w:val="2"/>
                <w:sz w:val="21"/>
                <w:szCs w:val="21"/>
                <w:lang w:val="en-US" w:eastAsia="zh-CN"/>
              </w:rPr>
              <w:t>55</w:t>
            </w:r>
          </w:p>
        </w:tc>
      </w:tr>
      <w:tr w14:paraId="564DD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2268" w:type="dxa"/>
            <w:vAlign w:val="center"/>
          </w:tcPr>
          <w:p w14:paraId="03767592">
            <w:pPr>
              <w:spacing w:line="400" w:lineRule="exact"/>
              <w:jc w:val="center"/>
              <w:rPr>
                <w:rFonts w:ascii="宋体" w:hAnsi="宋体"/>
                <w:spacing w:val="-4"/>
                <w:kern w:val="2"/>
                <w:sz w:val="21"/>
                <w:szCs w:val="21"/>
              </w:rPr>
            </w:pPr>
            <w:r>
              <w:rPr>
                <w:rFonts w:hint="eastAsia" w:ascii="宋体" w:hAnsi="宋体"/>
                <w:spacing w:val="-4"/>
                <w:kern w:val="2"/>
                <w:sz w:val="21"/>
                <w:szCs w:val="21"/>
              </w:rPr>
              <w:t>管理层比例/%</w:t>
            </w:r>
          </w:p>
        </w:tc>
        <w:tc>
          <w:tcPr>
            <w:tcW w:w="2126" w:type="dxa"/>
            <w:shd w:val="clear" w:color="auto" w:fill="auto"/>
            <w:vAlign w:val="center"/>
          </w:tcPr>
          <w:p w14:paraId="72890866">
            <w:pPr>
              <w:spacing w:line="400" w:lineRule="exact"/>
              <w:jc w:val="center"/>
              <w:rPr>
                <w:rFonts w:ascii="宋体" w:hAnsi="宋体" w:eastAsia="宋体" w:cs="Times New Roman"/>
                <w:spacing w:val="-4"/>
                <w:kern w:val="2"/>
                <w:sz w:val="21"/>
                <w:szCs w:val="21"/>
                <w:lang w:val="en-US" w:eastAsia="zh-CN" w:bidi="ar-SA"/>
              </w:rPr>
            </w:pPr>
            <w:r>
              <w:rPr>
                <w:rFonts w:hint="eastAsia" w:ascii="宋体" w:hAnsi="宋体"/>
                <w:spacing w:val="-4"/>
                <w:kern w:val="2"/>
                <w:sz w:val="21"/>
                <w:szCs w:val="21"/>
              </w:rPr>
              <w:t>33.33</w:t>
            </w:r>
          </w:p>
        </w:tc>
        <w:tc>
          <w:tcPr>
            <w:tcW w:w="2126" w:type="dxa"/>
            <w:shd w:val="clear" w:color="auto" w:fill="auto"/>
            <w:vAlign w:val="center"/>
          </w:tcPr>
          <w:p w14:paraId="0E143143">
            <w:pPr>
              <w:spacing w:line="400" w:lineRule="exact"/>
              <w:jc w:val="center"/>
              <w:rPr>
                <w:rFonts w:ascii="宋体" w:hAnsi="宋体" w:eastAsia="宋体" w:cs="Times New Roman"/>
                <w:spacing w:val="-4"/>
                <w:kern w:val="2"/>
                <w:sz w:val="21"/>
                <w:szCs w:val="21"/>
                <w:lang w:val="en-US" w:eastAsia="zh-CN" w:bidi="ar-SA"/>
              </w:rPr>
            </w:pPr>
            <w:r>
              <w:rPr>
                <w:rFonts w:hint="eastAsia" w:ascii="宋体" w:hAnsi="宋体"/>
                <w:spacing w:val="-4"/>
                <w:kern w:val="2"/>
                <w:sz w:val="21"/>
                <w:szCs w:val="21"/>
              </w:rPr>
              <w:t>34.00</w:t>
            </w:r>
          </w:p>
        </w:tc>
        <w:tc>
          <w:tcPr>
            <w:tcW w:w="2068" w:type="dxa"/>
            <w:vAlign w:val="center"/>
          </w:tcPr>
          <w:p w14:paraId="37B282B9">
            <w:pPr>
              <w:spacing w:line="400" w:lineRule="exact"/>
              <w:jc w:val="center"/>
              <w:rPr>
                <w:rFonts w:hint="default" w:ascii="宋体" w:hAnsi="宋体" w:eastAsia="宋体"/>
                <w:spacing w:val="-4"/>
                <w:kern w:val="2"/>
                <w:sz w:val="21"/>
                <w:szCs w:val="21"/>
                <w:lang w:val="en-US" w:eastAsia="zh-CN"/>
              </w:rPr>
            </w:pPr>
            <w:r>
              <w:rPr>
                <w:rFonts w:hint="eastAsia" w:ascii="宋体" w:hAnsi="宋体"/>
                <w:spacing w:val="-4"/>
                <w:kern w:val="2"/>
                <w:sz w:val="21"/>
                <w:szCs w:val="21"/>
                <w:lang w:val="en-US" w:eastAsia="zh-CN"/>
              </w:rPr>
              <w:t>29.09</w:t>
            </w:r>
          </w:p>
        </w:tc>
      </w:tr>
    </w:tbl>
    <w:p w14:paraId="02BA2BC9">
      <w:pPr>
        <w:pStyle w:val="36"/>
        <w:spacing w:before="156" w:beforeLines="50" w:line="360" w:lineRule="auto"/>
        <w:ind w:firstLine="0" w:firstLineChars="0"/>
        <w:rPr>
          <w:rFonts w:ascii="宋体" w:hAnsi="宋体" w:eastAsia="宋体"/>
          <w:color w:val="auto"/>
        </w:rPr>
      </w:pPr>
      <w:r>
        <w:rPr>
          <w:rFonts w:hint="eastAsia" w:ascii="宋体" w:hAnsi="宋体" w:eastAsia="宋体"/>
          <w:color w:val="auto"/>
        </w:rPr>
        <w:t>2）员工工作绩效</w:t>
      </w:r>
    </w:p>
    <w:p w14:paraId="3B2E63C9">
      <w:pPr>
        <w:autoSpaceDE w:val="0"/>
        <w:autoSpaceDN w:val="0"/>
        <w:adjustRightInd w:val="0"/>
        <w:spacing w:line="360" w:lineRule="auto"/>
        <w:ind w:firstLine="422" w:firstLineChars="200"/>
        <w:jc w:val="center"/>
        <w:rPr>
          <w:rFonts w:ascii="黑体" w:hAnsi="黑体" w:eastAsia="黑体" w:cs="宋体"/>
          <w:b/>
          <w:sz w:val="21"/>
          <w:szCs w:val="21"/>
        </w:rPr>
      </w:pPr>
      <w:r>
        <w:rPr>
          <w:rFonts w:hint="eastAsia" w:ascii="黑体" w:hAnsi="黑体" w:eastAsia="黑体" w:cs="宋体"/>
          <w:b/>
          <w:sz w:val="21"/>
          <w:szCs w:val="21"/>
        </w:rPr>
        <w:t>表</w:t>
      </w:r>
      <w:r>
        <w:rPr>
          <w:rFonts w:ascii="黑体" w:hAnsi="黑体" w:eastAsia="黑体" w:cs="宋体"/>
          <w:b/>
          <w:sz w:val="21"/>
          <w:szCs w:val="21"/>
        </w:rPr>
        <w:t>4.7.5-</w:t>
      </w:r>
      <w:r>
        <w:rPr>
          <w:rFonts w:hint="eastAsia" w:ascii="黑体" w:hAnsi="黑体" w:eastAsia="黑体" w:cs="宋体"/>
          <w:b/>
          <w:sz w:val="21"/>
          <w:szCs w:val="21"/>
        </w:rPr>
        <w:t>2 员工绩效状况</w:t>
      </w:r>
    </w:p>
    <w:tbl>
      <w:tblPr>
        <w:tblStyle w:val="22"/>
        <w:tblW w:w="85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16"/>
        <w:gridCol w:w="1613"/>
        <w:gridCol w:w="1541"/>
        <w:gridCol w:w="1483"/>
      </w:tblGrid>
      <w:tr w14:paraId="47B9E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blHeader/>
          <w:jc w:val="center"/>
        </w:trPr>
        <w:tc>
          <w:tcPr>
            <w:tcW w:w="3916" w:type="dxa"/>
            <w:shd w:val="clear" w:color="auto" w:fill="938953"/>
            <w:vAlign w:val="center"/>
          </w:tcPr>
          <w:p w14:paraId="7DB6DE79">
            <w:pPr>
              <w:pStyle w:val="31"/>
              <w:widowControl w:val="0"/>
              <w:spacing w:line="400" w:lineRule="exact"/>
              <w:rPr>
                <w:rFonts w:ascii="宋体" w:hAnsi="宋体" w:eastAsia="宋体"/>
                <w:b/>
                <w:color w:val="auto"/>
                <w:kern w:val="2"/>
              </w:rPr>
            </w:pPr>
            <w:r>
              <w:rPr>
                <w:rFonts w:hint="eastAsia" w:ascii="宋体" w:hAnsi="宋体" w:eastAsia="宋体"/>
                <w:b/>
                <w:color w:val="auto"/>
                <w:kern w:val="2"/>
              </w:rPr>
              <w:t>年度</w:t>
            </w:r>
          </w:p>
        </w:tc>
        <w:tc>
          <w:tcPr>
            <w:tcW w:w="1613" w:type="dxa"/>
            <w:shd w:val="clear" w:color="auto" w:fill="938953"/>
            <w:vAlign w:val="center"/>
          </w:tcPr>
          <w:p w14:paraId="6B81D199">
            <w:pPr>
              <w:pStyle w:val="31"/>
              <w:widowControl w:val="0"/>
              <w:spacing w:line="260" w:lineRule="exact"/>
              <w:rPr>
                <w:rFonts w:ascii="宋体" w:hAnsi="宋体" w:eastAsia="宋体"/>
                <w:b/>
                <w:color w:val="auto"/>
                <w:kern w:val="2"/>
              </w:rPr>
            </w:pPr>
            <w:r>
              <w:rPr>
                <w:rFonts w:hint="eastAsia" w:ascii="宋体"/>
                <w:b/>
                <w:bCs/>
                <w:spacing w:val="-4"/>
              </w:rPr>
              <w:t>20</w:t>
            </w:r>
            <w:r>
              <w:rPr>
                <w:rFonts w:ascii="宋体"/>
                <w:b/>
                <w:bCs/>
                <w:spacing w:val="-4"/>
              </w:rPr>
              <w:t>2</w:t>
            </w:r>
            <w:r>
              <w:rPr>
                <w:rFonts w:hint="eastAsia" w:ascii="宋体"/>
                <w:b/>
                <w:bCs/>
                <w:spacing w:val="-4"/>
                <w:lang w:val="en-US" w:eastAsia="zh-CN"/>
              </w:rPr>
              <w:t>3</w:t>
            </w:r>
            <w:r>
              <w:rPr>
                <w:rFonts w:hint="eastAsia" w:ascii="宋体"/>
                <w:b/>
                <w:bCs/>
                <w:spacing w:val="-4"/>
              </w:rPr>
              <w:t>年</w:t>
            </w:r>
          </w:p>
        </w:tc>
        <w:tc>
          <w:tcPr>
            <w:tcW w:w="1541" w:type="dxa"/>
            <w:shd w:val="clear" w:color="auto" w:fill="938953"/>
            <w:vAlign w:val="center"/>
          </w:tcPr>
          <w:p w14:paraId="6E52CE58">
            <w:pPr>
              <w:pStyle w:val="31"/>
              <w:widowControl w:val="0"/>
              <w:spacing w:line="260" w:lineRule="exact"/>
              <w:rPr>
                <w:rFonts w:ascii="宋体" w:hAnsi="宋体" w:eastAsia="宋体"/>
                <w:b/>
                <w:color w:val="auto"/>
                <w:kern w:val="2"/>
              </w:rPr>
            </w:pPr>
            <w:r>
              <w:rPr>
                <w:rFonts w:hint="eastAsia" w:ascii="宋体"/>
                <w:b/>
                <w:bCs/>
                <w:spacing w:val="-4"/>
              </w:rPr>
              <w:t>202</w:t>
            </w:r>
            <w:r>
              <w:rPr>
                <w:rFonts w:hint="eastAsia" w:ascii="宋体"/>
                <w:b/>
                <w:bCs/>
                <w:spacing w:val="-4"/>
                <w:lang w:val="en-US" w:eastAsia="zh-CN"/>
              </w:rPr>
              <w:t>4</w:t>
            </w:r>
            <w:r>
              <w:rPr>
                <w:rFonts w:hint="eastAsia" w:ascii="宋体"/>
                <w:b/>
                <w:bCs/>
                <w:spacing w:val="-4"/>
              </w:rPr>
              <w:t>年</w:t>
            </w:r>
          </w:p>
        </w:tc>
        <w:tc>
          <w:tcPr>
            <w:tcW w:w="1483" w:type="dxa"/>
            <w:shd w:val="clear" w:color="auto" w:fill="938953"/>
            <w:vAlign w:val="center"/>
          </w:tcPr>
          <w:p w14:paraId="79C2F83B">
            <w:pPr>
              <w:pStyle w:val="31"/>
              <w:widowControl w:val="0"/>
              <w:spacing w:line="260" w:lineRule="exact"/>
              <w:rPr>
                <w:rFonts w:ascii="宋体" w:hAnsi="宋体" w:eastAsia="宋体"/>
                <w:b/>
                <w:color w:val="auto"/>
                <w:kern w:val="2"/>
              </w:rPr>
            </w:pPr>
            <w:r>
              <w:rPr>
                <w:rFonts w:hint="eastAsia" w:ascii="宋体"/>
                <w:b/>
                <w:bCs/>
                <w:spacing w:val="-4"/>
              </w:rPr>
              <w:t>202</w:t>
            </w:r>
            <w:r>
              <w:rPr>
                <w:rFonts w:hint="eastAsia" w:ascii="宋体"/>
                <w:b/>
                <w:bCs/>
                <w:spacing w:val="-4"/>
                <w:lang w:val="en-US" w:eastAsia="zh-CN"/>
              </w:rPr>
              <w:t>5</w:t>
            </w:r>
            <w:r>
              <w:rPr>
                <w:rFonts w:hint="eastAsia" w:ascii="宋体"/>
                <w:b/>
                <w:bCs/>
                <w:spacing w:val="-4"/>
              </w:rPr>
              <w:t>年</w:t>
            </w:r>
          </w:p>
        </w:tc>
      </w:tr>
      <w:tr w14:paraId="2BB1E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3916" w:type="dxa"/>
            <w:vAlign w:val="center"/>
          </w:tcPr>
          <w:p w14:paraId="4330D1B4">
            <w:pPr>
              <w:spacing w:line="400" w:lineRule="exact"/>
              <w:jc w:val="center"/>
              <w:rPr>
                <w:rFonts w:ascii="宋体" w:hAnsi="宋体"/>
                <w:spacing w:val="-4"/>
                <w:kern w:val="2"/>
                <w:sz w:val="21"/>
                <w:szCs w:val="21"/>
              </w:rPr>
            </w:pPr>
            <w:r>
              <w:rPr>
                <w:rFonts w:hint="eastAsia" w:ascii="宋体" w:hAnsi="宋体"/>
                <w:spacing w:val="-4"/>
                <w:kern w:val="2"/>
                <w:sz w:val="21"/>
                <w:szCs w:val="21"/>
              </w:rPr>
              <w:t>全员劳动生产率/（万元/人）</w:t>
            </w:r>
          </w:p>
        </w:tc>
        <w:tc>
          <w:tcPr>
            <w:tcW w:w="1613" w:type="dxa"/>
            <w:vAlign w:val="center"/>
          </w:tcPr>
          <w:p w14:paraId="42E9BE82">
            <w:pPr>
              <w:spacing w:line="560" w:lineRule="exact"/>
              <w:jc w:val="center"/>
              <w:rPr>
                <w:rFonts w:ascii="宋体" w:hAnsi="宋体"/>
                <w:spacing w:val="-4"/>
                <w:kern w:val="2"/>
                <w:sz w:val="21"/>
                <w:szCs w:val="21"/>
              </w:rPr>
            </w:pPr>
            <w:r>
              <w:rPr>
                <w:rFonts w:hint="eastAsia" w:ascii="宋体" w:hAnsi="宋体"/>
                <w:spacing w:val="-4"/>
                <w:kern w:val="2"/>
                <w:sz w:val="21"/>
                <w:szCs w:val="21"/>
              </w:rPr>
              <w:t>12.38</w:t>
            </w:r>
          </w:p>
        </w:tc>
        <w:tc>
          <w:tcPr>
            <w:tcW w:w="1541" w:type="dxa"/>
            <w:vAlign w:val="center"/>
          </w:tcPr>
          <w:p w14:paraId="1C3E4C15">
            <w:pPr>
              <w:spacing w:line="560" w:lineRule="exact"/>
              <w:jc w:val="center"/>
              <w:rPr>
                <w:rFonts w:ascii="宋体" w:hAnsi="宋体"/>
                <w:spacing w:val="-4"/>
                <w:kern w:val="2"/>
                <w:sz w:val="21"/>
                <w:szCs w:val="21"/>
              </w:rPr>
            </w:pPr>
            <w:r>
              <w:rPr>
                <w:rFonts w:hint="eastAsia" w:ascii="宋体" w:hAnsi="宋体"/>
                <w:spacing w:val="-4"/>
                <w:kern w:val="2"/>
                <w:sz w:val="21"/>
                <w:szCs w:val="21"/>
              </w:rPr>
              <w:t>14.8</w:t>
            </w:r>
          </w:p>
        </w:tc>
        <w:tc>
          <w:tcPr>
            <w:tcW w:w="1483" w:type="dxa"/>
            <w:vAlign w:val="center"/>
          </w:tcPr>
          <w:p w14:paraId="1CF986B7">
            <w:pPr>
              <w:spacing w:line="560" w:lineRule="exact"/>
              <w:jc w:val="center"/>
              <w:rPr>
                <w:rFonts w:ascii="宋体" w:hAnsi="宋体"/>
                <w:spacing w:val="-4"/>
                <w:kern w:val="2"/>
                <w:sz w:val="21"/>
                <w:szCs w:val="21"/>
              </w:rPr>
            </w:pPr>
            <w:r>
              <w:rPr>
                <w:rFonts w:hint="eastAsia" w:ascii="宋体" w:hAnsi="宋体"/>
                <w:spacing w:val="-4"/>
                <w:kern w:val="2"/>
                <w:sz w:val="21"/>
                <w:szCs w:val="21"/>
              </w:rPr>
              <w:t>16.50</w:t>
            </w:r>
          </w:p>
        </w:tc>
      </w:tr>
    </w:tbl>
    <w:p w14:paraId="61EEA261">
      <w:pPr>
        <w:pStyle w:val="36"/>
        <w:spacing w:before="156" w:beforeLines="50" w:line="360" w:lineRule="auto"/>
        <w:ind w:firstLine="0" w:firstLineChars="0"/>
        <w:rPr>
          <w:rFonts w:ascii="宋体" w:hAnsi="宋体" w:eastAsia="宋体"/>
          <w:color w:val="auto"/>
        </w:rPr>
      </w:pPr>
      <w:r>
        <w:rPr>
          <w:rFonts w:hint="eastAsia" w:ascii="宋体" w:hAnsi="宋体" w:eastAsia="宋体"/>
          <w:color w:val="auto"/>
        </w:rPr>
        <w:t>3）员工流失率</w:t>
      </w:r>
    </w:p>
    <w:p w14:paraId="1AD83CC8">
      <w:pPr>
        <w:autoSpaceDE w:val="0"/>
        <w:autoSpaceDN w:val="0"/>
        <w:adjustRightInd w:val="0"/>
        <w:spacing w:line="360" w:lineRule="auto"/>
        <w:ind w:firstLine="422" w:firstLineChars="200"/>
        <w:jc w:val="center"/>
        <w:rPr>
          <w:rFonts w:ascii="黑体" w:hAnsi="黑体" w:eastAsia="黑体" w:cs="宋体"/>
          <w:b/>
          <w:sz w:val="21"/>
          <w:szCs w:val="21"/>
        </w:rPr>
      </w:pPr>
      <w:r>
        <w:rPr>
          <w:rFonts w:hint="eastAsia" w:ascii="黑体" w:hAnsi="黑体" w:eastAsia="黑体" w:cs="宋体"/>
          <w:b/>
          <w:sz w:val="21"/>
          <w:szCs w:val="21"/>
        </w:rPr>
        <w:t>表</w:t>
      </w:r>
      <w:r>
        <w:rPr>
          <w:rFonts w:ascii="黑体" w:hAnsi="黑体" w:eastAsia="黑体" w:cs="宋体"/>
          <w:b/>
          <w:sz w:val="21"/>
          <w:szCs w:val="21"/>
        </w:rPr>
        <w:t>4.7.5-</w:t>
      </w:r>
      <w:r>
        <w:rPr>
          <w:rFonts w:hint="eastAsia" w:ascii="黑体" w:hAnsi="黑体" w:eastAsia="黑体" w:cs="宋体"/>
          <w:b/>
          <w:sz w:val="21"/>
          <w:szCs w:val="21"/>
        </w:rPr>
        <w:t>3 员工流失状况</w:t>
      </w:r>
    </w:p>
    <w:tbl>
      <w:tblPr>
        <w:tblStyle w:val="22"/>
        <w:tblW w:w="84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16"/>
        <w:gridCol w:w="1613"/>
        <w:gridCol w:w="1417"/>
        <w:gridCol w:w="1456"/>
      </w:tblGrid>
      <w:tr w14:paraId="68AC8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blHeader/>
          <w:jc w:val="center"/>
        </w:trPr>
        <w:tc>
          <w:tcPr>
            <w:tcW w:w="3916" w:type="dxa"/>
            <w:shd w:val="clear" w:color="auto" w:fill="938953"/>
            <w:vAlign w:val="center"/>
          </w:tcPr>
          <w:p w14:paraId="74A07A74">
            <w:pPr>
              <w:pStyle w:val="31"/>
              <w:widowControl w:val="0"/>
              <w:spacing w:line="400" w:lineRule="exact"/>
              <w:rPr>
                <w:rFonts w:ascii="宋体" w:hAnsi="宋体" w:eastAsia="宋体"/>
                <w:b/>
                <w:color w:val="auto"/>
                <w:kern w:val="2"/>
              </w:rPr>
            </w:pPr>
            <w:r>
              <w:rPr>
                <w:rFonts w:hint="eastAsia" w:ascii="宋体" w:hAnsi="宋体" w:eastAsia="宋体"/>
                <w:b/>
                <w:color w:val="auto"/>
                <w:kern w:val="2"/>
              </w:rPr>
              <w:t>年度</w:t>
            </w:r>
          </w:p>
        </w:tc>
        <w:tc>
          <w:tcPr>
            <w:tcW w:w="1613" w:type="dxa"/>
            <w:shd w:val="clear" w:color="auto" w:fill="938953"/>
            <w:vAlign w:val="center"/>
          </w:tcPr>
          <w:p w14:paraId="4B869E04">
            <w:pPr>
              <w:pStyle w:val="31"/>
              <w:widowControl w:val="0"/>
              <w:spacing w:line="260" w:lineRule="exact"/>
              <w:rPr>
                <w:rFonts w:ascii="宋体" w:hAnsi="宋体" w:eastAsia="宋体"/>
                <w:b/>
                <w:color w:val="auto"/>
                <w:kern w:val="2"/>
              </w:rPr>
            </w:pPr>
            <w:r>
              <w:rPr>
                <w:rFonts w:hint="eastAsia" w:ascii="宋体"/>
                <w:b/>
                <w:bCs/>
                <w:spacing w:val="-4"/>
              </w:rPr>
              <w:t>202</w:t>
            </w:r>
            <w:r>
              <w:rPr>
                <w:rFonts w:hint="eastAsia" w:ascii="宋体"/>
                <w:b/>
                <w:bCs/>
                <w:spacing w:val="-4"/>
                <w:lang w:val="en-US" w:eastAsia="zh-CN"/>
              </w:rPr>
              <w:t>3</w:t>
            </w:r>
            <w:r>
              <w:rPr>
                <w:rFonts w:hint="eastAsia" w:ascii="宋体"/>
                <w:b/>
                <w:bCs/>
                <w:spacing w:val="-4"/>
              </w:rPr>
              <w:t>年</w:t>
            </w:r>
          </w:p>
        </w:tc>
        <w:tc>
          <w:tcPr>
            <w:tcW w:w="1417" w:type="dxa"/>
            <w:shd w:val="clear" w:color="auto" w:fill="938953"/>
            <w:vAlign w:val="center"/>
          </w:tcPr>
          <w:p w14:paraId="0668CC42">
            <w:pPr>
              <w:pStyle w:val="31"/>
              <w:widowControl w:val="0"/>
              <w:spacing w:line="260" w:lineRule="exact"/>
              <w:rPr>
                <w:rFonts w:ascii="宋体" w:hAnsi="宋体" w:eastAsia="宋体"/>
                <w:b/>
                <w:color w:val="auto"/>
                <w:kern w:val="2"/>
              </w:rPr>
            </w:pPr>
            <w:r>
              <w:rPr>
                <w:rFonts w:hint="eastAsia" w:ascii="宋体"/>
                <w:b/>
                <w:bCs/>
                <w:spacing w:val="-4"/>
              </w:rPr>
              <w:t>20</w:t>
            </w:r>
            <w:r>
              <w:rPr>
                <w:rFonts w:ascii="宋体"/>
                <w:b/>
                <w:bCs/>
                <w:spacing w:val="-4"/>
              </w:rPr>
              <w:t>2</w:t>
            </w:r>
            <w:r>
              <w:rPr>
                <w:rFonts w:hint="eastAsia" w:ascii="宋体"/>
                <w:b/>
                <w:bCs/>
                <w:spacing w:val="-4"/>
                <w:lang w:val="en-US" w:eastAsia="zh-CN"/>
              </w:rPr>
              <w:t>4</w:t>
            </w:r>
            <w:r>
              <w:rPr>
                <w:rFonts w:hint="eastAsia" w:ascii="宋体"/>
                <w:b/>
                <w:bCs/>
                <w:spacing w:val="-4"/>
              </w:rPr>
              <w:t>年</w:t>
            </w:r>
          </w:p>
        </w:tc>
        <w:tc>
          <w:tcPr>
            <w:tcW w:w="1456" w:type="dxa"/>
            <w:shd w:val="clear" w:color="auto" w:fill="938953"/>
            <w:vAlign w:val="center"/>
          </w:tcPr>
          <w:p w14:paraId="7D70BA6B">
            <w:pPr>
              <w:pStyle w:val="31"/>
              <w:widowControl w:val="0"/>
              <w:spacing w:line="260" w:lineRule="exact"/>
              <w:rPr>
                <w:rFonts w:ascii="宋体" w:hAnsi="宋体" w:eastAsia="宋体"/>
                <w:b/>
                <w:color w:val="auto"/>
                <w:kern w:val="2"/>
              </w:rPr>
            </w:pPr>
            <w:r>
              <w:rPr>
                <w:rFonts w:hint="eastAsia" w:ascii="宋体"/>
                <w:b/>
                <w:bCs/>
                <w:spacing w:val="-4"/>
              </w:rPr>
              <w:t>202</w:t>
            </w:r>
            <w:r>
              <w:rPr>
                <w:rFonts w:hint="eastAsia" w:ascii="宋体"/>
                <w:b/>
                <w:bCs/>
                <w:spacing w:val="-4"/>
                <w:lang w:val="en-US" w:eastAsia="zh-CN"/>
              </w:rPr>
              <w:t>5</w:t>
            </w:r>
            <w:r>
              <w:rPr>
                <w:rFonts w:hint="eastAsia" w:ascii="宋体"/>
                <w:b/>
                <w:bCs/>
                <w:spacing w:val="-4"/>
              </w:rPr>
              <w:t>年</w:t>
            </w:r>
          </w:p>
        </w:tc>
      </w:tr>
      <w:tr w14:paraId="66117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16" w:type="dxa"/>
            <w:vAlign w:val="center"/>
          </w:tcPr>
          <w:p w14:paraId="3EEE8EDC">
            <w:pPr>
              <w:spacing w:line="400" w:lineRule="exact"/>
              <w:jc w:val="center"/>
              <w:rPr>
                <w:rFonts w:ascii="宋体" w:hAnsi="宋体"/>
                <w:spacing w:val="-4"/>
                <w:kern w:val="2"/>
                <w:szCs w:val="21"/>
              </w:rPr>
            </w:pPr>
            <w:r>
              <w:rPr>
                <w:rFonts w:hint="eastAsia" w:ascii="宋体" w:hAnsi="宋体"/>
                <w:kern w:val="2"/>
                <w:sz w:val="22"/>
                <w:szCs w:val="28"/>
              </w:rPr>
              <w:t>员工流失率/%</w:t>
            </w:r>
          </w:p>
        </w:tc>
        <w:tc>
          <w:tcPr>
            <w:tcW w:w="1613" w:type="dxa"/>
            <w:shd w:val="clear" w:color="auto" w:fill="auto"/>
            <w:vAlign w:val="center"/>
          </w:tcPr>
          <w:p w14:paraId="60EB5F98">
            <w:pPr>
              <w:jc w:val="center"/>
              <w:rPr>
                <w:rFonts w:ascii="宋体" w:hAnsi="宋体" w:eastAsia="宋体" w:cs="Times New Roman"/>
                <w:spacing w:val="-4"/>
                <w:kern w:val="2"/>
                <w:sz w:val="21"/>
                <w:szCs w:val="21"/>
                <w:lang w:val="en-US" w:eastAsia="zh-CN" w:bidi="ar-SA"/>
              </w:rPr>
            </w:pPr>
            <w:r>
              <w:rPr>
                <w:rFonts w:hint="eastAsia" w:ascii="宋体" w:hAnsi="宋体"/>
                <w:spacing w:val="-4"/>
                <w:kern w:val="2"/>
                <w:sz w:val="21"/>
                <w:szCs w:val="21"/>
              </w:rPr>
              <w:t>4</w:t>
            </w:r>
          </w:p>
        </w:tc>
        <w:tc>
          <w:tcPr>
            <w:tcW w:w="1417" w:type="dxa"/>
            <w:shd w:val="clear" w:color="auto" w:fill="auto"/>
            <w:vAlign w:val="center"/>
          </w:tcPr>
          <w:p w14:paraId="40BF239C">
            <w:pPr>
              <w:jc w:val="center"/>
              <w:rPr>
                <w:rFonts w:ascii="宋体" w:hAnsi="宋体" w:eastAsia="宋体" w:cs="Times New Roman"/>
                <w:spacing w:val="-4"/>
                <w:kern w:val="2"/>
                <w:sz w:val="21"/>
                <w:szCs w:val="21"/>
                <w:lang w:val="en-US" w:eastAsia="zh-CN" w:bidi="ar-SA"/>
              </w:rPr>
            </w:pPr>
            <w:r>
              <w:rPr>
                <w:rFonts w:hint="eastAsia" w:ascii="宋体" w:hAnsi="宋体"/>
                <w:spacing w:val="-4"/>
                <w:kern w:val="2"/>
                <w:sz w:val="21"/>
                <w:szCs w:val="21"/>
              </w:rPr>
              <w:t>4</w:t>
            </w:r>
          </w:p>
        </w:tc>
        <w:tc>
          <w:tcPr>
            <w:tcW w:w="1456" w:type="dxa"/>
            <w:vAlign w:val="center"/>
          </w:tcPr>
          <w:p w14:paraId="7FC5E5E5">
            <w:pPr>
              <w:jc w:val="center"/>
              <w:rPr>
                <w:rFonts w:hint="eastAsia" w:ascii="宋体" w:hAnsi="宋体" w:eastAsia="宋体"/>
                <w:spacing w:val="-4"/>
                <w:kern w:val="2"/>
                <w:sz w:val="21"/>
                <w:szCs w:val="21"/>
                <w:lang w:val="en-US" w:eastAsia="zh-CN"/>
              </w:rPr>
            </w:pPr>
            <w:r>
              <w:rPr>
                <w:rFonts w:hint="eastAsia" w:ascii="宋体" w:hAnsi="宋体"/>
                <w:spacing w:val="-4"/>
                <w:kern w:val="2"/>
                <w:sz w:val="21"/>
                <w:szCs w:val="21"/>
                <w:lang w:val="en-US" w:eastAsia="zh-CN"/>
              </w:rPr>
              <w:t>5</w:t>
            </w:r>
          </w:p>
        </w:tc>
      </w:tr>
      <w:tr w14:paraId="58818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16" w:type="dxa"/>
            <w:vAlign w:val="center"/>
          </w:tcPr>
          <w:p w14:paraId="46A7C6C0">
            <w:pPr>
              <w:jc w:val="center"/>
              <w:rPr>
                <w:rFonts w:ascii="宋体" w:hAnsi="宋体"/>
                <w:spacing w:val="-4"/>
                <w:kern w:val="2"/>
                <w:sz w:val="21"/>
                <w:szCs w:val="21"/>
              </w:rPr>
            </w:pPr>
            <w:r>
              <w:rPr>
                <w:rFonts w:hint="eastAsia" w:ascii="宋体" w:hAnsi="宋体"/>
                <w:spacing w:val="-4"/>
                <w:kern w:val="2"/>
                <w:sz w:val="21"/>
                <w:szCs w:val="21"/>
              </w:rPr>
              <w:t>行业平均员工流失比率/%</w:t>
            </w:r>
          </w:p>
        </w:tc>
        <w:tc>
          <w:tcPr>
            <w:tcW w:w="1613" w:type="dxa"/>
            <w:shd w:val="clear" w:color="auto" w:fill="auto"/>
            <w:vAlign w:val="top"/>
          </w:tcPr>
          <w:p w14:paraId="2D809B9A">
            <w:pPr>
              <w:jc w:val="center"/>
              <w:rPr>
                <w:rFonts w:ascii="宋体" w:hAnsi="宋体" w:eastAsia="宋体" w:cs="Times New Roman"/>
                <w:spacing w:val="-4"/>
                <w:kern w:val="2"/>
                <w:sz w:val="21"/>
                <w:szCs w:val="21"/>
                <w:lang w:val="en-US" w:eastAsia="zh-CN" w:bidi="ar-SA"/>
              </w:rPr>
            </w:pPr>
            <w:r>
              <w:rPr>
                <w:rFonts w:hint="eastAsia" w:ascii="宋体" w:hAnsi="宋体"/>
                <w:spacing w:val="-4"/>
                <w:kern w:val="2"/>
                <w:sz w:val="21"/>
                <w:szCs w:val="21"/>
              </w:rPr>
              <w:t>10</w:t>
            </w:r>
          </w:p>
        </w:tc>
        <w:tc>
          <w:tcPr>
            <w:tcW w:w="1417" w:type="dxa"/>
            <w:shd w:val="clear" w:color="auto" w:fill="auto"/>
            <w:vAlign w:val="top"/>
          </w:tcPr>
          <w:p w14:paraId="39DE3358">
            <w:pPr>
              <w:jc w:val="center"/>
              <w:rPr>
                <w:rFonts w:ascii="宋体" w:hAnsi="宋体" w:eastAsia="宋体" w:cs="Times New Roman"/>
                <w:spacing w:val="-4"/>
                <w:kern w:val="2"/>
                <w:sz w:val="21"/>
                <w:szCs w:val="21"/>
                <w:lang w:val="en-US" w:eastAsia="zh-CN" w:bidi="ar-SA"/>
              </w:rPr>
            </w:pPr>
            <w:r>
              <w:rPr>
                <w:rFonts w:hint="eastAsia" w:ascii="宋体" w:hAnsi="宋体"/>
                <w:spacing w:val="-4"/>
                <w:kern w:val="2"/>
                <w:sz w:val="21"/>
                <w:szCs w:val="21"/>
              </w:rPr>
              <w:t>9</w:t>
            </w:r>
          </w:p>
        </w:tc>
        <w:tc>
          <w:tcPr>
            <w:tcW w:w="1456" w:type="dxa"/>
          </w:tcPr>
          <w:p w14:paraId="1C648CFD">
            <w:pPr>
              <w:jc w:val="center"/>
              <w:rPr>
                <w:rFonts w:hint="eastAsia" w:ascii="宋体" w:hAnsi="宋体" w:eastAsia="宋体"/>
                <w:spacing w:val="-4"/>
                <w:kern w:val="2"/>
                <w:sz w:val="21"/>
                <w:szCs w:val="21"/>
                <w:lang w:val="en-US" w:eastAsia="zh-CN"/>
              </w:rPr>
            </w:pPr>
            <w:r>
              <w:rPr>
                <w:rFonts w:hint="eastAsia" w:ascii="宋体" w:hAnsi="宋体"/>
                <w:spacing w:val="-4"/>
                <w:kern w:val="2"/>
                <w:sz w:val="21"/>
                <w:szCs w:val="21"/>
                <w:lang w:val="en-US" w:eastAsia="zh-CN"/>
              </w:rPr>
              <w:t>8</w:t>
            </w:r>
          </w:p>
        </w:tc>
      </w:tr>
      <w:tr w14:paraId="3FFC7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916" w:type="dxa"/>
            <w:vAlign w:val="center"/>
          </w:tcPr>
          <w:p w14:paraId="7D1CF9F9">
            <w:pPr>
              <w:jc w:val="center"/>
              <w:rPr>
                <w:rFonts w:ascii="宋体" w:hAnsi="宋体"/>
                <w:spacing w:val="-4"/>
                <w:kern w:val="2"/>
                <w:sz w:val="21"/>
                <w:szCs w:val="21"/>
              </w:rPr>
            </w:pPr>
            <w:r>
              <w:rPr>
                <w:rFonts w:hint="eastAsia" w:ascii="宋体" w:hAnsi="宋体"/>
                <w:spacing w:val="-4"/>
                <w:kern w:val="2"/>
                <w:sz w:val="21"/>
                <w:szCs w:val="21"/>
              </w:rPr>
              <w:t>关键岗位员工流失率/%</w:t>
            </w:r>
          </w:p>
        </w:tc>
        <w:tc>
          <w:tcPr>
            <w:tcW w:w="1613" w:type="dxa"/>
            <w:shd w:val="clear" w:color="auto" w:fill="auto"/>
            <w:vAlign w:val="top"/>
          </w:tcPr>
          <w:p w14:paraId="5BAECD4D">
            <w:pPr>
              <w:jc w:val="center"/>
              <w:rPr>
                <w:rFonts w:ascii="宋体" w:hAnsi="宋体" w:eastAsia="宋体" w:cs="Times New Roman"/>
                <w:spacing w:val="-4"/>
                <w:kern w:val="2"/>
                <w:sz w:val="21"/>
                <w:szCs w:val="21"/>
                <w:lang w:val="en-US" w:eastAsia="zh-CN" w:bidi="ar-SA"/>
              </w:rPr>
            </w:pPr>
            <w:r>
              <w:rPr>
                <w:rFonts w:hint="eastAsia" w:ascii="宋体" w:hAnsi="宋体"/>
                <w:spacing w:val="-4"/>
                <w:kern w:val="2"/>
                <w:sz w:val="21"/>
                <w:szCs w:val="21"/>
              </w:rPr>
              <w:t>2</w:t>
            </w:r>
          </w:p>
        </w:tc>
        <w:tc>
          <w:tcPr>
            <w:tcW w:w="1417" w:type="dxa"/>
            <w:shd w:val="clear" w:color="auto" w:fill="auto"/>
            <w:vAlign w:val="top"/>
          </w:tcPr>
          <w:p w14:paraId="5C06E8F3">
            <w:pPr>
              <w:jc w:val="center"/>
              <w:rPr>
                <w:rFonts w:ascii="宋体" w:hAnsi="宋体" w:eastAsia="宋体" w:cs="Times New Roman"/>
                <w:spacing w:val="-4"/>
                <w:kern w:val="2"/>
                <w:sz w:val="21"/>
                <w:szCs w:val="21"/>
                <w:lang w:val="en-US" w:eastAsia="zh-CN" w:bidi="ar-SA"/>
              </w:rPr>
            </w:pPr>
            <w:r>
              <w:rPr>
                <w:rFonts w:hint="eastAsia" w:ascii="宋体" w:hAnsi="宋体"/>
                <w:spacing w:val="-4"/>
                <w:kern w:val="2"/>
                <w:sz w:val="21"/>
                <w:szCs w:val="21"/>
              </w:rPr>
              <w:t>1.5</w:t>
            </w:r>
          </w:p>
        </w:tc>
        <w:tc>
          <w:tcPr>
            <w:tcW w:w="1456" w:type="dxa"/>
          </w:tcPr>
          <w:p w14:paraId="10239449">
            <w:pPr>
              <w:jc w:val="center"/>
              <w:rPr>
                <w:rFonts w:hint="default" w:ascii="宋体" w:hAnsi="宋体" w:eastAsia="宋体"/>
                <w:spacing w:val="-4"/>
                <w:kern w:val="2"/>
                <w:sz w:val="21"/>
                <w:szCs w:val="21"/>
                <w:lang w:val="en-US" w:eastAsia="zh-CN"/>
              </w:rPr>
            </w:pPr>
            <w:r>
              <w:rPr>
                <w:rFonts w:hint="eastAsia" w:ascii="宋体" w:hAnsi="宋体"/>
                <w:spacing w:val="-4"/>
                <w:kern w:val="2"/>
                <w:sz w:val="21"/>
                <w:szCs w:val="21"/>
                <w:lang w:val="en-US" w:eastAsia="zh-CN"/>
              </w:rPr>
              <w:t>1.8</w:t>
            </w:r>
          </w:p>
        </w:tc>
      </w:tr>
    </w:tbl>
    <w:p w14:paraId="548CCC83">
      <w:pPr>
        <w:pStyle w:val="36"/>
        <w:spacing w:before="156" w:beforeLines="50" w:line="360" w:lineRule="auto"/>
        <w:ind w:firstLine="0" w:firstLineChars="0"/>
        <w:rPr>
          <w:rFonts w:ascii="宋体" w:hAnsi="宋体" w:eastAsia="宋体"/>
          <w:color w:val="auto"/>
        </w:rPr>
      </w:pPr>
      <w:r>
        <w:rPr>
          <w:rFonts w:hint="eastAsia" w:ascii="宋体" w:hAnsi="宋体" w:eastAsia="宋体"/>
          <w:color w:val="auto"/>
        </w:rPr>
        <w:t>4）员工收入增长率</w:t>
      </w:r>
    </w:p>
    <w:p w14:paraId="388E8E4A">
      <w:pPr>
        <w:pStyle w:val="41"/>
        <w:spacing w:beforeLines="0" w:line="360" w:lineRule="auto"/>
        <w:ind w:firstLine="0" w:firstLineChars="0"/>
        <w:rPr>
          <w:rFonts w:ascii="宋体" w:hAnsi="宋体" w:eastAsia="宋体"/>
          <w:bCs/>
          <w:color w:val="auto"/>
        </w:rPr>
      </w:pPr>
      <w:r>
        <w:rPr>
          <w:rFonts w:hint="eastAsia" w:ascii="宋体" w:hAnsi="宋体" w:eastAsia="宋体"/>
          <w:b w:val="0"/>
          <w:bCs/>
          <w:color w:val="auto"/>
        </w:rPr>
        <w:t>近年来，员工收入快速增加，增长率不断提高。</w:t>
      </w:r>
    </w:p>
    <w:p w14:paraId="4FF57869">
      <w:pPr>
        <w:autoSpaceDE w:val="0"/>
        <w:autoSpaceDN w:val="0"/>
        <w:adjustRightInd w:val="0"/>
        <w:spacing w:line="360" w:lineRule="auto"/>
        <w:ind w:firstLine="422" w:firstLineChars="200"/>
        <w:jc w:val="center"/>
        <w:rPr>
          <w:rFonts w:ascii="黑体" w:hAnsi="黑体" w:eastAsia="黑体" w:cs="宋体"/>
          <w:b/>
          <w:sz w:val="21"/>
          <w:szCs w:val="21"/>
        </w:rPr>
      </w:pPr>
      <w:r>
        <w:rPr>
          <w:rFonts w:hint="eastAsia" w:ascii="黑体" w:hAnsi="黑体" w:eastAsia="黑体" w:cs="宋体"/>
          <w:b/>
          <w:sz w:val="21"/>
          <w:szCs w:val="21"/>
        </w:rPr>
        <w:t>表</w:t>
      </w:r>
      <w:r>
        <w:rPr>
          <w:rFonts w:ascii="黑体" w:hAnsi="黑体" w:eastAsia="黑体" w:cs="宋体"/>
          <w:b/>
          <w:sz w:val="21"/>
          <w:szCs w:val="21"/>
        </w:rPr>
        <w:t>4.7.5-</w:t>
      </w:r>
      <w:r>
        <w:rPr>
          <w:rFonts w:hint="eastAsia" w:ascii="黑体" w:hAnsi="黑体" w:eastAsia="黑体" w:cs="宋体"/>
          <w:b/>
          <w:sz w:val="21"/>
          <w:szCs w:val="21"/>
        </w:rPr>
        <w:t>4 员工收入增长率</w:t>
      </w:r>
    </w:p>
    <w:tbl>
      <w:tblPr>
        <w:tblStyle w:val="22"/>
        <w:tblW w:w="83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96"/>
        <w:gridCol w:w="1450"/>
        <w:gridCol w:w="1450"/>
        <w:gridCol w:w="1450"/>
      </w:tblGrid>
      <w:tr w14:paraId="390B9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996" w:type="dxa"/>
            <w:shd w:val="clear" w:color="auto" w:fill="948A54"/>
            <w:vAlign w:val="center"/>
          </w:tcPr>
          <w:p w14:paraId="17193195">
            <w:pPr>
              <w:pStyle w:val="31"/>
              <w:widowControl w:val="0"/>
              <w:spacing w:line="400" w:lineRule="exact"/>
              <w:rPr>
                <w:rFonts w:ascii="宋体" w:hAnsi="宋体" w:eastAsia="宋体"/>
                <w:b/>
                <w:color w:val="auto"/>
                <w:kern w:val="2"/>
              </w:rPr>
            </w:pPr>
            <w:r>
              <w:rPr>
                <w:rFonts w:hint="eastAsia" w:ascii="宋体" w:hAnsi="宋体" w:eastAsia="宋体"/>
                <w:b/>
                <w:color w:val="auto"/>
                <w:kern w:val="2"/>
              </w:rPr>
              <w:t>项  目</w:t>
            </w:r>
          </w:p>
        </w:tc>
        <w:tc>
          <w:tcPr>
            <w:tcW w:w="1450" w:type="dxa"/>
            <w:shd w:val="clear" w:color="auto" w:fill="948A54"/>
            <w:vAlign w:val="center"/>
          </w:tcPr>
          <w:p w14:paraId="3C8FE803">
            <w:pPr>
              <w:pStyle w:val="31"/>
              <w:widowControl w:val="0"/>
              <w:spacing w:line="260" w:lineRule="exact"/>
              <w:rPr>
                <w:rFonts w:ascii="宋体" w:hAnsi="宋体" w:eastAsia="宋体"/>
                <w:b/>
                <w:color w:val="auto"/>
                <w:kern w:val="2"/>
              </w:rPr>
            </w:pPr>
            <w:r>
              <w:rPr>
                <w:rFonts w:hint="eastAsia" w:ascii="宋体" w:hAnsi="宋体" w:eastAsia="宋体"/>
                <w:b/>
                <w:color w:val="auto"/>
                <w:kern w:val="2"/>
                <w:sz w:val="21"/>
                <w:szCs w:val="21"/>
              </w:rPr>
              <w:t>202</w:t>
            </w:r>
            <w:r>
              <w:rPr>
                <w:rFonts w:hint="eastAsia" w:ascii="宋体" w:hAnsi="宋体" w:eastAsia="宋体"/>
                <w:b/>
                <w:color w:val="auto"/>
                <w:kern w:val="2"/>
                <w:sz w:val="21"/>
                <w:szCs w:val="21"/>
                <w:lang w:val="en-US" w:eastAsia="zh-CN"/>
              </w:rPr>
              <w:t>3</w:t>
            </w:r>
            <w:r>
              <w:rPr>
                <w:rFonts w:hint="eastAsia" w:ascii="宋体" w:hAnsi="宋体" w:eastAsia="宋体"/>
                <w:b/>
                <w:color w:val="auto"/>
                <w:kern w:val="2"/>
                <w:sz w:val="21"/>
                <w:szCs w:val="21"/>
              </w:rPr>
              <w:t>年</w:t>
            </w:r>
          </w:p>
        </w:tc>
        <w:tc>
          <w:tcPr>
            <w:tcW w:w="1450" w:type="dxa"/>
            <w:shd w:val="clear" w:color="auto" w:fill="948A54"/>
            <w:vAlign w:val="center"/>
          </w:tcPr>
          <w:p w14:paraId="77C48E7B">
            <w:pPr>
              <w:pStyle w:val="31"/>
              <w:widowControl w:val="0"/>
              <w:spacing w:line="260" w:lineRule="exact"/>
              <w:rPr>
                <w:rFonts w:ascii="宋体" w:hAnsi="宋体" w:eastAsia="宋体"/>
                <w:b/>
                <w:color w:val="auto"/>
                <w:kern w:val="2"/>
              </w:rPr>
            </w:pPr>
            <w:r>
              <w:rPr>
                <w:rFonts w:hint="eastAsia" w:ascii="宋体" w:hAnsi="宋体" w:eastAsia="宋体"/>
                <w:b/>
                <w:color w:val="auto"/>
                <w:kern w:val="2"/>
                <w:sz w:val="21"/>
                <w:szCs w:val="21"/>
              </w:rPr>
              <w:t>202</w:t>
            </w:r>
            <w:r>
              <w:rPr>
                <w:rFonts w:hint="eastAsia" w:ascii="宋体" w:hAnsi="宋体" w:eastAsia="宋体"/>
                <w:b/>
                <w:color w:val="auto"/>
                <w:kern w:val="2"/>
                <w:sz w:val="21"/>
                <w:szCs w:val="21"/>
                <w:lang w:val="en-US" w:eastAsia="zh-CN"/>
              </w:rPr>
              <w:t>4</w:t>
            </w:r>
            <w:r>
              <w:rPr>
                <w:rFonts w:hint="eastAsia" w:ascii="宋体" w:hAnsi="宋体" w:eastAsia="宋体"/>
                <w:b/>
                <w:color w:val="auto"/>
                <w:kern w:val="2"/>
                <w:sz w:val="21"/>
                <w:szCs w:val="21"/>
              </w:rPr>
              <w:t>年</w:t>
            </w:r>
          </w:p>
        </w:tc>
        <w:tc>
          <w:tcPr>
            <w:tcW w:w="1450" w:type="dxa"/>
            <w:shd w:val="clear" w:color="auto" w:fill="948A54"/>
            <w:vAlign w:val="center"/>
          </w:tcPr>
          <w:p w14:paraId="4A9B0B41">
            <w:pPr>
              <w:pStyle w:val="31"/>
              <w:widowControl w:val="0"/>
              <w:spacing w:line="260" w:lineRule="exact"/>
              <w:rPr>
                <w:rFonts w:ascii="宋体" w:hAnsi="宋体" w:eastAsia="宋体"/>
                <w:b/>
                <w:color w:val="auto"/>
                <w:kern w:val="2"/>
              </w:rPr>
            </w:pPr>
            <w:r>
              <w:rPr>
                <w:rFonts w:hint="eastAsia" w:ascii="宋体" w:hAnsi="宋体" w:eastAsia="宋体"/>
                <w:b/>
                <w:color w:val="auto"/>
                <w:kern w:val="2"/>
                <w:sz w:val="21"/>
                <w:szCs w:val="21"/>
              </w:rPr>
              <w:t>202</w:t>
            </w:r>
            <w:r>
              <w:rPr>
                <w:rFonts w:hint="eastAsia" w:ascii="宋体" w:hAnsi="宋体" w:eastAsia="宋体"/>
                <w:b/>
                <w:color w:val="auto"/>
                <w:kern w:val="2"/>
                <w:sz w:val="21"/>
                <w:szCs w:val="21"/>
                <w:lang w:val="en-US" w:eastAsia="zh-CN"/>
              </w:rPr>
              <w:t>5</w:t>
            </w:r>
            <w:r>
              <w:rPr>
                <w:rFonts w:hint="eastAsia" w:ascii="宋体" w:hAnsi="宋体" w:eastAsia="宋体"/>
                <w:b/>
                <w:color w:val="auto"/>
                <w:kern w:val="2"/>
                <w:sz w:val="21"/>
                <w:szCs w:val="21"/>
              </w:rPr>
              <w:t>年</w:t>
            </w:r>
          </w:p>
        </w:tc>
      </w:tr>
      <w:tr w14:paraId="34C1B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3996" w:type="dxa"/>
            <w:vAlign w:val="center"/>
          </w:tcPr>
          <w:p w14:paraId="0DE522D0">
            <w:pPr>
              <w:pStyle w:val="31"/>
              <w:widowControl w:val="0"/>
              <w:rPr>
                <w:rFonts w:ascii="宋体" w:hAnsi="宋体" w:eastAsia="宋体"/>
                <w:color w:val="auto"/>
                <w:kern w:val="2"/>
                <w:sz w:val="21"/>
              </w:rPr>
            </w:pPr>
            <w:r>
              <w:rPr>
                <w:rFonts w:hint="eastAsia" w:ascii="宋体" w:hAnsi="宋体" w:eastAsia="宋体"/>
                <w:color w:val="auto"/>
                <w:kern w:val="2"/>
                <w:sz w:val="21"/>
              </w:rPr>
              <w:t>人均薪酬</w:t>
            </w:r>
            <w:r>
              <w:rPr>
                <w:rFonts w:hint="eastAsia" w:ascii="宋体" w:hAnsi="宋体"/>
                <w:color w:val="auto"/>
                <w:spacing w:val="-4"/>
                <w:kern w:val="2"/>
                <w:sz w:val="21"/>
                <w:szCs w:val="21"/>
              </w:rPr>
              <w:t>/</w:t>
            </w:r>
            <w:r>
              <w:rPr>
                <w:rFonts w:hint="eastAsia" w:ascii="宋体" w:hAnsi="宋体" w:eastAsia="宋体"/>
                <w:color w:val="auto"/>
                <w:kern w:val="2"/>
                <w:sz w:val="21"/>
              </w:rPr>
              <w:t>（万元/人）</w:t>
            </w:r>
          </w:p>
        </w:tc>
        <w:tc>
          <w:tcPr>
            <w:tcW w:w="1450" w:type="dxa"/>
            <w:shd w:val="clear" w:color="auto" w:fill="auto"/>
            <w:vAlign w:val="center"/>
          </w:tcPr>
          <w:p w14:paraId="2A754D45">
            <w:pPr>
              <w:jc w:val="center"/>
              <w:rPr>
                <w:rFonts w:ascii="宋体" w:hAnsi="宋体" w:eastAsia="宋体" w:cs="Times New Roman"/>
                <w:kern w:val="2"/>
                <w:sz w:val="21"/>
                <w:szCs w:val="24"/>
                <w:lang w:val="en-US" w:eastAsia="zh-CN" w:bidi="ar-SA"/>
              </w:rPr>
            </w:pPr>
            <w:r>
              <w:rPr>
                <w:rFonts w:hint="eastAsia" w:ascii="宋体" w:hAnsi="宋体"/>
                <w:kern w:val="2"/>
                <w:sz w:val="21"/>
              </w:rPr>
              <w:t>6.68</w:t>
            </w:r>
          </w:p>
        </w:tc>
        <w:tc>
          <w:tcPr>
            <w:tcW w:w="1450" w:type="dxa"/>
            <w:shd w:val="clear" w:color="auto" w:fill="auto"/>
            <w:vAlign w:val="center"/>
          </w:tcPr>
          <w:p w14:paraId="71222362">
            <w:pPr>
              <w:jc w:val="center"/>
              <w:rPr>
                <w:rFonts w:ascii="宋体" w:hAnsi="宋体" w:eastAsia="宋体" w:cs="Times New Roman"/>
                <w:kern w:val="2"/>
                <w:sz w:val="21"/>
                <w:szCs w:val="24"/>
                <w:lang w:val="en-US" w:eastAsia="zh-CN" w:bidi="ar-SA"/>
              </w:rPr>
            </w:pPr>
            <w:r>
              <w:rPr>
                <w:rFonts w:hint="eastAsia" w:ascii="宋体" w:hAnsi="宋体"/>
                <w:kern w:val="2"/>
                <w:sz w:val="21"/>
              </w:rPr>
              <w:t>7.00</w:t>
            </w:r>
          </w:p>
        </w:tc>
        <w:tc>
          <w:tcPr>
            <w:tcW w:w="1450" w:type="dxa"/>
            <w:vAlign w:val="center"/>
          </w:tcPr>
          <w:p w14:paraId="45B46634">
            <w:pPr>
              <w:jc w:val="center"/>
              <w:rPr>
                <w:rFonts w:hint="default" w:ascii="宋体" w:hAnsi="宋体" w:eastAsia="宋体"/>
                <w:kern w:val="2"/>
                <w:sz w:val="21"/>
                <w:lang w:val="en-US" w:eastAsia="zh-CN"/>
              </w:rPr>
            </w:pPr>
            <w:r>
              <w:rPr>
                <w:rFonts w:hint="eastAsia" w:ascii="宋体" w:hAnsi="宋体"/>
                <w:kern w:val="2"/>
                <w:sz w:val="21"/>
                <w:lang w:val="en-US" w:eastAsia="zh-CN"/>
              </w:rPr>
              <w:t>8.5</w:t>
            </w:r>
          </w:p>
        </w:tc>
      </w:tr>
      <w:tr w14:paraId="0EBEB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3996" w:type="dxa"/>
            <w:vAlign w:val="center"/>
          </w:tcPr>
          <w:p w14:paraId="07E0EB5D">
            <w:pPr>
              <w:pStyle w:val="31"/>
              <w:widowControl w:val="0"/>
              <w:rPr>
                <w:rFonts w:ascii="宋体" w:hAnsi="宋体" w:eastAsia="宋体"/>
                <w:color w:val="auto"/>
                <w:kern w:val="2"/>
                <w:sz w:val="21"/>
              </w:rPr>
            </w:pPr>
            <w:r>
              <w:rPr>
                <w:rFonts w:hint="eastAsia" w:ascii="宋体" w:hAnsi="宋体" w:eastAsia="宋体"/>
                <w:color w:val="auto"/>
                <w:kern w:val="2"/>
                <w:sz w:val="21"/>
              </w:rPr>
              <w:t>人均薪酬增长率</w:t>
            </w:r>
            <w:r>
              <w:rPr>
                <w:rFonts w:hint="eastAsia" w:ascii="宋体" w:hAnsi="宋体"/>
                <w:color w:val="auto"/>
                <w:spacing w:val="-4"/>
                <w:kern w:val="2"/>
                <w:sz w:val="21"/>
                <w:szCs w:val="21"/>
              </w:rPr>
              <w:t>/</w:t>
            </w:r>
            <w:r>
              <w:rPr>
                <w:rFonts w:hint="eastAsia" w:ascii="宋体" w:hAnsi="宋体" w:eastAsia="宋体"/>
                <w:color w:val="auto"/>
                <w:kern w:val="2"/>
                <w:sz w:val="21"/>
              </w:rPr>
              <w:t>%</w:t>
            </w:r>
          </w:p>
        </w:tc>
        <w:tc>
          <w:tcPr>
            <w:tcW w:w="1450" w:type="dxa"/>
            <w:shd w:val="clear" w:color="auto" w:fill="auto"/>
            <w:vAlign w:val="center"/>
          </w:tcPr>
          <w:p w14:paraId="5AB215E4">
            <w:pPr>
              <w:jc w:val="center"/>
              <w:rPr>
                <w:rFonts w:ascii="宋体" w:hAnsi="宋体" w:eastAsia="宋体" w:cs="Times New Roman"/>
                <w:kern w:val="2"/>
                <w:sz w:val="21"/>
                <w:szCs w:val="24"/>
                <w:lang w:val="en-US" w:eastAsia="zh-CN" w:bidi="ar-SA"/>
              </w:rPr>
            </w:pPr>
            <w:r>
              <w:rPr>
                <w:rFonts w:hint="eastAsia" w:ascii="宋体" w:hAnsi="宋体"/>
                <w:kern w:val="2"/>
                <w:sz w:val="21"/>
              </w:rPr>
              <w:t>10.17</w:t>
            </w:r>
          </w:p>
        </w:tc>
        <w:tc>
          <w:tcPr>
            <w:tcW w:w="1450" w:type="dxa"/>
            <w:shd w:val="clear" w:color="auto" w:fill="auto"/>
            <w:vAlign w:val="center"/>
          </w:tcPr>
          <w:p w14:paraId="7CFEB420">
            <w:pPr>
              <w:jc w:val="center"/>
              <w:rPr>
                <w:rFonts w:ascii="宋体" w:hAnsi="宋体" w:eastAsia="宋体" w:cs="Times New Roman"/>
                <w:kern w:val="2"/>
                <w:sz w:val="21"/>
                <w:szCs w:val="24"/>
                <w:lang w:val="en-US" w:eastAsia="zh-CN" w:bidi="ar-SA"/>
              </w:rPr>
            </w:pPr>
            <w:r>
              <w:rPr>
                <w:rFonts w:hint="eastAsia" w:ascii="宋体" w:hAnsi="宋体"/>
                <w:kern w:val="2"/>
                <w:sz w:val="21"/>
              </w:rPr>
              <w:t>11</w:t>
            </w:r>
          </w:p>
        </w:tc>
        <w:tc>
          <w:tcPr>
            <w:tcW w:w="1450" w:type="dxa"/>
            <w:vAlign w:val="center"/>
          </w:tcPr>
          <w:p w14:paraId="525129D5">
            <w:pPr>
              <w:jc w:val="center"/>
              <w:rPr>
                <w:rFonts w:hint="default" w:ascii="宋体" w:hAnsi="宋体" w:eastAsia="宋体"/>
                <w:kern w:val="2"/>
                <w:sz w:val="21"/>
                <w:lang w:val="en-US" w:eastAsia="zh-CN"/>
              </w:rPr>
            </w:pPr>
            <w:r>
              <w:rPr>
                <w:rFonts w:hint="eastAsia" w:ascii="宋体" w:hAnsi="宋体"/>
                <w:kern w:val="2"/>
                <w:sz w:val="21"/>
                <w:lang w:val="en-US" w:eastAsia="zh-CN"/>
              </w:rPr>
              <w:t>21.4</w:t>
            </w:r>
          </w:p>
        </w:tc>
      </w:tr>
    </w:tbl>
    <w:p w14:paraId="451066F2">
      <w:pPr>
        <w:pStyle w:val="41"/>
        <w:spacing w:beforeLines="0" w:line="360" w:lineRule="auto"/>
        <w:ind w:firstLine="0" w:firstLineChars="0"/>
        <w:rPr>
          <w:rFonts w:ascii="宋体" w:hAnsi="宋体" w:eastAsia="宋体"/>
          <w:color w:val="auto"/>
        </w:rPr>
      </w:pPr>
      <w:r>
        <w:rPr>
          <w:rFonts w:ascii="宋体" w:hAnsi="宋体" w:eastAsia="宋体"/>
          <w:color w:val="auto"/>
        </w:rPr>
        <w:t>b)</w:t>
      </w:r>
      <w:r>
        <w:rPr>
          <w:rFonts w:hint="eastAsia" w:ascii="宋体" w:hAnsi="宋体" w:eastAsia="宋体"/>
          <w:color w:val="auto"/>
        </w:rPr>
        <w:t>员工学习与发展的主要测量指标及其当前水平和趋势</w:t>
      </w:r>
    </w:p>
    <w:p w14:paraId="214A246A">
      <w:pPr>
        <w:pStyle w:val="36"/>
        <w:spacing w:line="360" w:lineRule="auto"/>
        <w:ind w:firstLine="0" w:firstLineChars="0"/>
        <w:rPr>
          <w:rFonts w:ascii="宋体" w:hAnsi="宋体" w:eastAsia="宋体"/>
          <w:color w:val="auto"/>
        </w:rPr>
      </w:pPr>
      <w:r>
        <w:rPr>
          <w:rFonts w:ascii="宋体" w:hAnsi="宋体" w:eastAsia="宋体"/>
          <w:color w:val="auto"/>
        </w:rPr>
        <w:t>1)</w:t>
      </w:r>
      <w:r>
        <w:rPr>
          <w:rFonts w:hint="eastAsia" w:ascii="宋体" w:hAnsi="宋体" w:eastAsia="宋体"/>
          <w:color w:val="auto"/>
        </w:rPr>
        <w:t>员工学习与发展情况</w:t>
      </w:r>
    </w:p>
    <w:p w14:paraId="3463A976">
      <w:pPr>
        <w:autoSpaceDE w:val="0"/>
        <w:autoSpaceDN w:val="0"/>
        <w:adjustRightInd w:val="0"/>
        <w:spacing w:line="360" w:lineRule="auto"/>
        <w:ind w:firstLine="422" w:firstLineChars="200"/>
        <w:jc w:val="center"/>
        <w:rPr>
          <w:rFonts w:ascii="黑体" w:hAnsi="黑体" w:eastAsia="黑体" w:cs="宋体"/>
          <w:b/>
          <w:sz w:val="21"/>
          <w:szCs w:val="21"/>
        </w:rPr>
      </w:pPr>
      <w:r>
        <w:rPr>
          <w:rFonts w:hint="eastAsia" w:ascii="黑体" w:hAnsi="黑体" w:eastAsia="黑体" w:cs="宋体"/>
          <w:b/>
          <w:sz w:val="21"/>
          <w:szCs w:val="21"/>
        </w:rPr>
        <w:t>表</w:t>
      </w:r>
      <w:r>
        <w:rPr>
          <w:rFonts w:ascii="黑体" w:hAnsi="黑体" w:eastAsia="黑体" w:cs="宋体"/>
          <w:b/>
          <w:sz w:val="21"/>
          <w:szCs w:val="21"/>
        </w:rPr>
        <w:t>4.7.5-</w:t>
      </w:r>
      <w:r>
        <w:rPr>
          <w:rFonts w:hint="eastAsia" w:ascii="黑体" w:hAnsi="黑体" w:eastAsia="黑体" w:cs="宋体"/>
          <w:b/>
          <w:sz w:val="21"/>
          <w:szCs w:val="21"/>
        </w:rPr>
        <w:t>5 培训状况</w:t>
      </w:r>
    </w:p>
    <w:tbl>
      <w:tblPr>
        <w:tblStyle w:val="22"/>
        <w:tblW w:w="8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75"/>
        <w:gridCol w:w="1431"/>
        <w:gridCol w:w="1431"/>
        <w:gridCol w:w="1432"/>
      </w:tblGrid>
      <w:tr w14:paraId="757E6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4075" w:type="dxa"/>
            <w:shd w:val="clear" w:color="auto" w:fill="948A54"/>
            <w:vAlign w:val="center"/>
          </w:tcPr>
          <w:p w14:paraId="6E68DB1F">
            <w:pPr>
              <w:pStyle w:val="31"/>
              <w:widowControl w:val="0"/>
              <w:spacing w:line="400" w:lineRule="exact"/>
              <w:rPr>
                <w:rFonts w:ascii="宋体" w:hAnsi="宋体" w:eastAsia="宋体"/>
                <w:b/>
                <w:color w:val="auto"/>
                <w:kern w:val="2"/>
              </w:rPr>
            </w:pPr>
            <w:r>
              <w:rPr>
                <w:rFonts w:hint="eastAsia" w:ascii="宋体" w:hAnsi="宋体" w:eastAsia="宋体"/>
                <w:b/>
                <w:color w:val="auto"/>
                <w:kern w:val="2"/>
              </w:rPr>
              <w:t>项  目</w:t>
            </w:r>
          </w:p>
        </w:tc>
        <w:tc>
          <w:tcPr>
            <w:tcW w:w="1431" w:type="dxa"/>
            <w:shd w:val="clear" w:color="auto" w:fill="948A54"/>
            <w:vAlign w:val="center"/>
          </w:tcPr>
          <w:p w14:paraId="47AB2A80">
            <w:pPr>
              <w:pStyle w:val="31"/>
              <w:widowControl w:val="0"/>
              <w:spacing w:line="260" w:lineRule="exact"/>
              <w:rPr>
                <w:rFonts w:ascii="宋体" w:hAnsi="宋体" w:eastAsia="宋体"/>
                <w:b/>
                <w:color w:val="auto"/>
                <w:kern w:val="2"/>
              </w:rPr>
            </w:pPr>
            <w:r>
              <w:rPr>
                <w:rFonts w:hint="eastAsia" w:ascii="宋体"/>
                <w:b/>
                <w:bCs/>
                <w:spacing w:val="-4"/>
              </w:rPr>
              <w:t>202</w:t>
            </w:r>
            <w:r>
              <w:rPr>
                <w:rFonts w:hint="eastAsia" w:ascii="宋体"/>
                <w:b/>
                <w:bCs/>
                <w:spacing w:val="-4"/>
                <w:lang w:val="en-US" w:eastAsia="zh-CN"/>
              </w:rPr>
              <w:t>3</w:t>
            </w:r>
            <w:r>
              <w:rPr>
                <w:rFonts w:hint="eastAsia" w:ascii="宋体"/>
                <w:b/>
                <w:bCs/>
                <w:spacing w:val="-4"/>
              </w:rPr>
              <w:t>年</w:t>
            </w:r>
          </w:p>
        </w:tc>
        <w:tc>
          <w:tcPr>
            <w:tcW w:w="1431" w:type="dxa"/>
            <w:shd w:val="clear" w:color="auto" w:fill="948A54"/>
            <w:vAlign w:val="center"/>
          </w:tcPr>
          <w:p w14:paraId="0C8A3C42">
            <w:pPr>
              <w:pStyle w:val="31"/>
              <w:widowControl w:val="0"/>
              <w:spacing w:line="260" w:lineRule="exact"/>
              <w:rPr>
                <w:rFonts w:ascii="宋体" w:hAnsi="宋体" w:eastAsia="宋体"/>
                <w:b/>
                <w:color w:val="auto"/>
                <w:kern w:val="2"/>
              </w:rPr>
            </w:pPr>
            <w:r>
              <w:rPr>
                <w:rFonts w:hint="eastAsia" w:ascii="宋体"/>
                <w:b/>
                <w:bCs/>
                <w:spacing w:val="-4"/>
              </w:rPr>
              <w:t>20</w:t>
            </w:r>
            <w:r>
              <w:rPr>
                <w:rFonts w:ascii="宋体"/>
                <w:b/>
                <w:bCs/>
                <w:spacing w:val="-4"/>
              </w:rPr>
              <w:t>2</w:t>
            </w:r>
            <w:r>
              <w:rPr>
                <w:rFonts w:hint="eastAsia" w:ascii="宋体"/>
                <w:b/>
                <w:bCs/>
                <w:spacing w:val="-4"/>
                <w:lang w:val="en-US" w:eastAsia="zh-CN"/>
              </w:rPr>
              <w:t>4</w:t>
            </w:r>
            <w:r>
              <w:rPr>
                <w:rFonts w:hint="eastAsia" w:ascii="宋体"/>
                <w:b/>
                <w:bCs/>
                <w:spacing w:val="-4"/>
              </w:rPr>
              <w:t>年</w:t>
            </w:r>
          </w:p>
        </w:tc>
        <w:tc>
          <w:tcPr>
            <w:tcW w:w="1432" w:type="dxa"/>
            <w:shd w:val="clear" w:color="auto" w:fill="948A54"/>
            <w:vAlign w:val="center"/>
          </w:tcPr>
          <w:p w14:paraId="2E365598">
            <w:pPr>
              <w:pStyle w:val="31"/>
              <w:widowControl w:val="0"/>
              <w:spacing w:line="260" w:lineRule="exact"/>
              <w:rPr>
                <w:rFonts w:ascii="宋体" w:hAnsi="宋体" w:eastAsia="宋体"/>
                <w:b/>
                <w:color w:val="auto"/>
                <w:kern w:val="2"/>
              </w:rPr>
            </w:pPr>
            <w:r>
              <w:rPr>
                <w:rFonts w:hint="eastAsia" w:ascii="宋体"/>
                <w:b/>
                <w:bCs/>
                <w:spacing w:val="-4"/>
              </w:rPr>
              <w:t>202</w:t>
            </w:r>
            <w:r>
              <w:rPr>
                <w:rFonts w:hint="eastAsia" w:ascii="宋体"/>
                <w:b/>
                <w:bCs/>
                <w:spacing w:val="-4"/>
                <w:lang w:val="en-US" w:eastAsia="zh-CN"/>
              </w:rPr>
              <w:t>5</w:t>
            </w:r>
            <w:r>
              <w:rPr>
                <w:rFonts w:hint="eastAsia" w:ascii="宋体"/>
                <w:b/>
                <w:bCs/>
                <w:spacing w:val="-4"/>
              </w:rPr>
              <w:t>年</w:t>
            </w:r>
          </w:p>
        </w:tc>
      </w:tr>
      <w:tr w14:paraId="09362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75" w:type="dxa"/>
            <w:vAlign w:val="center"/>
          </w:tcPr>
          <w:p w14:paraId="0C9EC12F">
            <w:pPr>
              <w:pStyle w:val="31"/>
              <w:widowControl w:val="0"/>
              <w:spacing w:line="400" w:lineRule="exact"/>
              <w:rPr>
                <w:rFonts w:ascii="宋体" w:hAnsi="宋体" w:eastAsia="宋体"/>
                <w:color w:val="auto"/>
                <w:kern w:val="2"/>
                <w:sz w:val="21"/>
                <w:szCs w:val="21"/>
              </w:rPr>
            </w:pPr>
            <w:r>
              <w:rPr>
                <w:rFonts w:hint="eastAsia" w:ascii="宋体" w:hAnsi="宋体" w:eastAsia="宋体"/>
                <w:color w:val="auto"/>
                <w:kern w:val="2"/>
                <w:sz w:val="21"/>
                <w:szCs w:val="21"/>
              </w:rPr>
              <w:t>培训计划完成率/%</w:t>
            </w:r>
          </w:p>
        </w:tc>
        <w:tc>
          <w:tcPr>
            <w:tcW w:w="1431" w:type="dxa"/>
            <w:vAlign w:val="center"/>
          </w:tcPr>
          <w:p w14:paraId="4165D75B">
            <w:pPr>
              <w:jc w:val="center"/>
              <w:rPr>
                <w:rFonts w:ascii="宋体" w:hAnsi="宋体" w:cs="宋体"/>
                <w:kern w:val="2"/>
                <w:sz w:val="21"/>
                <w:szCs w:val="21"/>
              </w:rPr>
            </w:pPr>
            <w:r>
              <w:rPr>
                <w:rFonts w:hint="eastAsia"/>
                <w:kern w:val="2"/>
                <w:sz w:val="21"/>
                <w:szCs w:val="21"/>
              </w:rPr>
              <w:t>100</w:t>
            </w:r>
          </w:p>
        </w:tc>
        <w:tc>
          <w:tcPr>
            <w:tcW w:w="1431" w:type="dxa"/>
            <w:vAlign w:val="center"/>
          </w:tcPr>
          <w:p w14:paraId="7B038922">
            <w:pPr>
              <w:jc w:val="center"/>
              <w:rPr>
                <w:rFonts w:ascii="宋体" w:hAnsi="宋体" w:cs="宋体"/>
                <w:kern w:val="2"/>
                <w:sz w:val="21"/>
                <w:szCs w:val="21"/>
              </w:rPr>
            </w:pPr>
            <w:r>
              <w:rPr>
                <w:rFonts w:hint="eastAsia"/>
                <w:kern w:val="2"/>
                <w:sz w:val="21"/>
                <w:szCs w:val="21"/>
              </w:rPr>
              <w:t>100</w:t>
            </w:r>
          </w:p>
        </w:tc>
        <w:tc>
          <w:tcPr>
            <w:tcW w:w="1432" w:type="dxa"/>
            <w:vAlign w:val="center"/>
          </w:tcPr>
          <w:p w14:paraId="51B0DDB4">
            <w:pPr>
              <w:jc w:val="center"/>
              <w:rPr>
                <w:rFonts w:ascii="宋体" w:hAnsi="宋体" w:cs="宋体"/>
                <w:kern w:val="2"/>
                <w:sz w:val="21"/>
                <w:szCs w:val="21"/>
              </w:rPr>
            </w:pPr>
            <w:r>
              <w:rPr>
                <w:rFonts w:hint="eastAsia"/>
                <w:kern w:val="2"/>
                <w:sz w:val="21"/>
                <w:szCs w:val="21"/>
              </w:rPr>
              <w:t>100</w:t>
            </w:r>
          </w:p>
        </w:tc>
      </w:tr>
      <w:tr w14:paraId="49B83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4075" w:type="dxa"/>
            <w:vAlign w:val="center"/>
          </w:tcPr>
          <w:p w14:paraId="7CC60B04">
            <w:pPr>
              <w:pStyle w:val="31"/>
              <w:widowControl w:val="0"/>
              <w:spacing w:line="400" w:lineRule="exact"/>
              <w:rPr>
                <w:rFonts w:ascii="宋体" w:hAnsi="宋体" w:eastAsia="宋体"/>
                <w:color w:val="auto"/>
                <w:kern w:val="2"/>
                <w:sz w:val="21"/>
                <w:szCs w:val="21"/>
              </w:rPr>
            </w:pPr>
            <w:r>
              <w:rPr>
                <w:rFonts w:hint="eastAsia" w:ascii="宋体" w:hAnsi="宋体" w:eastAsia="宋体"/>
                <w:color w:val="auto"/>
                <w:kern w:val="2"/>
                <w:sz w:val="21"/>
                <w:szCs w:val="21"/>
              </w:rPr>
              <w:t>人均培训学时/（小时/年</w:t>
            </w:r>
            <w:r>
              <w:rPr>
                <w:rFonts w:hint="eastAsia" w:ascii="宋体" w:hAnsi="宋体" w:eastAsia="宋体" w:cs="宋体"/>
                <w:color w:val="auto"/>
                <w:kern w:val="2"/>
                <w:sz w:val="21"/>
                <w:szCs w:val="21"/>
              </w:rPr>
              <w:t>•</w:t>
            </w:r>
            <w:r>
              <w:rPr>
                <w:rFonts w:hint="eastAsia" w:ascii="宋体" w:hAnsi="宋体" w:eastAsia="宋体" w:cs="仿宋"/>
                <w:color w:val="auto"/>
                <w:kern w:val="2"/>
                <w:sz w:val="21"/>
                <w:szCs w:val="21"/>
              </w:rPr>
              <w:t>人）</w:t>
            </w:r>
          </w:p>
        </w:tc>
        <w:tc>
          <w:tcPr>
            <w:tcW w:w="1431" w:type="dxa"/>
            <w:vAlign w:val="center"/>
          </w:tcPr>
          <w:p w14:paraId="54A189AB">
            <w:pPr>
              <w:pStyle w:val="31"/>
              <w:widowControl w:val="0"/>
              <w:spacing w:line="400" w:lineRule="exact"/>
              <w:rPr>
                <w:rFonts w:ascii="宋体" w:hAnsi="宋体" w:eastAsia="宋体"/>
                <w:color w:val="auto"/>
                <w:kern w:val="2"/>
                <w:sz w:val="21"/>
                <w:szCs w:val="21"/>
              </w:rPr>
            </w:pPr>
            <w:r>
              <w:rPr>
                <w:rFonts w:hint="eastAsia" w:ascii="宋体" w:hAnsi="宋体" w:eastAsia="宋体"/>
                <w:color w:val="auto"/>
                <w:kern w:val="2"/>
                <w:sz w:val="21"/>
                <w:szCs w:val="21"/>
              </w:rPr>
              <w:t>48</w:t>
            </w:r>
          </w:p>
        </w:tc>
        <w:tc>
          <w:tcPr>
            <w:tcW w:w="1431" w:type="dxa"/>
            <w:vAlign w:val="center"/>
          </w:tcPr>
          <w:p w14:paraId="542B50A4">
            <w:pPr>
              <w:pStyle w:val="31"/>
              <w:widowControl w:val="0"/>
              <w:spacing w:line="400" w:lineRule="exact"/>
              <w:rPr>
                <w:rFonts w:hint="default" w:ascii="宋体" w:hAnsi="宋体" w:eastAsia="宋体"/>
                <w:color w:val="auto"/>
                <w:kern w:val="2"/>
                <w:sz w:val="21"/>
                <w:szCs w:val="21"/>
                <w:lang w:val="en-US" w:eastAsia="zh-CN"/>
              </w:rPr>
            </w:pPr>
            <w:r>
              <w:rPr>
                <w:rFonts w:hint="eastAsia" w:ascii="宋体" w:hAnsi="宋体" w:eastAsia="宋体"/>
                <w:color w:val="auto"/>
                <w:kern w:val="2"/>
                <w:sz w:val="21"/>
                <w:szCs w:val="21"/>
                <w:lang w:val="en-US" w:eastAsia="zh-CN"/>
              </w:rPr>
              <w:t>50</w:t>
            </w:r>
          </w:p>
        </w:tc>
        <w:tc>
          <w:tcPr>
            <w:tcW w:w="1432" w:type="dxa"/>
            <w:vAlign w:val="center"/>
          </w:tcPr>
          <w:p w14:paraId="1CC19685">
            <w:pPr>
              <w:pStyle w:val="31"/>
              <w:widowControl w:val="0"/>
              <w:spacing w:line="400" w:lineRule="exact"/>
              <w:rPr>
                <w:rFonts w:hint="default" w:ascii="宋体" w:hAnsi="宋体" w:eastAsia="宋体"/>
                <w:color w:val="auto"/>
                <w:kern w:val="2"/>
                <w:sz w:val="21"/>
                <w:szCs w:val="21"/>
                <w:lang w:val="en-US" w:eastAsia="zh-CN"/>
              </w:rPr>
            </w:pPr>
            <w:r>
              <w:rPr>
                <w:rFonts w:hint="eastAsia" w:ascii="宋体" w:hAnsi="宋体" w:eastAsia="宋体"/>
                <w:color w:val="auto"/>
                <w:kern w:val="2"/>
                <w:sz w:val="21"/>
                <w:szCs w:val="21"/>
                <w:lang w:val="en-US" w:eastAsia="zh-CN"/>
              </w:rPr>
              <w:t>55</w:t>
            </w:r>
          </w:p>
        </w:tc>
      </w:tr>
    </w:tbl>
    <w:p w14:paraId="3B519642">
      <w:pPr>
        <w:pStyle w:val="41"/>
        <w:spacing w:before="156" w:line="360" w:lineRule="auto"/>
        <w:ind w:firstLine="0" w:firstLineChars="0"/>
        <w:rPr>
          <w:rFonts w:ascii="宋体" w:hAnsi="宋体" w:eastAsia="宋体"/>
          <w:color w:val="auto"/>
        </w:rPr>
      </w:pPr>
      <w:r>
        <w:rPr>
          <w:rFonts w:ascii="宋体" w:hAnsi="宋体" w:eastAsia="宋体"/>
          <w:color w:val="auto"/>
        </w:rPr>
        <w:t>c</w:t>
      </w:r>
      <w:r>
        <w:rPr>
          <w:rFonts w:hint="eastAsia" w:ascii="宋体" w:hAnsi="宋体" w:eastAsia="宋体"/>
          <w:color w:val="auto"/>
        </w:rPr>
        <w:t>）员工权益、满意程度的主要测量指标及其当前水平和趋势</w:t>
      </w:r>
    </w:p>
    <w:p w14:paraId="43FE3A9E">
      <w:pPr>
        <w:pStyle w:val="36"/>
        <w:spacing w:line="360" w:lineRule="auto"/>
        <w:ind w:firstLine="0" w:firstLineChars="0"/>
        <w:rPr>
          <w:rFonts w:ascii="宋体" w:hAnsi="宋体" w:eastAsia="宋体"/>
          <w:color w:val="auto"/>
        </w:rPr>
      </w:pPr>
      <w:r>
        <w:rPr>
          <w:rFonts w:hint="eastAsia" w:ascii="宋体" w:hAnsi="宋体" w:eastAsia="宋体"/>
          <w:color w:val="auto"/>
        </w:rPr>
        <w:t>员工满意度</w:t>
      </w:r>
    </w:p>
    <w:p w14:paraId="0B1B94AC">
      <w:pPr>
        <w:autoSpaceDE w:val="0"/>
        <w:autoSpaceDN w:val="0"/>
        <w:adjustRightInd w:val="0"/>
        <w:spacing w:line="360" w:lineRule="auto"/>
        <w:ind w:firstLine="422" w:firstLineChars="200"/>
        <w:jc w:val="center"/>
        <w:rPr>
          <w:rFonts w:ascii="黑体" w:hAnsi="黑体" w:eastAsia="黑体" w:cs="宋体"/>
          <w:b/>
          <w:sz w:val="21"/>
          <w:szCs w:val="21"/>
        </w:rPr>
      </w:pPr>
      <w:r>
        <w:rPr>
          <w:rFonts w:hint="eastAsia" w:ascii="黑体" w:hAnsi="黑体" w:eastAsia="黑体" w:cs="宋体"/>
          <w:b/>
          <w:sz w:val="21"/>
          <w:szCs w:val="21"/>
        </w:rPr>
        <w:t>表</w:t>
      </w:r>
      <w:r>
        <w:rPr>
          <w:rFonts w:ascii="黑体" w:hAnsi="黑体" w:eastAsia="黑体" w:cs="宋体"/>
          <w:b/>
          <w:sz w:val="21"/>
          <w:szCs w:val="21"/>
        </w:rPr>
        <w:t>4.7.4-</w:t>
      </w:r>
      <w:r>
        <w:rPr>
          <w:rFonts w:hint="eastAsia" w:ascii="黑体" w:hAnsi="黑体" w:eastAsia="黑体" w:cs="宋体"/>
          <w:b/>
          <w:sz w:val="21"/>
          <w:szCs w:val="21"/>
        </w:rPr>
        <w:t>6 员工满意度</w:t>
      </w:r>
    </w:p>
    <w:tbl>
      <w:tblPr>
        <w:tblStyle w:val="22"/>
        <w:tblW w:w="83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88"/>
        <w:gridCol w:w="1454"/>
        <w:gridCol w:w="1454"/>
        <w:gridCol w:w="1454"/>
      </w:tblGrid>
      <w:tr w14:paraId="4E89A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3988" w:type="dxa"/>
            <w:shd w:val="clear" w:color="auto" w:fill="948A54"/>
            <w:vAlign w:val="center"/>
          </w:tcPr>
          <w:p w14:paraId="3C2332B9">
            <w:pPr>
              <w:pStyle w:val="31"/>
              <w:widowControl w:val="0"/>
              <w:spacing w:line="400" w:lineRule="exact"/>
              <w:rPr>
                <w:rFonts w:ascii="宋体" w:hAnsi="宋体" w:eastAsia="宋体"/>
                <w:b/>
                <w:color w:val="auto"/>
                <w:kern w:val="2"/>
              </w:rPr>
            </w:pPr>
            <w:r>
              <w:rPr>
                <w:rFonts w:hint="eastAsia" w:ascii="宋体" w:hAnsi="宋体" w:eastAsia="宋体"/>
                <w:b/>
                <w:color w:val="auto"/>
                <w:kern w:val="2"/>
              </w:rPr>
              <w:t>项  目</w:t>
            </w:r>
          </w:p>
        </w:tc>
        <w:tc>
          <w:tcPr>
            <w:tcW w:w="1454" w:type="dxa"/>
            <w:shd w:val="clear" w:color="auto" w:fill="948A54"/>
            <w:vAlign w:val="center"/>
          </w:tcPr>
          <w:p w14:paraId="2D5DAB70">
            <w:pPr>
              <w:pStyle w:val="31"/>
              <w:widowControl w:val="0"/>
              <w:spacing w:line="260" w:lineRule="exact"/>
              <w:rPr>
                <w:rFonts w:ascii="宋体" w:hAnsi="宋体" w:eastAsia="宋体"/>
                <w:b/>
                <w:color w:val="auto"/>
                <w:kern w:val="2"/>
              </w:rPr>
            </w:pPr>
            <w:r>
              <w:rPr>
                <w:rFonts w:hint="eastAsia" w:ascii="宋体"/>
                <w:b/>
                <w:bCs/>
                <w:spacing w:val="-4"/>
              </w:rPr>
              <w:t>202</w:t>
            </w:r>
            <w:r>
              <w:rPr>
                <w:rFonts w:hint="eastAsia" w:ascii="宋体"/>
                <w:b/>
                <w:bCs/>
                <w:spacing w:val="-4"/>
                <w:lang w:val="en-US" w:eastAsia="zh-CN"/>
              </w:rPr>
              <w:t>3</w:t>
            </w:r>
            <w:r>
              <w:rPr>
                <w:rFonts w:hint="eastAsia" w:ascii="宋体"/>
                <w:b/>
                <w:bCs/>
                <w:spacing w:val="-4"/>
              </w:rPr>
              <w:t>年</w:t>
            </w:r>
          </w:p>
        </w:tc>
        <w:tc>
          <w:tcPr>
            <w:tcW w:w="1454" w:type="dxa"/>
            <w:shd w:val="clear" w:color="auto" w:fill="948A54"/>
            <w:vAlign w:val="center"/>
          </w:tcPr>
          <w:p w14:paraId="7D86C56B">
            <w:pPr>
              <w:pStyle w:val="31"/>
              <w:widowControl w:val="0"/>
              <w:spacing w:line="260" w:lineRule="exact"/>
              <w:rPr>
                <w:rFonts w:ascii="宋体" w:hAnsi="宋体" w:eastAsia="宋体"/>
                <w:b/>
                <w:color w:val="auto"/>
                <w:kern w:val="2"/>
              </w:rPr>
            </w:pPr>
            <w:r>
              <w:rPr>
                <w:rFonts w:hint="eastAsia" w:ascii="宋体"/>
                <w:b/>
                <w:bCs/>
                <w:spacing w:val="-4"/>
              </w:rPr>
              <w:t>20</w:t>
            </w:r>
            <w:r>
              <w:rPr>
                <w:rFonts w:ascii="宋体"/>
                <w:b/>
                <w:bCs/>
                <w:spacing w:val="-4"/>
              </w:rPr>
              <w:t>2</w:t>
            </w:r>
            <w:r>
              <w:rPr>
                <w:rFonts w:hint="eastAsia" w:ascii="宋体"/>
                <w:b/>
                <w:bCs/>
                <w:spacing w:val="-4"/>
                <w:lang w:val="en-US" w:eastAsia="zh-CN"/>
              </w:rPr>
              <w:t>4</w:t>
            </w:r>
            <w:r>
              <w:rPr>
                <w:rFonts w:hint="eastAsia" w:ascii="宋体"/>
                <w:b/>
                <w:bCs/>
                <w:spacing w:val="-4"/>
              </w:rPr>
              <w:t>年</w:t>
            </w:r>
          </w:p>
        </w:tc>
        <w:tc>
          <w:tcPr>
            <w:tcW w:w="1454" w:type="dxa"/>
            <w:shd w:val="clear" w:color="auto" w:fill="948A54"/>
            <w:vAlign w:val="center"/>
          </w:tcPr>
          <w:p w14:paraId="3650A2FE">
            <w:pPr>
              <w:pStyle w:val="31"/>
              <w:widowControl w:val="0"/>
              <w:spacing w:line="260" w:lineRule="exact"/>
              <w:rPr>
                <w:rFonts w:ascii="宋体" w:hAnsi="宋体" w:eastAsia="宋体"/>
                <w:b/>
                <w:color w:val="auto"/>
                <w:kern w:val="2"/>
              </w:rPr>
            </w:pPr>
            <w:r>
              <w:rPr>
                <w:rFonts w:hint="eastAsia" w:ascii="宋体"/>
                <w:b/>
                <w:bCs/>
                <w:spacing w:val="-4"/>
              </w:rPr>
              <w:t>202</w:t>
            </w:r>
            <w:r>
              <w:rPr>
                <w:rFonts w:hint="eastAsia" w:ascii="宋体"/>
                <w:b/>
                <w:bCs/>
                <w:spacing w:val="-4"/>
                <w:lang w:val="en-US" w:eastAsia="zh-CN"/>
              </w:rPr>
              <w:t>5</w:t>
            </w:r>
            <w:r>
              <w:rPr>
                <w:rFonts w:hint="eastAsia" w:ascii="宋体"/>
                <w:b/>
                <w:bCs/>
                <w:spacing w:val="-4"/>
              </w:rPr>
              <w:t>年</w:t>
            </w:r>
          </w:p>
        </w:tc>
      </w:tr>
      <w:tr w14:paraId="6E325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988" w:type="dxa"/>
            <w:vAlign w:val="center"/>
          </w:tcPr>
          <w:p w14:paraId="12CB8586">
            <w:pPr>
              <w:pStyle w:val="31"/>
              <w:widowControl w:val="0"/>
              <w:spacing w:line="400" w:lineRule="exact"/>
              <w:rPr>
                <w:rFonts w:ascii="宋体" w:hAnsi="宋体" w:eastAsia="宋体"/>
                <w:color w:val="auto"/>
                <w:kern w:val="2"/>
                <w:sz w:val="21"/>
                <w:szCs w:val="21"/>
              </w:rPr>
            </w:pPr>
            <w:r>
              <w:rPr>
                <w:rFonts w:hint="eastAsia" w:ascii="宋体" w:hAnsi="宋体" w:eastAsia="宋体"/>
                <w:color w:val="auto"/>
                <w:kern w:val="2"/>
                <w:sz w:val="21"/>
                <w:szCs w:val="21"/>
              </w:rPr>
              <w:t>员工满意度/分</w:t>
            </w:r>
          </w:p>
        </w:tc>
        <w:tc>
          <w:tcPr>
            <w:tcW w:w="1454" w:type="dxa"/>
            <w:vAlign w:val="center"/>
          </w:tcPr>
          <w:p w14:paraId="24CE31E2">
            <w:pPr>
              <w:pStyle w:val="31"/>
              <w:widowControl w:val="0"/>
              <w:spacing w:line="400" w:lineRule="exact"/>
              <w:rPr>
                <w:rFonts w:hint="eastAsia" w:ascii="宋体" w:hAnsi="宋体" w:eastAsia="宋体" w:cs="宋体"/>
                <w:color w:val="auto"/>
                <w:kern w:val="2"/>
                <w:sz w:val="21"/>
                <w:szCs w:val="21"/>
                <w:lang w:eastAsia="zh-CN"/>
              </w:rPr>
            </w:pPr>
            <w:r>
              <w:rPr>
                <w:rFonts w:hint="eastAsia" w:ascii="宋体" w:hAnsi="宋体" w:eastAsia="宋体" w:cs="宋体"/>
                <w:color w:val="auto"/>
                <w:kern w:val="2"/>
                <w:sz w:val="21"/>
                <w:szCs w:val="21"/>
              </w:rPr>
              <w:t>9</w:t>
            </w:r>
            <w:r>
              <w:rPr>
                <w:rFonts w:hint="eastAsia" w:ascii="宋体" w:hAnsi="宋体" w:eastAsia="宋体" w:cs="宋体"/>
                <w:color w:val="auto"/>
                <w:kern w:val="2"/>
                <w:sz w:val="21"/>
                <w:szCs w:val="21"/>
                <w:lang w:val="en-US" w:eastAsia="zh-CN"/>
              </w:rPr>
              <w:t>5</w:t>
            </w:r>
          </w:p>
        </w:tc>
        <w:tc>
          <w:tcPr>
            <w:tcW w:w="1454" w:type="dxa"/>
            <w:vAlign w:val="center"/>
          </w:tcPr>
          <w:p w14:paraId="155C7A87">
            <w:pPr>
              <w:pStyle w:val="31"/>
              <w:widowControl w:val="0"/>
              <w:spacing w:line="400" w:lineRule="exact"/>
              <w:rPr>
                <w:rFonts w:hint="eastAsia" w:ascii="宋体" w:hAnsi="宋体" w:eastAsia="宋体" w:cs="宋体"/>
                <w:color w:val="auto"/>
                <w:kern w:val="2"/>
                <w:sz w:val="21"/>
                <w:szCs w:val="21"/>
                <w:lang w:eastAsia="zh-CN"/>
              </w:rPr>
            </w:pPr>
            <w:r>
              <w:rPr>
                <w:rFonts w:hint="eastAsia" w:ascii="宋体" w:hAnsi="宋体" w:eastAsia="宋体" w:cs="宋体"/>
                <w:color w:val="auto"/>
                <w:kern w:val="2"/>
                <w:sz w:val="21"/>
                <w:szCs w:val="21"/>
              </w:rPr>
              <w:t>9</w:t>
            </w:r>
            <w:r>
              <w:rPr>
                <w:rFonts w:hint="eastAsia" w:ascii="宋体" w:hAnsi="宋体" w:eastAsia="宋体" w:cs="宋体"/>
                <w:color w:val="auto"/>
                <w:kern w:val="2"/>
                <w:sz w:val="21"/>
                <w:szCs w:val="21"/>
                <w:lang w:val="en-US" w:eastAsia="zh-CN"/>
              </w:rPr>
              <w:t>8</w:t>
            </w:r>
          </w:p>
        </w:tc>
        <w:tc>
          <w:tcPr>
            <w:tcW w:w="1454" w:type="dxa"/>
            <w:vAlign w:val="center"/>
          </w:tcPr>
          <w:p w14:paraId="17D55534">
            <w:pPr>
              <w:pStyle w:val="31"/>
              <w:widowControl w:val="0"/>
              <w:spacing w:line="400" w:lineRule="exact"/>
              <w:rPr>
                <w:rFonts w:hint="eastAsia" w:ascii="宋体" w:hAnsi="宋体" w:eastAsia="宋体" w:cs="宋体"/>
                <w:color w:val="auto"/>
                <w:kern w:val="2"/>
                <w:sz w:val="21"/>
                <w:szCs w:val="21"/>
                <w:lang w:eastAsia="zh-CN"/>
              </w:rPr>
            </w:pPr>
            <w:r>
              <w:rPr>
                <w:rFonts w:hint="eastAsia" w:ascii="宋体" w:hAnsi="宋体" w:eastAsia="宋体" w:cs="宋体"/>
                <w:color w:val="auto"/>
                <w:kern w:val="2"/>
                <w:sz w:val="21"/>
                <w:szCs w:val="21"/>
              </w:rPr>
              <w:t>9</w:t>
            </w:r>
            <w:r>
              <w:rPr>
                <w:rFonts w:hint="eastAsia" w:ascii="宋体" w:hAnsi="宋体" w:eastAsia="宋体" w:cs="宋体"/>
                <w:color w:val="auto"/>
                <w:kern w:val="2"/>
                <w:sz w:val="21"/>
                <w:szCs w:val="21"/>
                <w:lang w:val="en-US" w:eastAsia="zh-CN"/>
              </w:rPr>
              <w:t>9</w:t>
            </w:r>
          </w:p>
        </w:tc>
      </w:tr>
    </w:tbl>
    <w:p w14:paraId="1D0B9020">
      <w:pPr>
        <w:pStyle w:val="44"/>
        <w:spacing w:before="156" w:line="360" w:lineRule="auto"/>
        <w:ind w:firstLine="0" w:firstLineChars="0"/>
        <w:rPr>
          <w:rFonts w:ascii="宋体" w:hAnsi="宋体" w:eastAsia="宋体"/>
        </w:rPr>
      </w:pPr>
      <w:r>
        <w:rPr>
          <w:rFonts w:ascii="宋体" w:hAnsi="宋体" w:eastAsia="宋体"/>
        </w:rPr>
        <w:t>(</w:t>
      </w:r>
      <w:r>
        <w:rPr>
          <w:rFonts w:hint="eastAsia" w:ascii="宋体" w:hAnsi="宋体" w:eastAsia="宋体"/>
        </w:rPr>
        <w:t>二)其他资源结果</w:t>
      </w:r>
    </w:p>
    <w:p w14:paraId="5FA4DE3C">
      <w:pPr>
        <w:pStyle w:val="44"/>
        <w:spacing w:beforeLines="0" w:line="360" w:lineRule="auto"/>
        <w:ind w:firstLine="0" w:firstLineChars="0"/>
        <w:rPr>
          <w:rFonts w:ascii="宋体" w:hAnsi="宋体" w:eastAsia="宋体"/>
        </w:rPr>
      </w:pPr>
      <w:r>
        <w:rPr>
          <w:rFonts w:ascii="宋体" w:hAnsi="宋体" w:eastAsia="宋体"/>
        </w:rPr>
        <w:t>a</w:t>
      </w:r>
      <w:r>
        <w:rPr>
          <w:rFonts w:hint="eastAsia" w:ascii="宋体" w:hAnsi="宋体" w:eastAsia="宋体"/>
        </w:rPr>
        <w:t>）信息资源的主要测量指标及其当前水平和趋势</w:t>
      </w:r>
    </w:p>
    <w:p w14:paraId="52EE8FFE">
      <w:pPr>
        <w:autoSpaceDE w:val="0"/>
        <w:autoSpaceDN w:val="0"/>
        <w:adjustRightInd w:val="0"/>
        <w:spacing w:line="360" w:lineRule="auto"/>
        <w:ind w:firstLine="422" w:firstLineChars="200"/>
        <w:jc w:val="center"/>
        <w:rPr>
          <w:rFonts w:ascii="黑体" w:hAnsi="黑体" w:eastAsia="黑体" w:cs="宋体"/>
          <w:b/>
          <w:sz w:val="21"/>
          <w:szCs w:val="21"/>
        </w:rPr>
      </w:pPr>
      <w:r>
        <w:rPr>
          <w:rFonts w:hint="eastAsia" w:ascii="黑体" w:hAnsi="黑体" w:eastAsia="黑体" w:cs="宋体"/>
          <w:b/>
          <w:sz w:val="21"/>
          <w:szCs w:val="21"/>
        </w:rPr>
        <w:t>表</w:t>
      </w:r>
      <w:r>
        <w:rPr>
          <w:rFonts w:ascii="黑体" w:hAnsi="黑体" w:eastAsia="黑体" w:cs="宋体"/>
          <w:b/>
          <w:sz w:val="21"/>
          <w:szCs w:val="21"/>
        </w:rPr>
        <w:t>4.7.5-</w:t>
      </w:r>
      <w:r>
        <w:rPr>
          <w:rFonts w:hint="eastAsia" w:ascii="黑体" w:hAnsi="黑体" w:eastAsia="黑体" w:cs="宋体"/>
          <w:b/>
          <w:sz w:val="21"/>
          <w:szCs w:val="21"/>
        </w:rPr>
        <w:t>7 信息资源结果</w:t>
      </w:r>
    </w:p>
    <w:tbl>
      <w:tblPr>
        <w:tblStyle w:val="22"/>
        <w:tblW w:w="84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14"/>
        <w:gridCol w:w="1080"/>
        <w:gridCol w:w="1273"/>
        <w:gridCol w:w="1134"/>
        <w:gridCol w:w="1415"/>
      </w:tblGrid>
      <w:tr w14:paraId="6E030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3514" w:type="dxa"/>
            <w:tcBorders>
              <w:top w:val="single" w:color="auto" w:sz="4" w:space="0"/>
              <w:left w:val="single" w:color="auto" w:sz="4" w:space="0"/>
              <w:bottom w:val="single" w:color="auto" w:sz="4" w:space="0"/>
              <w:right w:val="single" w:color="auto" w:sz="4" w:space="0"/>
            </w:tcBorders>
            <w:shd w:val="clear" w:color="auto" w:fill="948A54"/>
            <w:vAlign w:val="center"/>
          </w:tcPr>
          <w:p w14:paraId="2516E834">
            <w:pPr>
              <w:pStyle w:val="31"/>
              <w:widowControl w:val="0"/>
              <w:spacing w:line="400" w:lineRule="exact"/>
              <w:rPr>
                <w:rFonts w:ascii="宋体" w:hAnsi="宋体" w:eastAsia="宋体"/>
                <w:b/>
                <w:color w:val="auto"/>
                <w:kern w:val="2"/>
              </w:rPr>
            </w:pPr>
            <w:r>
              <w:rPr>
                <w:rFonts w:hint="eastAsia" w:ascii="宋体" w:hAnsi="宋体" w:eastAsia="宋体"/>
                <w:b/>
                <w:color w:val="auto"/>
                <w:kern w:val="2"/>
              </w:rPr>
              <w:t>项目</w:t>
            </w:r>
          </w:p>
        </w:tc>
        <w:tc>
          <w:tcPr>
            <w:tcW w:w="1080" w:type="dxa"/>
            <w:tcBorders>
              <w:top w:val="single" w:color="auto" w:sz="4" w:space="0"/>
              <w:left w:val="single" w:color="auto" w:sz="4" w:space="0"/>
              <w:bottom w:val="single" w:color="auto" w:sz="4" w:space="0"/>
              <w:right w:val="single" w:color="auto" w:sz="4" w:space="0"/>
            </w:tcBorders>
            <w:shd w:val="clear" w:color="auto" w:fill="948A54"/>
            <w:vAlign w:val="center"/>
          </w:tcPr>
          <w:p w14:paraId="7AD6E010">
            <w:pPr>
              <w:pStyle w:val="31"/>
              <w:widowControl w:val="0"/>
              <w:spacing w:line="400" w:lineRule="exact"/>
              <w:rPr>
                <w:rFonts w:ascii="宋体" w:hAnsi="宋体" w:eastAsia="宋体"/>
                <w:b/>
                <w:color w:val="auto"/>
                <w:kern w:val="2"/>
              </w:rPr>
            </w:pPr>
            <w:r>
              <w:rPr>
                <w:rFonts w:hint="eastAsia" w:ascii="宋体" w:hAnsi="宋体" w:eastAsia="宋体"/>
                <w:b/>
                <w:color w:val="auto"/>
                <w:kern w:val="2"/>
              </w:rPr>
              <w:t>单位</w:t>
            </w:r>
          </w:p>
        </w:tc>
        <w:tc>
          <w:tcPr>
            <w:tcW w:w="1273" w:type="dxa"/>
            <w:tcBorders>
              <w:top w:val="single" w:color="auto" w:sz="4" w:space="0"/>
              <w:left w:val="single" w:color="auto" w:sz="4" w:space="0"/>
              <w:bottom w:val="single" w:color="auto" w:sz="4" w:space="0"/>
              <w:right w:val="single" w:color="auto" w:sz="4" w:space="0"/>
            </w:tcBorders>
            <w:shd w:val="clear" w:color="auto" w:fill="948A54"/>
            <w:vAlign w:val="center"/>
          </w:tcPr>
          <w:p w14:paraId="205EC977">
            <w:pPr>
              <w:pStyle w:val="31"/>
              <w:widowControl w:val="0"/>
              <w:spacing w:line="260" w:lineRule="exact"/>
              <w:rPr>
                <w:rFonts w:ascii="宋体" w:hAnsi="宋体" w:eastAsia="宋体"/>
                <w:b/>
                <w:color w:val="auto"/>
                <w:kern w:val="2"/>
              </w:rPr>
            </w:pPr>
            <w:r>
              <w:rPr>
                <w:rFonts w:hint="eastAsia" w:ascii="宋体"/>
                <w:b/>
                <w:bCs/>
                <w:spacing w:val="-4"/>
              </w:rPr>
              <w:t>202</w:t>
            </w:r>
            <w:r>
              <w:rPr>
                <w:rFonts w:hint="eastAsia" w:ascii="宋体"/>
                <w:b/>
                <w:bCs/>
                <w:spacing w:val="-4"/>
                <w:lang w:val="en-US" w:eastAsia="zh-CN"/>
              </w:rPr>
              <w:t>3</w:t>
            </w:r>
            <w:r>
              <w:rPr>
                <w:rFonts w:hint="eastAsia" w:ascii="宋体"/>
                <w:b/>
                <w:bCs/>
                <w:spacing w:val="-4"/>
              </w:rPr>
              <w:t>年</w:t>
            </w:r>
          </w:p>
        </w:tc>
        <w:tc>
          <w:tcPr>
            <w:tcW w:w="1134" w:type="dxa"/>
            <w:tcBorders>
              <w:top w:val="single" w:color="auto" w:sz="4" w:space="0"/>
              <w:left w:val="single" w:color="auto" w:sz="4" w:space="0"/>
              <w:bottom w:val="single" w:color="auto" w:sz="4" w:space="0"/>
              <w:right w:val="single" w:color="auto" w:sz="4" w:space="0"/>
            </w:tcBorders>
            <w:shd w:val="clear" w:color="auto" w:fill="948A54"/>
            <w:vAlign w:val="center"/>
          </w:tcPr>
          <w:p w14:paraId="6F639340">
            <w:pPr>
              <w:pStyle w:val="31"/>
              <w:widowControl w:val="0"/>
              <w:spacing w:line="260" w:lineRule="exact"/>
              <w:rPr>
                <w:rFonts w:ascii="宋体" w:hAnsi="宋体" w:eastAsia="宋体"/>
                <w:b/>
                <w:color w:val="auto"/>
                <w:kern w:val="2"/>
              </w:rPr>
            </w:pPr>
            <w:r>
              <w:rPr>
                <w:rFonts w:hint="eastAsia" w:ascii="宋体"/>
                <w:b/>
                <w:bCs/>
                <w:spacing w:val="-4"/>
              </w:rPr>
              <w:t>20</w:t>
            </w:r>
            <w:r>
              <w:rPr>
                <w:rFonts w:ascii="宋体"/>
                <w:b/>
                <w:bCs/>
                <w:spacing w:val="-4"/>
              </w:rPr>
              <w:t>2</w:t>
            </w:r>
            <w:r>
              <w:rPr>
                <w:rFonts w:hint="eastAsia" w:ascii="宋体"/>
                <w:b/>
                <w:bCs/>
                <w:spacing w:val="-4"/>
                <w:lang w:val="en-US" w:eastAsia="zh-CN"/>
              </w:rPr>
              <w:t>4</w:t>
            </w:r>
            <w:r>
              <w:rPr>
                <w:rFonts w:hint="eastAsia" w:ascii="宋体"/>
                <w:b/>
                <w:bCs/>
                <w:spacing w:val="-4"/>
              </w:rPr>
              <w:t>年</w:t>
            </w:r>
          </w:p>
        </w:tc>
        <w:tc>
          <w:tcPr>
            <w:tcW w:w="1415" w:type="dxa"/>
            <w:tcBorders>
              <w:top w:val="single" w:color="auto" w:sz="4" w:space="0"/>
              <w:left w:val="single" w:color="auto" w:sz="4" w:space="0"/>
              <w:bottom w:val="single" w:color="auto" w:sz="4" w:space="0"/>
              <w:right w:val="single" w:color="auto" w:sz="4" w:space="0"/>
            </w:tcBorders>
            <w:shd w:val="clear" w:color="auto" w:fill="948A54"/>
            <w:vAlign w:val="center"/>
          </w:tcPr>
          <w:p w14:paraId="5A14E0DB">
            <w:pPr>
              <w:pStyle w:val="31"/>
              <w:widowControl w:val="0"/>
              <w:spacing w:line="260" w:lineRule="exact"/>
              <w:rPr>
                <w:rFonts w:ascii="宋体" w:hAnsi="宋体" w:eastAsia="宋体"/>
                <w:b/>
                <w:color w:val="auto"/>
                <w:kern w:val="2"/>
              </w:rPr>
            </w:pPr>
            <w:r>
              <w:rPr>
                <w:rFonts w:hint="eastAsia" w:ascii="宋体"/>
                <w:b/>
                <w:bCs/>
                <w:spacing w:val="-4"/>
              </w:rPr>
              <w:t>202</w:t>
            </w:r>
            <w:r>
              <w:rPr>
                <w:rFonts w:hint="eastAsia" w:ascii="宋体"/>
                <w:b/>
                <w:bCs/>
                <w:spacing w:val="-4"/>
                <w:lang w:val="en-US" w:eastAsia="zh-CN"/>
              </w:rPr>
              <w:t>5</w:t>
            </w:r>
            <w:r>
              <w:rPr>
                <w:rFonts w:hint="eastAsia" w:ascii="宋体"/>
                <w:b/>
                <w:bCs/>
                <w:spacing w:val="-4"/>
              </w:rPr>
              <w:t>年</w:t>
            </w:r>
          </w:p>
        </w:tc>
      </w:tr>
      <w:tr w14:paraId="4240B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14" w:type="dxa"/>
            <w:tcBorders>
              <w:top w:val="single" w:color="auto" w:sz="4" w:space="0"/>
              <w:left w:val="single" w:color="auto" w:sz="4" w:space="0"/>
              <w:bottom w:val="single" w:color="auto" w:sz="4" w:space="0"/>
              <w:right w:val="single" w:color="auto" w:sz="4" w:space="0"/>
            </w:tcBorders>
            <w:vAlign w:val="center"/>
          </w:tcPr>
          <w:p w14:paraId="06129725">
            <w:pPr>
              <w:pStyle w:val="31"/>
              <w:widowControl w:val="0"/>
              <w:spacing w:line="400" w:lineRule="exact"/>
              <w:rPr>
                <w:rFonts w:ascii="宋体" w:hAnsi="宋体" w:eastAsia="宋体"/>
                <w:color w:val="auto"/>
                <w:kern w:val="2"/>
                <w:sz w:val="21"/>
                <w:szCs w:val="21"/>
              </w:rPr>
            </w:pPr>
            <w:r>
              <w:rPr>
                <w:rFonts w:ascii="宋体" w:hAnsi="宋体" w:eastAsia="宋体"/>
                <w:color w:val="auto"/>
                <w:kern w:val="2"/>
                <w:sz w:val="21"/>
                <w:szCs w:val="21"/>
              </w:rPr>
              <w:t>计算机拥有数量</w:t>
            </w:r>
          </w:p>
        </w:tc>
        <w:tc>
          <w:tcPr>
            <w:tcW w:w="1080" w:type="dxa"/>
            <w:tcBorders>
              <w:top w:val="single" w:color="auto" w:sz="4" w:space="0"/>
              <w:left w:val="single" w:color="auto" w:sz="4" w:space="0"/>
              <w:bottom w:val="single" w:color="auto" w:sz="4" w:space="0"/>
              <w:right w:val="single" w:color="auto" w:sz="4" w:space="0"/>
            </w:tcBorders>
            <w:vAlign w:val="center"/>
          </w:tcPr>
          <w:p w14:paraId="123D13ED">
            <w:pPr>
              <w:pStyle w:val="31"/>
              <w:widowControl w:val="0"/>
              <w:spacing w:line="400" w:lineRule="exact"/>
              <w:rPr>
                <w:rFonts w:ascii="宋体" w:hAnsi="宋体" w:eastAsia="宋体"/>
                <w:color w:val="auto"/>
                <w:kern w:val="2"/>
                <w:sz w:val="21"/>
                <w:szCs w:val="21"/>
              </w:rPr>
            </w:pPr>
            <w:r>
              <w:rPr>
                <w:rFonts w:ascii="宋体" w:hAnsi="宋体" w:eastAsia="宋体"/>
                <w:color w:val="auto"/>
                <w:kern w:val="2"/>
                <w:sz w:val="21"/>
                <w:szCs w:val="21"/>
              </w:rPr>
              <w:t>台</w:t>
            </w:r>
          </w:p>
        </w:tc>
        <w:tc>
          <w:tcPr>
            <w:tcW w:w="1273" w:type="dxa"/>
            <w:tcBorders>
              <w:top w:val="single" w:color="auto" w:sz="4" w:space="0"/>
              <w:left w:val="single" w:color="auto" w:sz="4" w:space="0"/>
              <w:bottom w:val="single" w:color="auto" w:sz="4" w:space="0"/>
              <w:right w:val="single" w:color="auto" w:sz="4" w:space="0"/>
            </w:tcBorders>
            <w:vAlign w:val="center"/>
          </w:tcPr>
          <w:p w14:paraId="4C322863">
            <w:pPr>
              <w:pStyle w:val="31"/>
              <w:widowControl w:val="0"/>
              <w:spacing w:line="400" w:lineRule="exact"/>
              <w:rPr>
                <w:rFonts w:ascii="宋体" w:hAnsi="宋体" w:eastAsia="宋体"/>
                <w:color w:val="auto"/>
                <w:kern w:val="2"/>
                <w:sz w:val="21"/>
                <w:szCs w:val="21"/>
              </w:rPr>
            </w:pPr>
            <w:r>
              <w:rPr>
                <w:rFonts w:hint="eastAsia" w:ascii="宋体" w:hAnsi="宋体" w:eastAsia="宋体"/>
                <w:color w:val="auto"/>
                <w:kern w:val="2"/>
                <w:sz w:val="21"/>
                <w:szCs w:val="21"/>
              </w:rPr>
              <w:t>41</w:t>
            </w:r>
          </w:p>
        </w:tc>
        <w:tc>
          <w:tcPr>
            <w:tcW w:w="1134" w:type="dxa"/>
            <w:tcBorders>
              <w:top w:val="single" w:color="auto" w:sz="4" w:space="0"/>
              <w:left w:val="single" w:color="auto" w:sz="4" w:space="0"/>
              <w:bottom w:val="single" w:color="auto" w:sz="4" w:space="0"/>
              <w:right w:val="single" w:color="auto" w:sz="4" w:space="0"/>
            </w:tcBorders>
            <w:vAlign w:val="center"/>
          </w:tcPr>
          <w:p w14:paraId="3B444E22">
            <w:pPr>
              <w:pStyle w:val="31"/>
              <w:widowControl w:val="0"/>
              <w:spacing w:line="400" w:lineRule="exact"/>
              <w:rPr>
                <w:rFonts w:ascii="宋体" w:hAnsi="宋体" w:eastAsia="宋体"/>
                <w:color w:val="auto"/>
                <w:kern w:val="2"/>
                <w:sz w:val="21"/>
                <w:szCs w:val="21"/>
              </w:rPr>
            </w:pPr>
            <w:r>
              <w:rPr>
                <w:rFonts w:hint="eastAsia" w:ascii="宋体" w:hAnsi="宋体" w:eastAsia="宋体"/>
                <w:color w:val="auto"/>
                <w:kern w:val="2"/>
                <w:sz w:val="21"/>
                <w:szCs w:val="21"/>
              </w:rPr>
              <w:t>48</w:t>
            </w:r>
          </w:p>
        </w:tc>
        <w:tc>
          <w:tcPr>
            <w:tcW w:w="1415" w:type="dxa"/>
            <w:tcBorders>
              <w:top w:val="single" w:color="auto" w:sz="4" w:space="0"/>
              <w:left w:val="single" w:color="auto" w:sz="4" w:space="0"/>
              <w:bottom w:val="single" w:color="auto" w:sz="4" w:space="0"/>
              <w:right w:val="single" w:color="auto" w:sz="4" w:space="0"/>
            </w:tcBorders>
            <w:vAlign w:val="center"/>
          </w:tcPr>
          <w:p w14:paraId="467644F8">
            <w:pPr>
              <w:pStyle w:val="31"/>
              <w:widowControl w:val="0"/>
              <w:spacing w:line="400" w:lineRule="exact"/>
              <w:rPr>
                <w:rFonts w:ascii="宋体" w:hAnsi="宋体" w:eastAsia="宋体"/>
                <w:color w:val="auto"/>
                <w:kern w:val="2"/>
                <w:sz w:val="21"/>
                <w:szCs w:val="21"/>
              </w:rPr>
            </w:pPr>
            <w:r>
              <w:rPr>
                <w:rFonts w:hint="eastAsia" w:ascii="宋体" w:hAnsi="宋体" w:eastAsia="宋体"/>
                <w:color w:val="auto"/>
                <w:kern w:val="2"/>
                <w:sz w:val="21"/>
                <w:szCs w:val="21"/>
              </w:rPr>
              <w:t>48</w:t>
            </w:r>
          </w:p>
        </w:tc>
      </w:tr>
      <w:tr w14:paraId="77C92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14" w:type="dxa"/>
            <w:tcBorders>
              <w:top w:val="single" w:color="auto" w:sz="4" w:space="0"/>
              <w:left w:val="single" w:color="auto" w:sz="4" w:space="0"/>
              <w:bottom w:val="single" w:color="auto" w:sz="4" w:space="0"/>
              <w:right w:val="single" w:color="auto" w:sz="4" w:space="0"/>
            </w:tcBorders>
            <w:vAlign w:val="center"/>
          </w:tcPr>
          <w:p w14:paraId="47BA9F0C">
            <w:pPr>
              <w:pStyle w:val="31"/>
              <w:widowControl w:val="0"/>
              <w:spacing w:line="400" w:lineRule="exact"/>
              <w:rPr>
                <w:rFonts w:ascii="宋体" w:hAnsi="宋体" w:eastAsia="宋体"/>
                <w:color w:val="auto"/>
                <w:kern w:val="2"/>
                <w:sz w:val="21"/>
                <w:szCs w:val="21"/>
              </w:rPr>
            </w:pPr>
            <w:r>
              <w:rPr>
                <w:rFonts w:hint="eastAsia" w:ascii="宋体" w:hAnsi="宋体" w:eastAsia="宋体"/>
                <w:color w:val="auto"/>
                <w:kern w:val="2"/>
                <w:sz w:val="21"/>
                <w:szCs w:val="21"/>
              </w:rPr>
              <w:t>服务器数量</w:t>
            </w:r>
          </w:p>
        </w:tc>
        <w:tc>
          <w:tcPr>
            <w:tcW w:w="1080" w:type="dxa"/>
            <w:tcBorders>
              <w:top w:val="single" w:color="auto" w:sz="4" w:space="0"/>
              <w:left w:val="single" w:color="auto" w:sz="4" w:space="0"/>
              <w:bottom w:val="single" w:color="auto" w:sz="4" w:space="0"/>
              <w:right w:val="single" w:color="auto" w:sz="4" w:space="0"/>
            </w:tcBorders>
            <w:vAlign w:val="center"/>
          </w:tcPr>
          <w:p w14:paraId="5D7473D6">
            <w:pPr>
              <w:pStyle w:val="31"/>
              <w:widowControl w:val="0"/>
              <w:spacing w:line="400" w:lineRule="exact"/>
              <w:rPr>
                <w:rFonts w:ascii="宋体" w:hAnsi="宋体" w:eastAsia="宋体"/>
                <w:color w:val="auto"/>
                <w:kern w:val="2"/>
                <w:sz w:val="21"/>
                <w:szCs w:val="21"/>
              </w:rPr>
            </w:pPr>
            <w:r>
              <w:rPr>
                <w:rFonts w:ascii="宋体" w:hAnsi="宋体" w:eastAsia="宋体"/>
                <w:color w:val="auto"/>
                <w:kern w:val="2"/>
                <w:sz w:val="21"/>
                <w:szCs w:val="21"/>
              </w:rPr>
              <w:t>台</w:t>
            </w:r>
          </w:p>
        </w:tc>
        <w:tc>
          <w:tcPr>
            <w:tcW w:w="1273" w:type="dxa"/>
            <w:tcBorders>
              <w:top w:val="single" w:color="auto" w:sz="4" w:space="0"/>
              <w:left w:val="single" w:color="auto" w:sz="4" w:space="0"/>
              <w:bottom w:val="single" w:color="auto" w:sz="4" w:space="0"/>
              <w:right w:val="single" w:color="auto" w:sz="4" w:space="0"/>
            </w:tcBorders>
            <w:vAlign w:val="center"/>
          </w:tcPr>
          <w:p w14:paraId="578CC8D5">
            <w:pPr>
              <w:pStyle w:val="31"/>
              <w:widowControl w:val="0"/>
              <w:spacing w:line="400" w:lineRule="exact"/>
              <w:rPr>
                <w:rFonts w:ascii="宋体" w:hAnsi="宋体" w:eastAsia="宋体"/>
                <w:color w:val="auto"/>
                <w:kern w:val="2"/>
                <w:sz w:val="21"/>
                <w:szCs w:val="21"/>
              </w:rPr>
            </w:pPr>
            <w:r>
              <w:rPr>
                <w:rFonts w:hint="eastAsia" w:ascii="宋体" w:hAnsi="宋体" w:eastAsia="宋体"/>
                <w:color w:val="auto"/>
                <w:kern w:val="2"/>
                <w:sz w:val="21"/>
                <w:szCs w:val="21"/>
              </w:rPr>
              <w:t>2</w:t>
            </w:r>
          </w:p>
        </w:tc>
        <w:tc>
          <w:tcPr>
            <w:tcW w:w="1134" w:type="dxa"/>
            <w:tcBorders>
              <w:top w:val="single" w:color="auto" w:sz="4" w:space="0"/>
              <w:left w:val="single" w:color="auto" w:sz="4" w:space="0"/>
              <w:bottom w:val="single" w:color="auto" w:sz="4" w:space="0"/>
              <w:right w:val="single" w:color="auto" w:sz="4" w:space="0"/>
            </w:tcBorders>
            <w:vAlign w:val="center"/>
          </w:tcPr>
          <w:p w14:paraId="4F018964">
            <w:pPr>
              <w:pStyle w:val="31"/>
              <w:widowControl w:val="0"/>
              <w:spacing w:line="400" w:lineRule="exact"/>
              <w:rPr>
                <w:rFonts w:ascii="宋体" w:hAnsi="宋体" w:eastAsia="宋体"/>
                <w:color w:val="auto"/>
                <w:kern w:val="2"/>
                <w:sz w:val="21"/>
                <w:szCs w:val="21"/>
              </w:rPr>
            </w:pPr>
            <w:r>
              <w:rPr>
                <w:rFonts w:hint="eastAsia" w:ascii="宋体" w:hAnsi="宋体" w:eastAsia="宋体"/>
                <w:color w:val="auto"/>
                <w:kern w:val="2"/>
                <w:sz w:val="21"/>
                <w:szCs w:val="21"/>
              </w:rPr>
              <w:t>2</w:t>
            </w:r>
          </w:p>
        </w:tc>
        <w:tc>
          <w:tcPr>
            <w:tcW w:w="1415" w:type="dxa"/>
            <w:tcBorders>
              <w:top w:val="single" w:color="auto" w:sz="4" w:space="0"/>
              <w:left w:val="single" w:color="auto" w:sz="4" w:space="0"/>
              <w:bottom w:val="single" w:color="auto" w:sz="4" w:space="0"/>
              <w:right w:val="single" w:color="auto" w:sz="4" w:space="0"/>
            </w:tcBorders>
            <w:vAlign w:val="center"/>
          </w:tcPr>
          <w:p w14:paraId="09009E65">
            <w:pPr>
              <w:pStyle w:val="31"/>
              <w:widowControl w:val="0"/>
              <w:spacing w:line="400" w:lineRule="exact"/>
              <w:rPr>
                <w:rFonts w:ascii="宋体" w:hAnsi="宋体" w:eastAsia="宋体"/>
                <w:color w:val="auto"/>
                <w:kern w:val="2"/>
                <w:sz w:val="21"/>
                <w:szCs w:val="21"/>
              </w:rPr>
            </w:pPr>
            <w:r>
              <w:rPr>
                <w:rFonts w:hint="eastAsia" w:ascii="宋体" w:hAnsi="宋体" w:eastAsia="宋体"/>
                <w:color w:val="auto"/>
                <w:kern w:val="2"/>
                <w:sz w:val="21"/>
                <w:szCs w:val="21"/>
              </w:rPr>
              <w:t>2</w:t>
            </w:r>
          </w:p>
        </w:tc>
      </w:tr>
      <w:tr w14:paraId="4C93F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14" w:type="dxa"/>
            <w:tcBorders>
              <w:top w:val="single" w:color="auto" w:sz="4" w:space="0"/>
              <w:left w:val="single" w:color="auto" w:sz="4" w:space="0"/>
              <w:bottom w:val="single" w:color="auto" w:sz="4" w:space="0"/>
              <w:right w:val="single" w:color="auto" w:sz="4" w:space="0"/>
            </w:tcBorders>
            <w:vAlign w:val="center"/>
          </w:tcPr>
          <w:p w14:paraId="7BC5E9EE">
            <w:pPr>
              <w:pStyle w:val="31"/>
              <w:widowControl w:val="0"/>
              <w:spacing w:line="400" w:lineRule="exact"/>
              <w:rPr>
                <w:rFonts w:ascii="宋体" w:hAnsi="宋体" w:eastAsia="宋体" w:cs="宋体"/>
                <w:color w:val="auto"/>
                <w:kern w:val="2"/>
                <w:sz w:val="21"/>
                <w:szCs w:val="21"/>
              </w:rPr>
            </w:pPr>
            <w:r>
              <w:rPr>
                <w:rFonts w:hint="eastAsia" w:ascii="宋体" w:hAnsi="宋体" w:eastAsia="宋体" w:cs="宋体"/>
                <w:color w:val="auto"/>
                <w:kern w:val="2"/>
                <w:sz w:val="21"/>
                <w:szCs w:val="21"/>
              </w:rPr>
              <w:t>重大网络故障次数</w:t>
            </w:r>
          </w:p>
        </w:tc>
        <w:tc>
          <w:tcPr>
            <w:tcW w:w="1080" w:type="dxa"/>
            <w:tcBorders>
              <w:top w:val="single" w:color="auto" w:sz="4" w:space="0"/>
              <w:left w:val="single" w:color="auto" w:sz="4" w:space="0"/>
              <w:bottom w:val="single" w:color="auto" w:sz="4" w:space="0"/>
              <w:right w:val="single" w:color="auto" w:sz="4" w:space="0"/>
            </w:tcBorders>
            <w:vAlign w:val="center"/>
          </w:tcPr>
          <w:p w14:paraId="72AC5428">
            <w:pPr>
              <w:pStyle w:val="31"/>
              <w:widowControl w:val="0"/>
              <w:spacing w:line="400" w:lineRule="exact"/>
              <w:rPr>
                <w:rFonts w:ascii="宋体" w:hAnsi="宋体" w:eastAsia="宋体"/>
                <w:color w:val="auto"/>
                <w:kern w:val="2"/>
                <w:sz w:val="21"/>
                <w:szCs w:val="21"/>
              </w:rPr>
            </w:pPr>
            <w:r>
              <w:rPr>
                <w:rFonts w:hint="eastAsia" w:ascii="宋体" w:hAnsi="宋体" w:eastAsia="宋体"/>
                <w:color w:val="auto"/>
                <w:kern w:val="2"/>
                <w:sz w:val="21"/>
                <w:szCs w:val="21"/>
              </w:rPr>
              <w:t>次</w:t>
            </w:r>
          </w:p>
        </w:tc>
        <w:tc>
          <w:tcPr>
            <w:tcW w:w="1273" w:type="dxa"/>
            <w:tcBorders>
              <w:top w:val="single" w:color="auto" w:sz="4" w:space="0"/>
              <w:left w:val="single" w:color="auto" w:sz="4" w:space="0"/>
              <w:bottom w:val="single" w:color="auto" w:sz="4" w:space="0"/>
              <w:right w:val="single" w:color="auto" w:sz="4" w:space="0"/>
            </w:tcBorders>
            <w:vAlign w:val="center"/>
          </w:tcPr>
          <w:p w14:paraId="582576BE">
            <w:pPr>
              <w:pStyle w:val="31"/>
              <w:widowControl w:val="0"/>
              <w:spacing w:line="400" w:lineRule="exact"/>
              <w:rPr>
                <w:rFonts w:ascii="宋体" w:hAnsi="宋体" w:eastAsia="宋体"/>
                <w:color w:val="auto"/>
                <w:kern w:val="2"/>
                <w:sz w:val="21"/>
                <w:szCs w:val="21"/>
              </w:rPr>
            </w:pPr>
            <w:r>
              <w:rPr>
                <w:rFonts w:hint="eastAsia" w:ascii="宋体" w:hAnsi="宋体" w:eastAsia="宋体"/>
                <w:color w:val="auto"/>
                <w:kern w:val="2"/>
                <w:sz w:val="21"/>
                <w:szCs w:val="21"/>
              </w:rPr>
              <w:t>0</w:t>
            </w:r>
          </w:p>
        </w:tc>
        <w:tc>
          <w:tcPr>
            <w:tcW w:w="1134" w:type="dxa"/>
            <w:tcBorders>
              <w:top w:val="single" w:color="auto" w:sz="4" w:space="0"/>
              <w:left w:val="single" w:color="auto" w:sz="4" w:space="0"/>
              <w:bottom w:val="single" w:color="auto" w:sz="4" w:space="0"/>
              <w:right w:val="single" w:color="auto" w:sz="4" w:space="0"/>
            </w:tcBorders>
            <w:vAlign w:val="center"/>
          </w:tcPr>
          <w:p w14:paraId="30494CBD">
            <w:pPr>
              <w:pStyle w:val="31"/>
              <w:widowControl w:val="0"/>
              <w:spacing w:line="400" w:lineRule="exact"/>
              <w:rPr>
                <w:rFonts w:ascii="宋体" w:hAnsi="宋体" w:eastAsia="宋体"/>
                <w:color w:val="auto"/>
                <w:kern w:val="2"/>
                <w:sz w:val="21"/>
                <w:szCs w:val="21"/>
              </w:rPr>
            </w:pPr>
            <w:r>
              <w:rPr>
                <w:rFonts w:hint="eastAsia" w:ascii="宋体" w:hAnsi="宋体" w:eastAsia="宋体"/>
                <w:color w:val="auto"/>
                <w:kern w:val="2"/>
                <w:sz w:val="21"/>
                <w:szCs w:val="21"/>
              </w:rPr>
              <w:t>0</w:t>
            </w:r>
          </w:p>
        </w:tc>
        <w:tc>
          <w:tcPr>
            <w:tcW w:w="1415" w:type="dxa"/>
            <w:tcBorders>
              <w:top w:val="single" w:color="auto" w:sz="4" w:space="0"/>
              <w:left w:val="single" w:color="auto" w:sz="4" w:space="0"/>
              <w:bottom w:val="single" w:color="auto" w:sz="4" w:space="0"/>
              <w:right w:val="single" w:color="auto" w:sz="4" w:space="0"/>
            </w:tcBorders>
            <w:vAlign w:val="center"/>
          </w:tcPr>
          <w:p w14:paraId="0711AFDA">
            <w:pPr>
              <w:pStyle w:val="31"/>
              <w:widowControl w:val="0"/>
              <w:spacing w:line="400" w:lineRule="exact"/>
              <w:rPr>
                <w:rFonts w:ascii="宋体" w:hAnsi="宋体" w:eastAsia="宋体"/>
                <w:color w:val="auto"/>
                <w:kern w:val="2"/>
                <w:sz w:val="21"/>
                <w:szCs w:val="21"/>
              </w:rPr>
            </w:pPr>
            <w:r>
              <w:rPr>
                <w:rFonts w:hint="eastAsia" w:ascii="宋体" w:hAnsi="宋体" w:eastAsia="宋体"/>
                <w:color w:val="auto"/>
                <w:kern w:val="2"/>
                <w:sz w:val="21"/>
                <w:szCs w:val="21"/>
              </w:rPr>
              <w:t>0</w:t>
            </w:r>
          </w:p>
        </w:tc>
      </w:tr>
      <w:tr w14:paraId="341FE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14" w:type="dxa"/>
            <w:tcBorders>
              <w:top w:val="single" w:color="auto" w:sz="4" w:space="0"/>
              <w:left w:val="single" w:color="auto" w:sz="4" w:space="0"/>
              <w:bottom w:val="single" w:color="auto" w:sz="4" w:space="0"/>
              <w:right w:val="single" w:color="auto" w:sz="4" w:space="0"/>
            </w:tcBorders>
            <w:vAlign w:val="center"/>
          </w:tcPr>
          <w:p w14:paraId="62D36358">
            <w:pPr>
              <w:pStyle w:val="31"/>
              <w:widowControl w:val="0"/>
              <w:spacing w:line="400" w:lineRule="exact"/>
              <w:rPr>
                <w:rFonts w:ascii="宋体" w:hAnsi="宋体" w:eastAsia="宋体"/>
                <w:color w:val="auto"/>
                <w:kern w:val="2"/>
                <w:sz w:val="21"/>
                <w:szCs w:val="21"/>
              </w:rPr>
            </w:pPr>
            <w:r>
              <w:rPr>
                <w:rFonts w:hint="eastAsia" w:ascii="宋体" w:hAnsi="宋体" w:eastAsia="宋体" w:cs="宋体"/>
                <w:bCs/>
                <w:color w:val="auto"/>
                <w:kern w:val="2"/>
                <w:sz w:val="21"/>
                <w:szCs w:val="21"/>
              </w:rPr>
              <w:t>系统正常运行率</w:t>
            </w:r>
          </w:p>
        </w:tc>
        <w:tc>
          <w:tcPr>
            <w:tcW w:w="1080" w:type="dxa"/>
            <w:tcBorders>
              <w:top w:val="single" w:color="auto" w:sz="4" w:space="0"/>
              <w:left w:val="single" w:color="auto" w:sz="4" w:space="0"/>
              <w:bottom w:val="single" w:color="auto" w:sz="4" w:space="0"/>
              <w:right w:val="single" w:color="auto" w:sz="4" w:space="0"/>
            </w:tcBorders>
            <w:vAlign w:val="center"/>
          </w:tcPr>
          <w:p w14:paraId="62971363">
            <w:pPr>
              <w:pStyle w:val="31"/>
              <w:widowControl w:val="0"/>
              <w:spacing w:line="400" w:lineRule="exact"/>
              <w:rPr>
                <w:rFonts w:ascii="宋体" w:hAnsi="宋体" w:eastAsia="宋体"/>
                <w:color w:val="auto"/>
                <w:kern w:val="2"/>
                <w:sz w:val="21"/>
                <w:szCs w:val="21"/>
              </w:rPr>
            </w:pPr>
            <w:r>
              <w:rPr>
                <w:rFonts w:hint="eastAsia" w:ascii="宋体" w:hAnsi="宋体" w:eastAsia="宋体"/>
                <w:color w:val="auto"/>
                <w:kern w:val="2"/>
                <w:sz w:val="21"/>
                <w:szCs w:val="21"/>
              </w:rPr>
              <w:t>%</w:t>
            </w:r>
          </w:p>
        </w:tc>
        <w:tc>
          <w:tcPr>
            <w:tcW w:w="1273" w:type="dxa"/>
            <w:tcBorders>
              <w:top w:val="single" w:color="auto" w:sz="4" w:space="0"/>
              <w:left w:val="single" w:color="auto" w:sz="4" w:space="0"/>
              <w:bottom w:val="single" w:color="auto" w:sz="4" w:space="0"/>
              <w:right w:val="single" w:color="auto" w:sz="4" w:space="0"/>
            </w:tcBorders>
            <w:vAlign w:val="center"/>
          </w:tcPr>
          <w:p w14:paraId="58CFB6CC">
            <w:pPr>
              <w:pStyle w:val="31"/>
              <w:widowControl w:val="0"/>
              <w:spacing w:line="400" w:lineRule="exact"/>
              <w:rPr>
                <w:rFonts w:ascii="宋体" w:hAnsi="宋体" w:eastAsia="宋体"/>
                <w:color w:val="auto"/>
                <w:kern w:val="2"/>
                <w:sz w:val="21"/>
                <w:szCs w:val="21"/>
              </w:rPr>
            </w:pPr>
            <w:r>
              <w:rPr>
                <w:rFonts w:hint="eastAsia" w:ascii="宋体" w:hAnsi="宋体" w:eastAsia="宋体"/>
                <w:color w:val="auto"/>
                <w:kern w:val="2"/>
                <w:sz w:val="21"/>
                <w:szCs w:val="21"/>
              </w:rPr>
              <w:t>100</w:t>
            </w:r>
          </w:p>
        </w:tc>
        <w:tc>
          <w:tcPr>
            <w:tcW w:w="1134" w:type="dxa"/>
            <w:tcBorders>
              <w:top w:val="single" w:color="auto" w:sz="4" w:space="0"/>
              <w:left w:val="single" w:color="auto" w:sz="4" w:space="0"/>
              <w:bottom w:val="single" w:color="auto" w:sz="4" w:space="0"/>
              <w:right w:val="single" w:color="auto" w:sz="4" w:space="0"/>
            </w:tcBorders>
            <w:vAlign w:val="center"/>
          </w:tcPr>
          <w:p w14:paraId="33A49749">
            <w:pPr>
              <w:pStyle w:val="31"/>
              <w:widowControl w:val="0"/>
              <w:spacing w:line="400" w:lineRule="exact"/>
              <w:rPr>
                <w:rFonts w:ascii="宋体" w:hAnsi="宋体" w:eastAsia="宋体"/>
                <w:color w:val="auto"/>
                <w:kern w:val="2"/>
                <w:sz w:val="21"/>
                <w:szCs w:val="21"/>
              </w:rPr>
            </w:pPr>
            <w:r>
              <w:rPr>
                <w:rFonts w:hint="eastAsia" w:ascii="宋体" w:hAnsi="宋体" w:eastAsia="宋体"/>
                <w:color w:val="auto"/>
                <w:kern w:val="2"/>
                <w:sz w:val="21"/>
                <w:szCs w:val="21"/>
              </w:rPr>
              <w:t>100</w:t>
            </w:r>
          </w:p>
        </w:tc>
        <w:tc>
          <w:tcPr>
            <w:tcW w:w="1415" w:type="dxa"/>
            <w:tcBorders>
              <w:top w:val="single" w:color="auto" w:sz="4" w:space="0"/>
              <w:left w:val="single" w:color="auto" w:sz="4" w:space="0"/>
              <w:bottom w:val="single" w:color="auto" w:sz="4" w:space="0"/>
              <w:right w:val="single" w:color="auto" w:sz="4" w:space="0"/>
            </w:tcBorders>
            <w:vAlign w:val="center"/>
          </w:tcPr>
          <w:p w14:paraId="4C4CA9EE">
            <w:pPr>
              <w:pStyle w:val="31"/>
              <w:widowControl w:val="0"/>
              <w:spacing w:line="400" w:lineRule="exact"/>
              <w:rPr>
                <w:rFonts w:ascii="宋体" w:hAnsi="宋体" w:eastAsia="宋体"/>
                <w:color w:val="auto"/>
                <w:kern w:val="2"/>
                <w:sz w:val="21"/>
                <w:szCs w:val="21"/>
              </w:rPr>
            </w:pPr>
            <w:r>
              <w:rPr>
                <w:rFonts w:hint="eastAsia" w:ascii="宋体" w:hAnsi="宋体" w:eastAsia="宋体"/>
                <w:color w:val="auto"/>
                <w:kern w:val="2"/>
                <w:sz w:val="21"/>
                <w:szCs w:val="21"/>
              </w:rPr>
              <w:t>100</w:t>
            </w:r>
          </w:p>
        </w:tc>
      </w:tr>
      <w:tr w14:paraId="0FFD5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3514" w:type="dxa"/>
            <w:tcBorders>
              <w:top w:val="single" w:color="auto" w:sz="4" w:space="0"/>
              <w:left w:val="single" w:color="auto" w:sz="4" w:space="0"/>
              <w:bottom w:val="single" w:color="auto" w:sz="4" w:space="0"/>
              <w:right w:val="single" w:color="auto" w:sz="4" w:space="0"/>
            </w:tcBorders>
            <w:vAlign w:val="center"/>
          </w:tcPr>
          <w:p w14:paraId="46828970">
            <w:pPr>
              <w:pStyle w:val="31"/>
              <w:widowControl w:val="0"/>
              <w:spacing w:line="400" w:lineRule="exact"/>
              <w:rPr>
                <w:rFonts w:ascii="宋体" w:hAnsi="宋体" w:eastAsia="宋体"/>
                <w:color w:val="auto"/>
                <w:kern w:val="2"/>
                <w:sz w:val="21"/>
                <w:szCs w:val="21"/>
              </w:rPr>
            </w:pPr>
            <w:r>
              <w:rPr>
                <w:rFonts w:hint="eastAsia" w:ascii="宋体" w:hAnsi="宋体" w:eastAsia="宋体"/>
                <w:color w:val="auto"/>
                <w:kern w:val="2"/>
                <w:sz w:val="21"/>
                <w:szCs w:val="21"/>
              </w:rPr>
              <w:t>信息化系统维护计划完成率</w:t>
            </w:r>
          </w:p>
        </w:tc>
        <w:tc>
          <w:tcPr>
            <w:tcW w:w="1080" w:type="dxa"/>
            <w:tcBorders>
              <w:top w:val="single" w:color="auto" w:sz="4" w:space="0"/>
              <w:left w:val="single" w:color="auto" w:sz="4" w:space="0"/>
              <w:bottom w:val="single" w:color="auto" w:sz="4" w:space="0"/>
              <w:right w:val="single" w:color="auto" w:sz="4" w:space="0"/>
            </w:tcBorders>
            <w:vAlign w:val="center"/>
          </w:tcPr>
          <w:p w14:paraId="18DF72C5">
            <w:pPr>
              <w:pStyle w:val="31"/>
              <w:widowControl w:val="0"/>
              <w:spacing w:line="400" w:lineRule="exact"/>
              <w:rPr>
                <w:rFonts w:ascii="宋体" w:hAnsi="宋体" w:eastAsia="宋体"/>
                <w:color w:val="auto"/>
                <w:kern w:val="2"/>
                <w:sz w:val="21"/>
                <w:szCs w:val="21"/>
              </w:rPr>
            </w:pPr>
            <w:r>
              <w:rPr>
                <w:rFonts w:hint="eastAsia" w:ascii="宋体" w:hAnsi="宋体" w:eastAsia="宋体"/>
                <w:color w:val="auto"/>
                <w:kern w:val="2"/>
                <w:sz w:val="21"/>
                <w:szCs w:val="21"/>
              </w:rPr>
              <w:t>%</w:t>
            </w:r>
          </w:p>
        </w:tc>
        <w:tc>
          <w:tcPr>
            <w:tcW w:w="1273" w:type="dxa"/>
            <w:tcBorders>
              <w:top w:val="single" w:color="auto" w:sz="4" w:space="0"/>
              <w:left w:val="single" w:color="auto" w:sz="4" w:space="0"/>
              <w:bottom w:val="single" w:color="auto" w:sz="4" w:space="0"/>
              <w:right w:val="single" w:color="auto" w:sz="4" w:space="0"/>
            </w:tcBorders>
            <w:vAlign w:val="center"/>
          </w:tcPr>
          <w:p w14:paraId="4F42A451">
            <w:pPr>
              <w:pStyle w:val="31"/>
              <w:widowControl w:val="0"/>
              <w:spacing w:line="400" w:lineRule="exact"/>
              <w:rPr>
                <w:rFonts w:ascii="宋体" w:hAnsi="宋体" w:eastAsia="宋体"/>
                <w:color w:val="auto"/>
                <w:kern w:val="2"/>
                <w:sz w:val="21"/>
                <w:szCs w:val="21"/>
              </w:rPr>
            </w:pPr>
            <w:r>
              <w:rPr>
                <w:rFonts w:hint="eastAsia" w:ascii="宋体" w:hAnsi="宋体" w:eastAsia="宋体"/>
                <w:color w:val="auto"/>
                <w:kern w:val="2"/>
                <w:sz w:val="21"/>
                <w:szCs w:val="21"/>
              </w:rPr>
              <w:t>100</w:t>
            </w:r>
          </w:p>
        </w:tc>
        <w:tc>
          <w:tcPr>
            <w:tcW w:w="1134" w:type="dxa"/>
            <w:tcBorders>
              <w:top w:val="single" w:color="auto" w:sz="4" w:space="0"/>
              <w:left w:val="single" w:color="auto" w:sz="4" w:space="0"/>
              <w:bottom w:val="single" w:color="auto" w:sz="4" w:space="0"/>
              <w:right w:val="single" w:color="auto" w:sz="4" w:space="0"/>
            </w:tcBorders>
            <w:vAlign w:val="center"/>
          </w:tcPr>
          <w:p w14:paraId="4AA68C78">
            <w:pPr>
              <w:pStyle w:val="31"/>
              <w:widowControl w:val="0"/>
              <w:spacing w:line="400" w:lineRule="exact"/>
              <w:rPr>
                <w:rFonts w:ascii="宋体" w:hAnsi="宋体" w:eastAsia="宋体"/>
                <w:color w:val="auto"/>
                <w:kern w:val="2"/>
                <w:sz w:val="21"/>
                <w:szCs w:val="21"/>
              </w:rPr>
            </w:pPr>
            <w:r>
              <w:rPr>
                <w:rFonts w:hint="eastAsia" w:ascii="宋体" w:hAnsi="宋体" w:eastAsia="宋体"/>
                <w:color w:val="auto"/>
                <w:kern w:val="2"/>
                <w:sz w:val="21"/>
                <w:szCs w:val="21"/>
              </w:rPr>
              <w:t>100</w:t>
            </w:r>
          </w:p>
        </w:tc>
        <w:tc>
          <w:tcPr>
            <w:tcW w:w="1415" w:type="dxa"/>
            <w:tcBorders>
              <w:top w:val="single" w:color="auto" w:sz="4" w:space="0"/>
              <w:left w:val="single" w:color="auto" w:sz="4" w:space="0"/>
              <w:bottom w:val="single" w:color="auto" w:sz="4" w:space="0"/>
              <w:right w:val="single" w:color="auto" w:sz="4" w:space="0"/>
            </w:tcBorders>
            <w:vAlign w:val="center"/>
          </w:tcPr>
          <w:p w14:paraId="7267B7A6">
            <w:pPr>
              <w:pStyle w:val="31"/>
              <w:widowControl w:val="0"/>
              <w:spacing w:line="400" w:lineRule="exact"/>
              <w:rPr>
                <w:rFonts w:ascii="宋体" w:hAnsi="宋体" w:eastAsia="宋体"/>
                <w:color w:val="auto"/>
                <w:kern w:val="2"/>
                <w:sz w:val="21"/>
                <w:szCs w:val="21"/>
              </w:rPr>
            </w:pPr>
            <w:r>
              <w:rPr>
                <w:rFonts w:hint="eastAsia" w:ascii="宋体" w:hAnsi="宋体" w:eastAsia="宋体"/>
                <w:color w:val="auto"/>
                <w:kern w:val="2"/>
                <w:sz w:val="21"/>
                <w:szCs w:val="21"/>
              </w:rPr>
              <w:t>100</w:t>
            </w:r>
          </w:p>
        </w:tc>
      </w:tr>
    </w:tbl>
    <w:p w14:paraId="04E32508">
      <w:pPr>
        <w:pStyle w:val="44"/>
        <w:spacing w:before="156" w:line="360" w:lineRule="auto"/>
        <w:ind w:firstLine="0" w:firstLineChars="0"/>
        <w:rPr>
          <w:rFonts w:ascii="宋体" w:hAnsi="宋体" w:eastAsia="宋体"/>
        </w:rPr>
      </w:pPr>
      <w:r>
        <w:rPr>
          <w:rFonts w:ascii="宋体" w:hAnsi="宋体" w:eastAsia="宋体"/>
        </w:rPr>
        <w:t>b</w:t>
      </w:r>
      <w:r>
        <w:rPr>
          <w:rFonts w:hint="eastAsia" w:ascii="宋体" w:hAnsi="宋体" w:eastAsia="宋体"/>
        </w:rPr>
        <w:t>）技术资源的主要测量指标及其当前水平和趋势</w:t>
      </w:r>
    </w:p>
    <w:p w14:paraId="19104B79">
      <w:pPr>
        <w:autoSpaceDE w:val="0"/>
        <w:autoSpaceDN w:val="0"/>
        <w:adjustRightInd w:val="0"/>
        <w:spacing w:line="360" w:lineRule="auto"/>
        <w:ind w:firstLine="422" w:firstLineChars="200"/>
        <w:jc w:val="center"/>
        <w:rPr>
          <w:rFonts w:ascii="黑体" w:hAnsi="黑体" w:eastAsia="黑体" w:cs="宋体"/>
          <w:b/>
          <w:sz w:val="21"/>
          <w:szCs w:val="21"/>
        </w:rPr>
      </w:pPr>
      <w:r>
        <w:rPr>
          <w:rFonts w:hint="eastAsia" w:ascii="黑体" w:hAnsi="黑体" w:eastAsia="黑体" w:cs="宋体"/>
          <w:b/>
          <w:sz w:val="21"/>
          <w:szCs w:val="21"/>
        </w:rPr>
        <w:t>表</w:t>
      </w:r>
      <w:r>
        <w:rPr>
          <w:rFonts w:ascii="黑体" w:hAnsi="黑体" w:eastAsia="黑体" w:cs="宋体"/>
          <w:b/>
          <w:sz w:val="21"/>
          <w:szCs w:val="21"/>
        </w:rPr>
        <w:t>4.7.5-8</w:t>
      </w:r>
      <w:r>
        <w:rPr>
          <w:rFonts w:hint="eastAsia" w:ascii="黑体" w:hAnsi="黑体" w:eastAsia="黑体" w:cs="宋体"/>
          <w:b/>
          <w:sz w:val="21"/>
          <w:szCs w:val="21"/>
        </w:rPr>
        <w:t xml:space="preserve"> 技术资源结果</w:t>
      </w:r>
    </w:p>
    <w:tbl>
      <w:tblPr>
        <w:tblStyle w:val="22"/>
        <w:tblW w:w="837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739"/>
        <w:gridCol w:w="1986"/>
        <w:gridCol w:w="1796"/>
        <w:gridCol w:w="1857"/>
      </w:tblGrid>
      <w:tr w14:paraId="60C144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6" w:hRule="atLeast"/>
          <w:jc w:val="center"/>
        </w:trPr>
        <w:tc>
          <w:tcPr>
            <w:tcW w:w="2739" w:type="dxa"/>
            <w:shd w:val="clear" w:color="auto" w:fill="948A54"/>
            <w:vAlign w:val="center"/>
          </w:tcPr>
          <w:p w14:paraId="212C10D7">
            <w:pPr>
              <w:pStyle w:val="31"/>
              <w:widowControl w:val="0"/>
              <w:spacing w:line="400" w:lineRule="exact"/>
              <w:rPr>
                <w:rFonts w:ascii="宋体" w:hAnsi="宋体" w:eastAsia="宋体"/>
                <w:b/>
                <w:color w:val="auto"/>
                <w:kern w:val="2"/>
              </w:rPr>
            </w:pPr>
            <w:r>
              <w:rPr>
                <w:rFonts w:hint="eastAsia" w:ascii="宋体" w:hAnsi="宋体" w:eastAsia="宋体"/>
                <w:b/>
                <w:color w:val="auto"/>
                <w:kern w:val="2"/>
              </w:rPr>
              <w:t>项目</w:t>
            </w:r>
          </w:p>
        </w:tc>
        <w:tc>
          <w:tcPr>
            <w:tcW w:w="1986" w:type="dxa"/>
            <w:shd w:val="clear" w:color="auto" w:fill="948A54"/>
            <w:vAlign w:val="center"/>
          </w:tcPr>
          <w:p w14:paraId="328EBE34">
            <w:pPr>
              <w:pStyle w:val="31"/>
              <w:widowControl w:val="0"/>
              <w:spacing w:line="260" w:lineRule="exact"/>
              <w:rPr>
                <w:rFonts w:ascii="宋体" w:hAnsi="宋体" w:eastAsia="宋体"/>
                <w:b/>
                <w:color w:val="auto"/>
                <w:kern w:val="2"/>
              </w:rPr>
            </w:pPr>
            <w:r>
              <w:rPr>
                <w:rFonts w:hint="eastAsia" w:ascii="宋体"/>
                <w:b/>
                <w:bCs/>
                <w:spacing w:val="-4"/>
              </w:rPr>
              <w:t>202</w:t>
            </w:r>
            <w:r>
              <w:rPr>
                <w:rFonts w:hint="eastAsia" w:ascii="宋体"/>
                <w:b/>
                <w:bCs/>
                <w:spacing w:val="-4"/>
                <w:lang w:val="en-US" w:eastAsia="zh-CN"/>
              </w:rPr>
              <w:t>3</w:t>
            </w:r>
            <w:r>
              <w:rPr>
                <w:rFonts w:hint="eastAsia" w:ascii="宋体"/>
                <w:b/>
                <w:bCs/>
                <w:spacing w:val="-4"/>
              </w:rPr>
              <w:t>年</w:t>
            </w:r>
          </w:p>
        </w:tc>
        <w:tc>
          <w:tcPr>
            <w:tcW w:w="1796" w:type="dxa"/>
            <w:shd w:val="clear" w:color="auto" w:fill="948A54"/>
            <w:vAlign w:val="center"/>
          </w:tcPr>
          <w:p w14:paraId="2923B047">
            <w:pPr>
              <w:pStyle w:val="31"/>
              <w:widowControl w:val="0"/>
              <w:spacing w:line="260" w:lineRule="exact"/>
              <w:rPr>
                <w:rFonts w:ascii="宋体" w:hAnsi="宋体" w:eastAsia="宋体"/>
                <w:b/>
                <w:color w:val="auto"/>
                <w:kern w:val="2"/>
              </w:rPr>
            </w:pPr>
            <w:r>
              <w:rPr>
                <w:rFonts w:hint="eastAsia" w:ascii="宋体"/>
                <w:b/>
                <w:bCs/>
                <w:spacing w:val="-4"/>
              </w:rPr>
              <w:t>20</w:t>
            </w:r>
            <w:r>
              <w:rPr>
                <w:rFonts w:ascii="宋体"/>
                <w:b/>
                <w:bCs/>
                <w:spacing w:val="-4"/>
              </w:rPr>
              <w:t>2</w:t>
            </w:r>
            <w:r>
              <w:rPr>
                <w:rFonts w:hint="eastAsia" w:ascii="宋体"/>
                <w:b/>
                <w:bCs/>
                <w:spacing w:val="-4"/>
                <w:lang w:val="en-US" w:eastAsia="zh-CN"/>
              </w:rPr>
              <w:t>4</w:t>
            </w:r>
            <w:r>
              <w:rPr>
                <w:rFonts w:hint="eastAsia" w:ascii="宋体"/>
                <w:b/>
                <w:bCs/>
                <w:spacing w:val="-4"/>
              </w:rPr>
              <w:t>年</w:t>
            </w:r>
          </w:p>
        </w:tc>
        <w:tc>
          <w:tcPr>
            <w:tcW w:w="1857" w:type="dxa"/>
            <w:shd w:val="clear" w:color="auto" w:fill="948A54"/>
            <w:vAlign w:val="center"/>
          </w:tcPr>
          <w:p w14:paraId="592E5009">
            <w:pPr>
              <w:pStyle w:val="31"/>
              <w:widowControl w:val="0"/>
              <w:spacing w:line="260" w:lineRule="exact"/>
              <w:rPr>
                <w:rFonts w:ascii="宋体" w:hAnsi="宋体" w:eastAsia="宋体"/>
                <w:b/>
                <w:color w:val="auto"/>
                <w:kern w:val="2"/>
              </w:rPr>
            </w:pPr>
            <w:r>
              <w:rPr>
                <w:rFonts w:hint="eastAsia" w:ascii="宋体"/>
                <w:b/>
                <w:bCs/>
                <w:spacing w:val="-4"/>
              </w:rPr>
              <w:t>202</w:t>
            </w:r>
            <w:r>
              <w:rPr>
                <w:rFonts w:hint="eastAsia" w:ascii="宋体"/>
                <w:b/>
                <w:bCs/>
                <w:spacing w:val="-4"/>
                <w:lang w:val="en-US" w:eastAsia="zh-CN"/>
              </w:rPr>
              <w:t>5</w:t>
            </w:r>
            <w:r>
              <w:rPr>
                <w:rFonts w:hint="eastAsia" w:ascii="宋体"/>
                <w:b/>
                <w:bCs/>
                <w:spacing w:val="-4"/>
              </w:rPr>
              <w:t>年</w:t>
            </w:r>
          </w:p>
        </w:tc>
      </w:tr>
      <w:tr w14:paraId="2CDB49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2" w:hRule="atLeast"/>
          <w:jc w:val="center"/>
        </w:trPr>
        <w:tc>
          <w:tcPr>
            <w:tcW w:w="2739" w:type="dxa"/>
            <w:vAlign w:val="center"/>
          </w:tcPr>
          <w:p w14:paraId="7171D841">
            <w:pPr>
              <w:jc w:val="center"/>
              <w:rPr>
                <w:rFonts w:ascii="宋体" w:hAnsi="宋体"/>
              </w:rPr>
            </w:pPr>
            <w:r>
              <w:rPr>
                <w:rFonts w:ascii="宋体" w:hAnsi="宋体"/>
              </w:rPr>
              <w:t>研发投入占比（%）</w:t>
            </w:r>
          </w:p>
        </w:tc>
        <w:tc>
          <w:tcPr>
            <w:tcW w:w="1986" w:type="dxa"/>
            <w:vAlign w:val="center"/>
          </w:tcPr>
          <w:p w14:paraId="37822FAC">
            <w:pPr>
              <w:jc w:val="center"/>
              <w:rPr>
                <w:rFonts w:hint="default" w:ascii="宋体" w:hAnsi="宋体" w:eastAsia="宋体"/>
                <w:lang w:val="en-US" w:eastAsia="zh-CN"/>
              </w:rPr>
            </w:pPr>
            <w:r>
              <w:rPr>
                <w:rFonts w:hint="eastAsia" w:ascii="宋体" w:hAnsi="宋体"/>
                <w:lang w:val="en-US" w:eastAsia="zh-CN"/>
              </w:rPr>
              <w:t>5.7</w:t>
            </w:r>
          </w:p>
        </w:tc>
        <w:tc>
          <w:tcPr>
            <w:tcW w:w="1796" w:type="dxa"/>
            <w:vAlign w:val="center"/>
          </w:tcPr>
          <w:p w14:paraId="186BAF48">
            <w:pPr>
              <w:jc w:val="center"/>
              <w:rPr>
                <w:rFonts w:hint="default" w:ascii="宋体" w:hAnsi="宋体" w:eastAsia="宋体"/>
                <w:lang w:val="en-US" w:eastAsia="zh-CN"/>
              </w:rPr>
            </w:pPr>
            <w:r>
              <w:rPr>
                <w:rFonts w:hint="eastAsia" w:ascii="宋体" w:hAnsi="宋体"/>
                <w:lang w:val="en-US" w:eastAsia="zh-CN"/>
              </w:rPr>
              <w:t>7.4</w:t>
            </w:r>
          </w:p>
        </w:tc>
        <w:tc>
          <w:tcPr>
            <w:tcW w:w="1857" w:type="dxa"/>
            <w:vAlign w:val="center"/>
          </w:tcPr>
          <w:p w14:paraId="76300FCE">
            <w:pPr>
              <w:jc w:val="center"/>
              <w:rPr>
                <w:rFonts w:hint="default" w:ascii="宋体" w:hAnsi="宋体" w:eastAsia="宋体"/>
                <w:lang w:val="en-US" w:eastAsia="zh-CN"/>
              </w:rPr>
            </w:pPr>
            <w:r>
              <w:rPr>
                <w:rFonts w:hint="eastAsia" w:ascii="宋体" w:hAnsi="宋体"/>
                <w:lang w:val="en-US" w:eastAsia="zh-CN"/>
              </w:rPr>
              <w:t>7.6</w:t>
            </w:r>
          </w:p>
        </w:tc>
      </w:tr>
      <w:tr w14:paraId="197BB1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6" w:hRule="atLeast"/>
          <w:jc w:val="center"/>
        </w:trPr>
        <w:tc>
          <w:tcPr>
            <w:tcW w:w="2739" w:type="dxa"/>
            <w:vAlign w:val="center"/>
          </w:tcPr>
          <w:p w14:paraId="73B0A958">
            <w:pPr>
              <w:pStyle w:val="31"/>
              <w:widowControl w:val="0"/>
              <w:spacing w:line="400" w:lineRule="exact"/>
              <w:rPr>
                <w:rFonts w:ascii="宋体" w:hAnsi="宋体" w:eastAsia="宋体" w:cs="宋体"/>
                <w:color w:val="auto"/>
                <w:kern w:val="2"/>
                <w:sz w:val="21"/>
                <w:szCs w:val="21"/>
              </w:rPr>
            </w:pPr>
            <w:r>
              <w:rPr>
                <w:rFonts w:hint="eastAsia" w:ascii="宋体" w:hAnsi="宋体" w:eastAsia="宋体" w:cs="宋体"/>
                <w:color w:val="auto"/>
                <w:kern w:val="2"/>
                <w:sz w:val="21"/>
                <w:szCs w:val="21"/>
              </w:rPr>
              <w:t>新产品产值率/%</w:t>
            </w:r>
          </w:p>
        </w:tc>
        <w:tc>
          <w:tcPr>
            <w:tcW w:w="1986" w:type="dxa"/>
            <w:vAlign w:val="center"/>
          </w:tcPr>
          <w:p w14:paraId="5B5D8C67">
            <w:pPr>
              <w:pStyle w:val="31"/>
              <w:widowControl w:val="0"/>
              <w:spacing w:line="400" w:lineRule="exact"/>
              <w:rPr>
                <w:rFonts w:ascii="宋体" w:hAnsi="宋体" w:eastAsia="宋体"/>
                <w:color w:val="auto"/>
                <w:kern w:val="2"/>
                <w:sz w:val="21"/>
                <w:szCs w:val="21"/>
              </w:rPr>
            </w:pPr>
            <w:r>
              <w:rPr>
                <w:rFonts w:hint="eastAsia" w:ascii="宋体" w:hAnsi="宋体" w:eastAsia="宋体"/>
                <w:color w:val="auto"/>
                <w:kern w:val="2"/>
                <w:sz w:val="21"/>
                <w:szCs w:val="21"/>
              </w:rPr>
              <w:t>32.82</w:t>
            </w:r>
          </w:p>
        </w:tc>
        <w:tc>
          <w:tcPr>
            <w:tcW w:w="1796" w:type="dxa"/>
            <w:vAlign w:val="center"/>
          </w:tcPr>
          <w:p w14:paraId="2EE039F0">
            <w:pPr>
              <w:pStyle w:val="31"/>
              <w:widowControl w:val="0"/>
              <w:spacing w:line="400" w:lineRule="exact"/>
              <w:rPr>
                <w:rFonts w:ascii="宋体" w:hAnsi="宋体" w:eastAsia="宋体"/>
                <w:color w:val="auto"/>
                <w:kern w:val="2"/>
                <w:sz w:val="21"/>
                <w:szCs w:val="21"/>
              </w:rPr>
            </w:pPr>
            <w:r>
              <w:rPr>
                <w:rFonts w:hint="eastAsia" w:ascii="宋体" w:hAnsi="宋体" w:eastAsia="宋体"/>
                <w:color w:val="auto"/>
                <w:kern w:val="2"/>
                <w:sz w:val="21"/>
                <w:szCs w:val="21"/>
              </w:rPr>
              <w:t>20.72</w:t>
            </w:r>
          </w:p>
        </w:tc>
        <w:tc>
          <w:tcPr>
            <w:tcW w:w="1857" w:type="dxa"/>
            <w:vAlign w:val="center"/>
          </w:tcPr>
          <w:p w14:paraId="6B1B82F4">
            <w:pPr>
              <w:pStyle w:val="31"/>
              <w:widowControl w:val="0"/>
              <w:spacing w:line="400" w:lineRule="exact"/>
              <w:rPr>
                <w:rFonts w:ascii="宋体" w:hAnsi="宋体" w:eastAsia="宋体"/>
                <w:color w:val="auto"/>
                <w:kern w:val="2"/>
                <w:sz w:val="21"/>
                <w:szCs w:val="21"/>
              </w:rPr>
            </w:pPr>
            <w:r>
              <w:rPr>
                <w:rFonts w:hint="eastAsia" w:ascii="宋体" w:hAnsi="宋体" w:eastAsia="宋体"/>
                <w:color w:val="auto"/>
                <w:kern w:val="2"/>
                <w:sz w:val="21"/>
                <w:szCs w:val="21"/>
              </w:rPr>
              <w:t>21.21</w:t>
            </w:r>
          </w:p>
        </w:tc>
      </w:tr>
    </w:tbl>
    <w:p w14:paraId="3955FDEE">
      <w:pPr>
        <w:pStyle w:val="44"/>
        <w:spacing w:before="156" w:line="360" w:lineRule="auto"/>
        <w:ind w:firstLine="0" w:firstLineChars="0"/>
        <w:rPr>
          <w:rFonts w:ascii="宋体" w:hAnsi="宋体" w:eastAsia="宋体"/>
          <w:sz w:val="28"/>
          <w:szCs w:val="28"/>
        </w:rPr>
      </w:pPr>
      <w:r>
        <w:rPr>
          <w:rFonts w:ascii="宋体" w:hAnsi="宋体" w:eastAsia="宋体"/>
        </w:rPr>
        <w:t>c</w:t>
      </w:r>
      <w:r>
        <w:rPr>
          <w:rFonts w:hint="eastAsia" w:ascii="宋体" w:hAnsi="宋体" w:eastAsia="宋体"/>
        </w:rPr>
        <w:t>）基础设施资源的主要测量指标及其当前水平和趋势</w:t>
      </w:r>
    </w:p>
    <w:p w14:paraId="32FB594C">
      <w:pPr>
        <w:autoSpaceDE w:val="0"/>
        <w:autoSpaceDN w:val="0"/>
        <w:adjustRightInd w:val="0"/>
        <w:spacing w:line="360" w:lineRule="auto"/>
        <w:ind w:firstLine="422" w:firstLineChars="200"/>
        <w:jc w:val="center"/>
        <w:rPr>
          <w:rFonts w:ascii="黑体" w:hAnsi="黑体" w:eastAsia="黑体" w:cs="宋体"/>
          <w:b/>
          <w:sz w:val="21"/>
          <w:szCs w:val="21"/>
        </w:rPr>
      </w:pPr>
      <w:r>
        <w:rPr>
          <w:rFonts w:hint="eastAsia" w:ascii="黑体" w:hAnsi="黑体" w:eastAsia="黑体" w:cs="宋体"/>
          <w:b/>
          <w:sz w:val="21"/>
          <w:szCs w:val="21"/>
        </w:rPr>
        <w:t>表</w:t>
      </w:r>
      <w:r>
        <w:rPr>
          <w:rFonts w:ascii="黑体" w:hAnsi="黑体" w:eastAsia="黑体" w:cs="宋体"/>
          <w:b/>
          <w:sz w:val="21"/>
          <w:szCs w:val="21"/>
        </w:rPr>
        <w:t>4.7.5-</w:t>
      </w:r>
      <w:r>
        <w:rPr>
          <w:rFonts w:hint="eastAsia" w:ascii="黑体" w:hAnsi="黑体" w:eastAsia="黑体" w:cs="宋体"/>
          <w:b/>
          <w:sz w:val="21"/>
          <w:szCs w:val="21"/>
        </w:rPr>
        <w:t>9 基础设施结果</w:t>
      </w:r>
    </w:p>
    <w:tbl>
      <w:tblPr>
        <w:tblStyle w:val="22"/>
        <w:tblW w:w="839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063"/>
        <w:gridCol w:w="1466"/>
        <w:gridCol w:w="1418"/>
        <w:gridCol w:w="1443"/>
      </w:tblGrid>
      <w:tr w14:paraId="659FBD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jc w:val="center"/>
        </w:trPr>
        <w:tc>
          <w:tcPr>
            <w:tcW w:w="4063" w:type="dxa"/>
            <w:shd w:val="clear" w:color="auto" w:fill="948A54"/>
            <w:vAlign w:val="center"/>
          </w:tcPr>
          <w:p w14:paraId="6F9D772C">
            <w:pPr>
              <w:pStyle w:val="31"/>
              <w:widowControl w:val="0"/>
              <w:spacing w:line="400" w:lineRule="exact"/>
              <w:rPr>
                <w:rFonts w:ascii="宋体" w:hAnsi="宋体" w:eastAsia="宋体"/>
                <w:b/>
                <w:color w:val="auto"/>
                <w:kern w:val="2"/>
              </w:rPr>
            </w:pPr>
            <w:r>
              <w:rPr>
                <w:rFonts w:hint="eastAsia" w:ascii="宋体" w:hAnsi="宋体" w:eastAsia="宋体"/>
                <w:b/>
                <w:color w:val="auto"/>
                <w:kern w:val="2"/>
                <w:sz w:val="21"/>
                <w:szCs w:val="21"/>
              </w:rPr>
              <w:t>指标</w:t>
            </w:r>
          </w:p>
        </w:tc>
        <w:tc>
          <w:tcPr>
            <w:tcW w:w="1466" w:type="dxa"/>
            <w:shd w:val="clear" w:color="auto" w:fill="948A54"/>
            <w:vAlign w:val="center"/>
          </w:tcPr>
          <w:p w14:paraId="06F1C687">
            <w:pPr>
              <w:pStyle w:val="31"/>
              <w:widowControl w:val="0"/>
              <w:spacing w:line="260" w:lineRule="exact"/>
              <w:rPr>
                <w:rFonts w:ascii="宋体" w:hAnsi="宋体" w:eastAsia="宋体"/>
                <w:b/>
                <w:color w:val="auto"/>
                <w:kern w:val="2"/>
              </w:rPr>
            </w:pPr>
            <w:r>
              <w:rPr>
                <w:rFonts w:hint="eastAsia" w:ascii="宋体" w:hAnsi="宋体" w:eastAsia="宋体"/>
                <w:b/>
                <w:color w:val="auto"/>
                <w:kern w:val="2"/>
                <w:sz w:val="21"/>
                <w:szCs w:val="21"/>
              </w:rPr>
              <w:t>202</w:t>
            </w:r>
            <w:r>
              <w:rPr>
                <w:rFonts w:hint="eastAsia" w:ascii="宋体" w:hAnsi="宋体" w:eastAsia="宋体"/>
                <w:b/>
                <w:color w:val="auto"/>
                <w:kern w:val="2"/>
                <w:sz w:val="21"/>
                <w:szCs w:val="21"/>
                <w:lang w:val="en-US" w:eastAsia="zh-CN"/>
              </w:rPr>
              <w:t>3</w:t>
            </w:r>
            <w:r>
              <w:rPr>
                <w:rFonts w:hint="eastAsia" w:ascii="宋体" w:hAnsi="宋体" w:eastAsia="宋体"/>
                <w:b/>
                <w:color w:val="auto"/>
                <w:kern w:val="2"/>
                <w:sz w:val="21"/>
                <w:szCs w:val="21"/>
              </w:rPr>
              <w:t>年</w:t>
            </w:r>
          </w:p>
        </w:tc>
        <w:tc>
          <w:tcPr>
            <w:tcW w:w="1418" w:type="dxa"/>
            <w:shd w:val="clear" w:color="auto" w:fill="948A54"/>
            <w:vAlign w:val="center"/>
          </w:tcPr>
          <w:p w14:paraId="0459E01F">
            <w:pPr>
              <w:pStyle w:val="31"/>
              <w:widowControl w:val="0"/>
              <w:spacing w:line="260" w:lineRule="exact"/>
              <w:rPr>
                <w:rFonts w:ascii="宋体" w:hAnsi="宋体" w:eastAsia="宋体"/>
                <w:b/>
                <w:color w:val="auto"/>
                <w:kern w:val="2"/>
              </w:rPr>
            </w:pPr>
            <w:r>
              <w:rPr>
                <w:rFonts w:hint="eastAsia" w:ascii="宋体" w:hAnsi="宋体" w:eastAsia="宋体"/>
                <w:b/>
                <w:color w:val="auto"/>
                <w:kern w:val="2"/>
                <w:sz w:val="21"/>
                <w:szCs w:val="21"/>
              </w:rPr>
              <w:t>202</w:t>
            </w:r>
            <w:r>
              <w:rPr>
                <w:rFonts w:hint="eastAsia" w:ascii="宋体" w:hAnsi="宋体" w:eastAsia="宋体"/>
                <w:b/>
                <w:color w:val="auto"/>
                <w:kern w:val="2"/>
                <w:sz w:val="21"/>
                <w:szCs w:val="21"/>
                <w:lang w:val="en-US" w:eastAsia="zh-CN"/>
              </w:rPr>
              <w:t>4</w:t>
            </w:r>
            <w:r>
              <w:rPr>
                <w:rFonts w:hint="eastAsia" w:ascii="宋体" w:hAnsi="宋体" w:eastAsia="宋体"/>
                <w:b/>
                <w:color w:val="auto"/>
                <w:kern w:val="2"/>
                <w:sz w:val="21"/>
                <w:szCs w:val="21"/>
              </w:rPr>
              <w:t>年</w:t>
            </w:r>
          </w:p>
        </w:tc>
        <w:tc>
          <w:tcPr>
            <w:tcW w:w="1443" w:type="dxa"/>
            <w:shd w:val="clear" w:color="auto" w:fill="948A54"/>
            <w:vAlign w:val="center"/>
          </w:tcPr>
          <w:p w14:paraId="06F7A5C9">
            <w:pPr>
              <w:pStyle w:val="31"/>
              <w:widowControl w:val="0"/>
              <w:spacing w:line="260" w:lineRule="exact"/>
              <w:rPr>
                <w:rFonts w:ascii="宋体" w:hAnsi="宋体" w:eastAsia="宋体"/>
                <w:b/>
                <w:color w:val="auto"/>
                <w:kern w:val="2"/>
              </w:rPr>
            </w:pPr>
            <w:r>
              <w:rPr>
                <w:rFonts w:hint="eastAsia" w:ascii="宋体" w:hAnsi="宋体" w:eastAsia="宋体"/>
                <w:b/>
                <w:color w:val="auto"/>
                <w:kern w:val="2"/>
                <w:sz w:val="21"/>
                <w:szCs w:val="21"/>
              </w:rPr>
              <w:t>202</w:t>
            </w:r>
            <w:r>
              <w:rPr>
                <w:rFonts w:hint="eastAsia" w:ascii="宋体" w:hAnsi="宋体" w:eastAsia="宋体"/>
                <w:b/>
                <w:color w:val="auto"/>
                <w:kern w:val="2"/>
                <w:sz w:val="21"/>
                <w:szCs w:val="21"/>
                <w:lang w:val="en-US" w:eastAsia="zh-CN"/>
              </w:rPr>
              <w:t>5</w:t>
            </w:r>
            <w:r>
              <w:rPr>
                <w:rFonts w:hint="eastAsia" w:ascii="宋体" w:hAnsi="宋体" w:eastAsia="宋体"/>
                <w:b/>
                <w:color w:val="auto"/>
                <w:kern w:val="2"/>
                <w:sz w:val="21"/>
                <w:szCs w:val="21"/>
              </w:rPr>
              <w:t>年</w:t>
            </w:r>
          </w:p>
        </w:tc>
      </w:tr>
      <w:tr w14:paraId="12CCBB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063" w:type="dxa"/>
          </w:tcPr>
          <w:p w14:paraId="3C247BEE">
            <w:pPr>
              <w:pStyle w:val="31"/>
              <w:widowControl w:val="0"/>
              <w:spacing w:line="400" w:lineRule="exact"/>
              <w:rPr>
                <w:rFonts w:ascii="宋体" w:hAnsi="宋体" w:eastAsia="宋体"/>
                <w:color w:val="auto"/>
                <w:kern w:val="2"/>
                <w:sz w:val="21"/>
                <w:szCs w:val="21"/>
              </w:rPr>
            </w:pPr>
            <w:r>
              <w:rPr>
                <w:rFonts w:hint="eastAsia" w:ascii="宋体" w:hAnsi="宋体" w:eastAsia="宋体"/>
                <w:color w:val="auto"/>
                <w:kern w:val="2"/>
                <w:sz w:val="21"/>
                <w:szCs w:val="21"/>
              </w:rPr>
              <w:t>设备维护保养完成率</w:t>
            </w:r>
          </w:p>
        </w:tc>
        <w:tc>
          <w:tcPr>
            <w:tcW w:w="1466" w:type="dxa"/>
          </w:tcPr>
          <w:p w14:paraId="5EB33BFD">
            <w:pPr>
              <w:jc w:val="center"/>
              <w:rPr>
                <w:rFonts w:ascii="宋体" w:hAnsi="宋体"/>
                <w:kern w:val="2"/>
                <w:sz w:val="21"/>
                <w:szCs w:val="21"/>
              </w:rPr>
            </w:pPr>
            <w:r>
              <w:rPr>
                <w:rFonts w:hint="eastAsia" w:ascii="宋体" w:hAnsi="宋体"/>
                <w:kern w:val="2"/>
                <w:sz w:val="21"/>
                <w:szCs w:val="21"/>
              </w:rPr>
              <w:t>1</w:t>
            </w:r>
            <w:r>
              <w:rPr>
                <w:rFonts w:ascii="宋体" w:hAnsi="宋体"/>
                <w:kern w:val="2"/>
                <w:sz w:val="21"/>
                <w:szCs w:val="21"/>
              </w:rPr>
              <w:t>00</w:t>
            </w:r>
          </w:p>
        </w:tc>
        <w:tc>
          <w:tcPr>
            <w:tcW w:w="1418" w:type="dxa"/>
          </w:tcPr>
          <w:p w14:paraId="1D1153A5">
            <w:pPr>
              <w:jc w:val="center"/>
              <w:rPr>
                <w:rFonts w:ascii="宋体" w:hAnsi="宋体"/>
                <w:kern w:val="2"/>
                <w:sz w:val="21"/>
                <w:szCs w:val="21"/>
              </w:rPr>
            </w:pPr>
            <w:r>
              <w:rPr>
                <w:rFonts w:ascii="宋体" w:hAnsi="宋体"/>
                <w:kern w:val="2"/>
                <w:sz w:val="21"/>
                <w:szCs w:val="21"/>
              </w:rPr>
              <w:t>100</w:t>
            </w:r>
          </w:p>
        </w:tc>
        <w:tc>
          <w:tcPr>
            <w:tcW w:w="1443" w:type="dxa"/>
          </w:tcPr>
          <w:p w14:paraId="3CC2A8A6">
            <w:pPr>
              <w:jc w:val="center"/>
              <w:rPr>
                <w:rFonts w:ascii="宋体" w:hAnsi="宋体"/>
                <w:kern w:val="2"/>
                <w:sz w:val="21"/>
                <w:szCs w:val="21"/>
              </w:rPr>
            </w:pPr>
            <w:r>
              <w:rPr>
                <w:rFonts w:ascii="宋体" w:hAnsi="宋体"/>
                <w:kern w:val="2"/>
                <w:sz w:val="21"/>
                <w:szCs w:val="21"/>
              </w:rPr>
              <w:t>100</w:t>
            </w:r>
          </w:p>
        </w:tc>
      </w:tr>
      <w:tr w14:paraId="62E420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063" w:type="dxa"/>
          </w:tcPr>
          <w:p w14:paraId="5346C25D">
            <w:pPr>
              <w:pStyle w:val="31"/>
              <w:widowControl w:val="0"/>
              <w:spacing w:line="400" w:lineRule="exact"/>
              <w:rPr>
                <w:rFonts w:ascii="宋体" w:hAnsi="宋体" w:eastAsia="宋体"/>
                <w:color w:val="auto"/>
                <w:kern w:val="2"/>
                <w:sz w:val="21"/>
                <w:szCs w:val="21"/>
              </w:rPr>
            </w:pPr>
            <w:r>
              <w:rPr>
                <w:rFonts w:hint="eastAsia" w:ascii="宋体" w:hAnsi="宋体" w:eastAsia="宋体"/>
                <w:color w:val="auto"/>
                <w:kern w:val="2"/>
                <w:sz w:val="21"/>
                <w:szCs w:val="21"/>
              </w:rPr>
              <w:t>设备完好率</w:t>
            </w:r>
          </w:p>
        </w:tc>
        <w:tc>
          <w:tcPr>
            <w:tcW w:w="1466" w:type="dxa"/>
          </w:tcPr>
          <w:p w14:paraId="5C9B506F">
            <w:pPr>
              <w:jc w:val="center"/>
              <w:rPr>
                <w:rFonts w:hint="eastAsia" w:ascii="宋体" w:hAnsi="宋体" w:eastAsia="宋体"/>
                <w:kern w:val="2"/>
                <w:sz w:val="21"/>
                <w:szCs w:val="21"/>
                <w:lang w:eastAsia="zh-CN"/>
              </w:rPr>
            </w:pPr>
            <w:r>
              <w:rPr>
                <w:rFonts w:ascii="宋体" w:hAnsi="宋体"/>
                <w:kern w:val="2"/>
                <w:sz w:val="21"/>
                <w:szCs w:val="21"/>
              </w:rPr>
              <w:t>9</w:t>
            </w:r>
            <w:r>
              <w:rPr>
                <w:rFonts w:hint="eastAsia" w:ascii="宋体" w:hAnsi="宋体"/>
                <w:kern w:val="2"/>
                <w:sz w:val="21"/>
                <w:szCs w:val="21"/>
                <w:lang w:val="en-US" w:eastAsia="zh-CN"/>
              </w:rPr>
              <w:t>2</w:t>
            </w:r>
          </w:p>
        </w:tc>
        <w:tc>
          <w:tcPr>
            <w:tcW w:w="1418" w:type="dxa"/>
          </w:tcPr>
          <w:p w14:paraId="4D69ACAE">
            <w:pPr>
              <w:jc w:val="center"/>
              <w:rPr>
                <w:rFonts w:hint="eastAsia" w:ascii="宋体" w:hAnsi="宋体" w:eastAsia="宋体"/>
                <w:kern w:val="2"/>
                <w:sz w:val="21"/>
                <w:szCs w:val="21"/>
                <w:lang w:eastAsia="zh-CN"/>
              </w:rPr>
            </w:pPr>
            <w:r>
              <w:rPr>
                <w:rFonts w:hint="eastAsia" w:ascii="宋体" w:hAnsi="宋体"/>
                <w:kern w:val="2"/>
                <w:sz w:val="21"/>
                <w:szCs w:val="21"/>
              </w:rPr>
              <w:t>9</w:t>
            </w:r>
            <w:r>
              <w:rPr>
                <w:rFonts w:hint="eastAsia" w:ascii="宋体" w:hAnsi="宋体"/>
                <w:kern w:val="2"/>
                <w:sz w:val="21"/>
                <w:szCs w:val="21"/>
                <w:lang w:val="en-US" w:eastAsia="zh-CN"/>
              </w:rPr>
              <w:t>4</w:t>
            </w:r>
          </w:p>
        </w:tc>
        <w:tc>
          <w:tcPr>
            <w:tcW w:w="1443" w:type="dxa"/>
          </w:tcPr>
          <w:p w14:paraId="6A1280CD">
            <w:pPr>
              <w:jc w:val="center"/>
              <w:rPr>
                <w:rFonts w:hint="eastAsia" w:ascii="宋体" w:hAnsi="宋体" w:eastAsia="宋体"/>
                <w:kern w:val="2"/>
                <w:sz w:val="21"/>
                <w:szCs w:val="21"/>
                <w:lang w:eastAsia="zh-CN"/>
              </w:rPr>
            </w:pPr>
            <w:r>
              <w:rPr>
                <w:rFonts w:hint="eastAsia" w:ascii="宋体" w:hAnsi="宋体"/>
                <w:kern w:val="2"/>
                <w:sz w:val="21"/>
                <w:szCs w:val="21"/>
              </w:rPr>
              <w:t>9</w:t>
            </w:r>
            <w:r>
              <w:rPr>
                <w:rFonts w:hint="eastAsia" w:ascii="宋体" w:hAnsi="宋体"/>
                <w:kern w:val="2"/>
                <w:sz w:val="21"/>
                <w:szCs w:val="21"/>
                <w:lang w:val="en-US" w:eastAsia="zh-CN"/>
              </w:rPr>
              <w:t>6</w:t>
            </w:r>
          </w:p>
        </w:tc>
      </w:tr>
    </w:tbl>
    <w:p w14:paraId="64BBC06B">
      <w:pPr>
        <w:pStyle w:val="44"/>
        <w:spacing w:before="156" w:line="360" w:lineRule="auto"/>
        <w:ind w:firstLine="0" w:firstLineChars="0"/>
        <w:rPr>
          <w:rFonts w:ascii="宋体" w:hAnsi="宋体" w:eastAsia="宋体"/>
          <w:sz w:val="28"/>
          <w:szCs w:val="28"/>
        </w:rPr>
      </w:pPr>
      <w:r>
        <w:rPr>
          <w:rFonts w:ascii="宋体" w:hAnsi="宋体" w:eastAsia="宋体"/>
        </w:rPr>
        <w:t>d</w:t>
      </w:r>
      <w:r>
        <w:rPr>
          <w:rFonts w:hint="eastAsia" w:ascii="宋体" w:hAnsi="宋体" w:eastAsia="宋体"/>
        </w:rPr>
        <w:t>）相关方关系资源的主要测量指标及其当前水平和趋势</w:t>
      </w:r>
    </w:p>
    <w:p w14:paraId="11D1C122">
      <w:pPr>
        <w:autoSpaceDE w:val="0"/>
        <w:autoSpaceDN w:val="0"/>
        <w:adjustRightInd w:val="0"/>
        <w:spacing w:line="360" w:lineRule="auto"/>
        <w:ind w:firstLine="422" w:firstLineChars="200"/>
        <w:jc w:val="center"/>
        <w:rPr>
          <w:rFonts w:ascii="黑体" w:hAnsi="黑体" w:eastAsia="黑体" w:cs="宋体"/>
          <w:b/>
          <w:sz w:val="21"/>
          <w:szCs w:val="21"/>
        </w:rPr>
      </w:pPr>
      <w:r>
        <w:rPr>
          <w:rFonts w:hint="eastAsia" w:ascii="黑体" w:hAnsi="黑体" w:eastAsia="黑体" w:cs="宋体"/>
          <w:b/>
          <w:sz w:val="21"/>
          <w:szCs w:val="21"/>
        </w:rPr>
        <w:t>表</w:t>
      </w:r>
      <w:r>
        <w:rPr>
          <w:rFonts w:ascii="黑体" w:hAnsi="黑体" w:eastAsia="黑体" w:cs="宋体"/>
          <w:b/>
          <w:sz w:val="21"/>
          <w:szCs w:val="21"/>
        </w:rPr>
        <w:t>4.7.5-</w:t>
      </w:r>
      <w:r>
        <w:rPr>
          <w:rFonts w:hint="eastAsia" w:ascii="黑体" w:hAnsi="黑体" w:eastAsia="黑体" w:cs="宋体"/>
          <w:b/>
          <w:sz w:val="21"/>
          <w:szCs w:val="21"/>
        </w:rPr>
        <w:t>10 相关方关系资源结果</w:t>
      </w:r>
    </w:p>
    <w:tbl>
      <w:tblPr>
        <w:tblStyle w:val="22"/>
        <w:tblW w:w="825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749"/>
        <w:gridCol w:w="1469"/>
        <w:gridCol w:w="1559"/>
        <w:gridCol w:w="1474"/>
      </w:tblGrid>
      <w:tr w14:paraId="6FD51B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5" w:hRule="atLeast"/>
          <w:jc w:val="center"/>
        </w:trPr>
        <w:tc>
          <w:tcPr>
            <w:tcW w:w="3749" w:type="dxa"/>
            <w:shd w:val="clear" w:color="auto" w:fill="948A54"/>
            <w:vAlign w:val="center"/>
          </w:tcPr>
          <w:p w14:paraId="36EAFD49">
            <w:pPr>
              <w:pStyle w:val="31"/>
              <w:widowControl w:val="0"/>
              <w:spacing w:line="400" w:lineRule="exact"/>
              <w:rPr>
                <w:rFonts w:ascii="宋体" w:hAnsi="宋体" w:eastAsia="宋体"/>
                <w:b/>
                <w:color w:val="auto"/>
                <w:kern w:val="2"/>
              </w:rPr>
            </w:pPr>
            <w:r>
              <w:rPr>
                <w:rFonts w:hint="eastAsia" w:ascii="宋体" w:hAnsi="宋体" w:eastAsia="宋体"/>
                <w:b/>
                <w:color w:val="auto"/>
                <w:kern w:val="2"/>
              </w:rPr>
              <w:t>项目</w:t>
            </w:r>
          </w:p>
        </w:tc>
        <w:tc>
          <w:tcPr>
            <w:tcW w:w="1469" w:type="dxa"/>
            <w:shd w:val="clear" w:color="auto" w:fill="948A54"/>
            <w:vAlign w:val="center"/>
          </w:tcPr>
          <w:p w14:paraId="70039B61">
            <w:pPr>
              <w:pStyle w:val="31"/>
              <w:widowControl w:val="0"/>
              <w:spacing w:line="260" w:lineRule="exact"/>
              <w:rPr>
                <w:rFonts w:ascii="宋体" w:hAnsi="宋体" w:eastAsia="宋体"/>
                <w:b/>
                <w:color w:val="auto"/>
                <w:kern w:val="2"/>
              </w:rPr>
            </w:pPr>
            <w:r>
              <w:rPr>
                <w:rFonts w:hint="eastAsia" w:ascii="宋体" w:hAnsi="宋体" w:eastAsia="宋体"/>
                <w:b/>
                <w:color w:val="auto"/>
                <w:kern w:val="2"/>
                <w:sz w:val="21"/>
                <w:szCs w:val="21"/>
              </w:rPr>
              <w:t>202</w:t>
            </w:r>
            <w:r>
              <w:rPr>
                <w:rFonts w:hint="eastAsia" w:ascii="宋体" w:hAnsi="宋体" w:eastAsia="宋体"/>
                <w:b/>
                <w:color w:val="auto"/>
                <w:kern w:val="2"/>
                <w:sz w:val="21"/>
                <w:szCs w:val="21"/>
                <w:lang w:val="en-US" w:eastAsia="zh-CN"/>
              </w:rPr>
              <w:t>3</w:t>
            </w:r>
            <w:r>
              <w:rPr>
                <w:rFonts w:hint="eastAsia" w:ascii="宋体" w:hAnsi="宋体" w:eastAsia="宋体"/>
                <w:b/>
                <w:color w:val="auto"/>
                <w:kern w:val="2"/>
                <w:sz w:val="21"/>
                <w:szCs w:val="21"/>
              </w:rPr>
              <w:t>年</w:t>
            </w:r>
          </w:p>
        </w:tc>
        <w:tc>
          <w:tcPr>
            <w:tcW w:w="1559" w:type="dxa"/>
            <w:shd w:val="clear" w:color="auto" w:fill="948A54"/>
            <w:vAlign w:val="center"/>
          </w:tcPr>
          <w:p w14:paraId="556CCB7A">
            <w:pPr>
              <w:pStyle w:val="31"/>
              <w:widowControl w:val="0"/>
              <w:spacing w:line="260" w:lineRule="exact"/>
              <w:rPr>
                <w:rFonts w:ascii="宋体" w:hAnsi="宋体" w:eastAsia="宋体"/>
                <w:b/>
                <w:color w:val="auto"/>
                <w:kern w:val="2"/>
              </w:rPr>
            </w:pPr>
            <w:r>
              <w:rPr>
                <w:rFonts w:hint="eastAsia" w:ascii="宋体" w:hAnsi="宋体" w:eastAsia="宋体"/>
                <w:b/>
                <w:color w:val="auto"/>
                <w:kern w:val="2"/>
                <w:sz w:val="21"/>
                <w:szCs w:val="21"/>
              </w:rPr>
              <w:t>20</w:t>
            </w:r>
            <w:r>
              <w:rPr>
                <w:rFonts w:ascii="宋体" w:hAnsi="宋体" w:eastAsia="宋体"/>
                <w:b/>
                <w:color w:val="auto"/>
                <w:kern w:val="2"/>
                <w:sz w:val="21"/>
                <w:szCs w:val="21"/>
              </w:rPr>
              <w:t>2</w:t>
            </w:r>
            <w:r>
              <w:rPr>
                <w:rFonts w:hint="eastAsia" w:ascii="宋体" w:hAnsi="宋体" w:eastAsia="宋体"/>
                <w:b/>
                <w:color w:val="auto"/>
                <w:kern w:val="2"/>
                <w:sz w:val="21"/>
                <w:szCs w:val="21"/>
                <w:lang w:val="en-US" w:eastAsia="zh-CN"/>
              </w:rPr>
              <w:t>4</w:t>
            </w:r>
            <w:r>
              <w:rPr>
                <w:rFonts w:hint="eastAsia" w:ascii="宋体" w:hAnsi="宋体" w:eastAsia="宋体"/>
                <w:b/>
                <w:color w:val="auto"/>
                <w:kern w:val="2"/>
                <w:sz w:val="21"/>
                <w:szCs w:val="21"/>
              </w:rPr>
              <w:t>年</w:t>
            </w:r>
          </w:p>
        </w:tc>
        <w:tc>
          <w:tcPr>
            <w:tcW w:w="1474" w:type="dxa"/>
            <w:shd w:val="clear" w:color="auto" w:fill="948A54"/>
            <w:vAlign w:val="center"/>
          </w:tcPr>
          <w:p w14:paraId="49C6EF3F">
            <w:pPr>
              <w:pStyle w:val="31"/>
              <w:widowControl w:val="0"/>
              <w:spacing w:line="260" w:lineRule="exact"/>
              <w:rPr>
                <w:rFonts w:ascii="宋体" w:hAnsi="宋体" w:eastAsia="宋体"/>
                <w:b/>
                <w:color w:val="auto"/>
                <w:kern w:val="2"/>
              </w:rPr>
            </w:pPr>
            <w:r>
              <w:rPr>
                <w:rFonts w:hint="eastAsia" w:ascii="宋体" w:hAnsi="宋体" w:eastAsia="宋体"/>
                <w:b/>
                <w:color w:val="auto"/>
                <w:kern w:val="2"/>
                <w:sz w:val="21"/>
                <w:szCs w:val="21"/>
              </w:rPr>
              <w:t>202</w:t>
            </w:r>
            <w:r>
              <w:rPr>
                <w:rFonts w:hint="eastAsia" w:ascii="宋体" w:hAnsi="宋体" w:eastAsia="宋体"/>
                <w:b/>
                <w:color w:val="auto"/>
                <w:kern w:val="2"/>
                <w:sz w:val="21"/>
                <w:szCs w:val="21"/>
                <w:lang w:val="en-US" w:eastAsia="zh-CN"/>
              </w:rPr>
              <w:t>5</w:t>
            </w:r>
            <w:r>
              <w:rPr>
                <w:rFonts w:hint="eastAsia" w:ascii="宋体" w:hAnsi="宋体" w:eastAsia="宋体"/>
                <w:b/>
                <w:color w:val="auto"/>
                <w:kern w:val="2"/>
                <w:sz w:val="21"/>
                <w:szCs w:val="21"/>
              </w:rPr>
              <w:t>年</w:t>
            </w:r>
          </w:p>
        </w:tc>
      </w:tr>
      <w:tr w14:paraId="0406C2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9" w:hRule="atLeast"/>
          <w:jc w:val="center"/>
        </w:trPr>
        <w:tc>
          <w:tcPr>
            <w:tcW w:w="3749" w:type="dxa"/>
            <w:shd w:val="clear" w:color="auto" w:fill="FFFFFF"/>
            <w:vAlign w:val="center"/>
          </w:tcPr>
          <w:p w14:paraId="5D835E82">
            <w:pPr>
              <w:pStyle w:val="31"/>
              <w:widowControl w:val="0"/>
              <w:spacing w:line="400" w:lineRule="exact"/>
              <w:rPr>
                <w:rFonts w:ascii="宋体" w:hAnsi="宋体" w:eastAsia="宋体"/>
                <w:color w:val="auto"/>
                <w:kern w:val="2"/>
                <w:sz w:val="21"/>
                <w:szCs w:val="21"/>
              </w:rPr>
            </w:pPr>
            <w:r>
              <w:rPr>
                <w:rFonts w:hint="eastAsia" w:ascii="宋体" w:hAnsi="宋体" w:eastAsia="宋体"/>
                <w:color w:val="auto"/>
                <w:kern w:val="2"/>
                <w:sz w:val="21"/>
                <w:szCs w:val="21"/>
              </w:rPr>
              <w:t>重要供应商数量/个</w:t>
            </w:r>
          </w:p>
        </w:tc>
        <w:tc>
          <w:tcPr>
            <w:tcW w:w="1469" w:type="dxa"/>
            <w:shd w:val="clear" w:color="auto" w:fill="FFFFFF"/>
            <w:vAlign w:val="center"/>
          </w:tcPr>
          <w:p w14:paraId="13CD8F99">
            <w:pPr>
              <w:pStyle w:val="31"/>
              <w:widowControl w:val="0"/>
              <w:rPr>
                <w:rFonts w:ascii="宋体" w:hAnsi="宋体" w:eastAsia="宋体"/>
                <w:color w:val="auto"/>
                <w:kern w:val="2"/>
                <w:sz w:val="21"/>
              </w:rPr>
            </w:pPr>
            <w:r>
              <w:rPr>
                <w:rFonts w:hint="eastAsia" w:ascii="宋体" w:hAnsi="宋体" w:eastAsia="宋体"/>
                <w:color w:val="auto"/>
                <w:kern w:val="2"/>
                <w:sz w:val="21"/>
              </w:rPr>
              <w:t>3</w:t>
            </w:r>
          </w:p>
        </w:tc>
        <w:tc>
          <w:tcPr>
            <w:tcW w:w="1559" w:type="dxa"/>
            <w:shd w:val="clear" w:color="auto" w:fill="FFFFFF"/>
            <w:vAlign w:val="center"/>
          </w:tcPr>
          <w:p w14:paraId="500AA969">
            <w:pPr>
              <w:pStyle w:val="31"/>
              <w:widowControl w:val="0"/>
              <w:rPr>
                <w:rFonts w:ascii="宋体" w:hAnsi="宋体" w:eastAsia="宋体"/>
                <w:color w:val="auto"/>
                <w:kern w:val="2"/>
                <w:sz w:val="21"/>
              </w:rPr>
            </w:pPr>
            <w:r>
              <w:rPr>
                <w:rFonts w:hint="eastAsia" w:ascii="宋体" w:hAnsi="宋体" w:eastAsia="宋体"/>
                <w:color w:val="auto"/>
                <w:kern w:val="2"/>
                <w:sz w:val="21"/>
              </w:rPr>
              <w:t>4</w:t>
            </w:r>
          </w:p>
        </w:tc>
        <w:tc>
          <w:tcPr>
            <w:tcW w:w="1474" w:type="dxa"/>
            <w:shd w:val="clear" w:color="auto" w:fill="FFFFFF"/>
            <w:vAlign w:val="center"/>
          </w:tcPr>
          <w:p w14:paraId="44121043">
            <w:pPr>
              <w:pStyle w:val="31"/>
              <w:widowControl w:val="0"/>
              <w:rPr>
                <w:rFonts w:ascii="宋体" w:hAnsi="宋体" w:eastAsia="宋体"/>
                <w:color w:val="auto"/>
                <w:kern w:val="2"/>
                <w:sz w:val="21"/>
              </w:rPr>
            </w:pPr>
            <w:r>
              <w:rPr>
                <w:rFonts w:hint="eastAsia" w:ascii="宋体" w:hAnsi="宋体" w:eastAsia="宋体"/>
                <w:color w:val="auto"/>
                <w:kern w:val="2"/>
                <w:sz w:val="21"/>
              </w:rPr>
              <w:t>7</w:t>
            </w:r>
          </w:p>
        </w:tc>
      </w:tr>
      <w:tr w14:paraId="2D7276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6" w:hRule="atLeast"/>
          <w:jc w:val="center"/>
        </w:trPr>
        <w:tc>
          <w:tcPr>
            <w:tcW w:w="3749" w:type="dxa"/>
            <w:shd w:val="clear" w:color="auto" w:fill="FFFFFF"/>
            <w:vAlign w:val="center"/>
          </w:tcPr>
          <w:p w14:paraId="126021AF">
            <w:pPr>
              <w:pStyle w:val="31"/>
              <w:widowControl w:val="0"/>
              <w:spacing w:line="400" w:lineRule="exact"/>
              <w:rPr>
                <w:rFonts w:ascii="宋体" w:hAnsi="宋体" w:eastAsia="宋体"/>
                <w:color w:val="auto"/>
                <w:kern w:val="2"/>
                <w:sz w:val="21"/>
                <w:szCs w:val="21"/>
              </w:rPr>
            </w:pPr>
            <w:r>
              <w:rPr>
                <w:rFonts w:hint="eastAsia" w:ascii="宋体" w:hAnsi="宋体" w:eastAsia="宋体"/>
                <w:color w:val="auto"/>
                <w:kern w:val="2"/>
                <w:sz w:val="21"/>
                <w:szCs w:val="21"/>
              </w:rPr>
              <w:t>一般供应商数量/个</w:t>
            </w:r>
          </w:p>
        </w:tc>
        <w:tc>
          <w:tcPr>
            <w:tcW w:w="1469" w:type="dxa"/>
            <w:shd w:val="clear" w:color="auto" w:fill="FFFFFF"/>
            <w:vAlign w:val="center"/>
          </w:tcPr>
          <w:p w14:paraId="0CF8FC1C">
            <w:pPr>
              <w:pStyle w:val="31"/>
              <w:widowControl w:val="0"/>
              <w:rPr>
                <w:rFonts w:ascii="宋体" w:hAnsi="宋体" w:eastAsia="宋体"/>
                <w:color w:val="auto"/>
                <w:kern w:val="2"/>
                <w:sz w:val="21"/>
              </w:rPr>
            </w:pPr>
            <w:r>
              <w:rPr>
                <w:rFonts w:hint="eastAsia" w:ascii="宋体" w:hAnsi="宋体" w:eastAsia="宋体"/>
                <w:color w:val="auto"/>
                <w:kern w:val="2"/>
                <w:sz w:val="21"/>
              </w:rPr>
              <w:t>13</w:t>
            </w:r>
          </w:p>
        </w:tc>
        <w:tc>
          <w:tcPr>
            <w:tcW w:w="1559" w:type="dxa"/>
            <w:shd w:val="clear" w:color="auto" w:fill="FFFFFF"/>
            <w:vAlign w:val="center"/>
          </w:tcPr>
          <w:p w14:paraId="46EC873A">
            <w:pPr>
              <w:pStyle w:val="31"/>
              <w:widowControl w:val="0"/>
              <w:rPr>
                <w:rFonts w:ascii="宋体" w:hAnsi="宋体" w:eastAsia="宋体"/>
                <w:color w:val="auto"/>
                <w:kern w:val="2"/>
                <w:sz w:val="21"/>
              </w:rPr>
            </w:pPr>
            <w:r>
              <w:rPr>
                <w:rFonts w:hint="eastAsia" w:ascii="宋体" w:hAnsi="宋体" w:eastAsia="宋体"/>
                <w:color w:val="auto"/>
                <w:kern w:val="2"/>
                <w:sz w:val="21"/>
              </w:rPr>
              <w:t>15</w:t>
            </w:r>
          </w:p>
        </w:tc>
        <w:tc>
          <w:tcPr>
            <w:tcW w:w="1474" w:type="dxa"/>
            <w:shd w:val="clear" w:color="auto" w:fill="FFFFFF"/>
            <w:vAlign w:val="center"/>
          </w:tcPr>
          <w:p w14:paraId="7B0C99BA">
            <w:pPr>
              <w:pStyle w:val="31"/>
              <w:widowControl w:val="0"/>
              <w:rPr>
                <w:rFonts w:ascii="宋体" w:hAnsi="宋体" w:eastAsia="宋体"/>
                <w:color w:val="auto"/>
                <w:kern w:val="2"/>
                <w:sz w:val="21"/>
              </w:rPr>
            </w:pPr>
            <w:r>
              <w:rPr>
                <w:rFonts w:hint="eastAsia" w:ascii="宋体" w:hAnsi="宋体" w:eastAsia="宋体"/>
                <w:color w:val="auto"/>
                <w:kern w:val="2"/>
                <w:sz w:val="21"/>
              </w:rPr>
              <w:t>20</w:t>
            </w:r>
          </w:p>
        </w:tc>
      </w:tr>
      <w:tr w14:paraId="03AB1B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4" w:hRule="atLeast"/>
          <w:jc w:val="center"/>
        </w:trPr>
        <w:tc>
          <w:tcPr>
            <w:tcW w:w="3749" w:type="dxa"/>
            <w:shd w:val="clear" w:color="auto" w:fill="FFFFFF"/>
            <w:vAlign w:val="center"/>
          </w:tcPr>
          <w:p w14:paraId="1B415E51">
            <w:pPr>
              <w:pStyle w:val="31"/>
              <w:widowControl w:val="0"/>
              <w:spacing w:line="400" w:lineRule="exact"/>
              <w:rPr>
                <w:rFonts w:ascii="宋体" w:hAnsi="宋体" w:eastAsia="宋体"/>
                <w:color w:val="auto"/>
                <w:kern w:val="2"/>
                <w:sz w:val="21"/>
                <w:szCs w:val="21"/>
              </w:rPr>
            </w:pPr>
            <w:r>
              <w:rPr>
                <w:rFonts w:hint="eastAsia" w:ascii="宋体" w:hAnsi="宋体" w:eastAsia="宋体"/>
                <w:color w:val="auto"/>
                <w:kern w:val="2"/>
                <w:sz w:val="21"/>
                <w:szCs w:val="21"/>
              </w:rPr>
              <w:t>供应商总数/个</w:t>
            </w:r>
          </w:p>
        </w:tc>
        <w:tc>
          <w:tcPr>
            <w:tcW w:w="1469" w:type="dxa"/>
            <w:shd w:val="clear" w:color="auto" w:fill="FFFFFF"/>
            <w:vAlign w:val="center"/>
          </w:tcPr>
          <w:p w14:paraId="35CC0B5D">
            <w:pPr>
              <w:pStyle w:val="31"/>
              <w:widowControl w:val="0"/>
              <w:rPr>
                <w:rFonts w:ascii="宋体" w:hAnsi="宋体" w:eastAsia="宋体"/>
                <w:color w:val="auto"/>
                <w:kern w:val="2"/>
                <w:sz w:val="21"/>
              </w:rPr>
            </w:pPr>
            <w:r>
              <w:rPr>
                <w:rFonts w:hint="eastAsia" w:ascii="宋体" w:hAnsi="宋体" w:eastAsia="宋体"/>
                <w:color w:val="auto"/>
                <w:kern w:val="2"/>
                <w:sz w:val="21"/>
              </w:rPr>
              <w:t>16</w:t>
            </w:r>
          </w:p>
        </w:tc>
        <w:tc>
          <w:tcPr>
            <w:tcW w:w="1559" w:type="dxa"/>
            <w:shd w:val="clear" w:color="auto" w:fill="FFFFFF"/>
            <w:vAlign w:val="center"/>
          </w:tcPr>
          <w:p w14:paraId="6FDCC2A1">
            <w:pPr>
              <w:pStyle w:val="31"/>
              <w:widowControl w:val="0"/>
              <w:rPr>
                <w:rFonts w:ascii="宋体" w:hAnsi="宋体" w:eastAsia="宋体"/>
                <w:color w:val="auto"/>
                <w:kern w:val="2"/>
                <w:sz w:val="21"/>
              </w:rPr>
            </w:pPr>
            <w:r>
              <w:rPr>
                <w:rFonts w:hint="eastAsia" w:ascii="宋体" w:hAnsi="宋体" w:eastAsia="宋体"/>
                <w:color w:val="auto"/>
                <w:kern w:val="2"/>
                <w:sz w:val="21"/>
              </w:rPr>
              <w:t>19</w:t>
            </w:r>
          </w:p>
        </w:tc>
        <w:tc>
          <w:tcPr>
            <w:tcW w:w="1474" w:type="dxa"/>
            <w:shd w:val="clear" w:color="auto" w:fill="FFFFFF"/>
            <w:vAlign w:val="center"/>
          </w:tcPr>
          <w:p w14:paraId="03237E26">
            <w:pPr>
              <w:pStyle w:val="31"/>
              <w:widowControl w:val="0"/>
              <w:rPr>
                <w:rFonts w:ascii="宋体" w:hAnsi="宋体" w:eastAsia="宋体"/>
                <w:color w:val="auto"/>
                <w:kern w:val="2"/>
                <w:sz w:val="21"/>
              </w:rPr>
            </w:pPr>
            <w:r>
              <w:rPr>
                <w:rFonts w:hint="eastAsia" w:ascii="宋体" w:hAnsi="宋体" w:eastAsia="宋体"/>
                <w:color w:val="auto"/>
                <w:kern w:val="2"/>
                <w:sz w:val="21"/>
              </w:rPr>
              <w:t>27</w:t>
            </w:r>
          </w:p>
        </w:tc>
      </w:tr>
      <w:bookmarkEnd w:id="80"/>
    </w:tbl>
    <w:p w14:paraId="5646D63F">
      <w:pPr>
        <w:pStyle w:val="32"/>
        <w:spacing w:before="312" w:beforeLines="100" w:after="312" w:afterLines="100" w:line="360" w:lineRule="auto"/>
        <w:rPr>
          <w:rFonts w:ascii="Times New Roman" w:eastAsia="宋体"/>
        </w:rPr>
      </w:pPr>
      <w:bookmarkStart w:id="81" w:name="_Toc99720449"/>
      <w:r>
        <w:rPr>
          <w:rFonts w:hint="eastAsia" w:ascii="Times New Roman" w:eastAsia="宋体"/>
        </w:rPr>
        <w:t>4.7.6 过程有效性结果</w:t>
      </w:r>
      <w:bookmarkEnd w:id="81"/>
    </w:p>
    <w:p w14:paraId="76961693">
      <w:pPr>
        <w:pStyle w:val="36"/>
        <w:spacing w:line="360" w:lineRule="auto"/>
        <w:ind w:firstLine="480"/>
        <w:rPr>
          <w:rFonts w:ascii="宋体" w:hAnsi="宋体" w:eastAsia="宋体"/>
          <w:color w:val="auto"/>
        </w:rPr>
      </w:pPr>
      <w:r>
        <w:rPr>
          <w:rFonts w:hint="eastAsia" w:ascii="宋体" w:hAnsi="宋体" w:eastAsia="宋体"/>
          <w:color w:val="auto"/>
        </w:rPr>
        <w:t>近几年来，公司发展迅速，取得了比较好的绩效指标</w:t>
      </w:r>
      <w:r>
        <w:rPr>
          <w:rFonts w:hint="eastAsia" w:ascii="宋体" w:hAnsi="宋体"/>
          <w:color w:val="auto"/>
        </w:rPr>
        <w:t>,</w:t>
      </w:r>
      <w:r>
        <w:rPr>
          <w:rFonts w:hint="eastAsia" w:ascii="宋体" w:hAnsi="宋体" w:eastAsia="宋体"/>
          <w:color w:val="auto"/>
        </w:rPr>
        <w:t xml:space="preserve"> 表4.7</w:t>
      </w:r>
      <w:r>
        <w:rPr>
          <w:rFonts w:ascii="宋体" w:hAnsi="宋体" w:eastAsia="宋体"/>
          <w:color w:val="auto"/>
        </w:rPr>
        <w:t>.6-1</w:t>
      </w:r>
      <w:r>
        <w:rPr>
          <w:rFonts w:hint="eastAsia" w:ascii="宋体" w:hAnsi="宋体" w:eastAsia="宋体"/>
          <w:color w:val="auto"/>
        </w:rPr>
        <w:t>～4.7.6-4显示了近3年公司的关键过程有效性结果情况。</w:t>
      </w:r>
    </w:p>
    <w:p w14:paraId="76ED054D">
      <w:pPr>
        <w:autoSpaceDE w:val="0"/>
        <w:autoSpaceDN w:val="0"/>
        <w:adjustRightInd w:val="0"/>
        <w:spacing w:line="360" w:lineRule="auto"/>
        <w:ind w:firstLine="422" w:firstLineChars="200"/>
        <w:jc w:val="center"/>
        <w:rPr>
          <w:rFonts w:ascii="黑体" w:hAnsi="黑体" w:eastAsia="黑体" w:cs="宋体"/>
          <w:b/>
          <w:sz w:val="21"/>
          <w:szCs w:val="21"/>
        </w:rPr>
      </w:pPr>
      <w:r>
        <w:rPr>
          <w:rFonts w:hint="eastAsia" w:ascii="黑体" w:hAnsi="黑体" w:eastAsia="黑体" w:cs="宋体"/>
          <w:b/>
          <w:sz w:val="21"/>
          <w:szCs w:val="21"/>
        </w:rPr>
        <w:t>表4.7</w:t>
      </w:r>
      <w:r>
        <w:rPr>
          <w:rFonts w:ascii="黑体" w:hAnsi="黑体" w:eastAsia="黑体" w:cs="宋体"/>
          <w:b/>
          <w:sz w:val="21"/>
          <w:szCs w:val="21"/>
        </w:rPr>
        <w:t>.6</w:t>
      </w:r>
      <w:r>
        <w:rPr>
          <w:rFonts w:hint="eastAsia" w:ascii="黑体" w:hAnsi="黑体" w:eastAsia="黑体" w:cs="宋体"/>
          <w:b/>
          <w:sz w:val="21"/>
          <w:szCs w:val="21"/>
        </w:rPr>
        <w:t>-1 产品研发与设计过程有效性结果变化趋势</w:t>
      </w:r>
    </w:p>
    <w:tbl>
      <w:tblPr>
        <w:tblStyle w:val="22"/>
        <w:tblW w:w="825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749"/>
        <w:gridCol w:w="1469"/>
        <w:gridCol w:w="1418"/>
        <w:gridCol w:w="1615"/>
      </w:tblGrid>
      <w:tr w14:paraId="190878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3749" w:type="dxa"/>
            <w:vMerge w:val="restart"/>
            <w:shd w:val="clear" w:color="auto" w:fill="948A54"/>
            <w:vAlign w:val="center"/>
          </w:tcPr>
          <w:p w14:paraId="7DF15D92">
            <w:pPr>
              <w:pStyle w:val="31"/>
              <w:widowControl w:val="0"/>
              <w:spacing w:line="400" w:lineRule="exact"/>
              <w:rPr>
                <w:rFonts w:ascii="宋体" w:hAnsi="宋体" w:eastAsia="宋体"/>
                <w:b/>
                <w:color w:val="auto"/>
                <w:kern w:val="2"/>
              </w:rPr>
            </w:pPr>
            <w:r>
              <w:rPr>
                <w:rFonts w:hint="eastAsia" w:ascii="宋体" w:hAnsi="宋体" w:eastAsia="宋体"/>
                <w:b/>
                <w:color w:val="auto"/>
                <w:kern w:val="2"/>
              </w:rPr>
              <w:t>主要研发</w:t>
            </w:r>
          </w:p>
        </w:tc>
        <w:tc>
          <w:tcPr>
            <w:tcW w:w="4502" w:type="dxa"/>
            <w:gridSpan w:val="3"/>
            <w:shd w:val="clear" w:color="auto" w:fill="948A54"/>
            <w:vAlign w:val="center"/>
          </w:tcPr>
          <w:p w14:paraId="2F9F9AF5">
            <w:pPr>
              <w:pStyle w:val="31"/>
              <w:widowControl w:val="0"/>
              <w:spacing w:line="400" w:lineRule="exact"/>
              <w:rPr>
                <w:rFonts w:ascii="宋体" w:hAnsi="宋体" w:eastAsia="宋体"/>
                <w:b/>
                <w:color w:val="auto"/>
                <w:kern w:val="2"/>
              </w:rPr>
            </w:pPr>
            <w:r>
              <w:rPr>
                <w:rFonts w:hint="eastAsia" w:ascii="宋体" w:hAnsi="宋体" w:eastAsia="宋体"/>
                <w:b/>
                <w:color w:val="auto"/>
                <w:kern w:val="2"/>
              </w:rPr>
              <w:t>成果</w:t>
            </w:r>
          </w:p>
        </w:tc>
      </w:tr>
      <w:tr w14:paraId="091695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0" w:hRule="atLeast"/>
          <w:jc w:val="center"/>
        </w:trPr>
        <w:tc>
          <w:tcPr>
            <w:tcW w:w="3749" w:type="dxa"/>
            <w:vMerge w:val="continue"/>
            <w:shd w:val="clear" w:color="auto" w:fill="948A54"/>
            <w:vAlign w:val="center"/>
          </w:tcPr>
          <w:p w14:paraId="75097BBA">
            <w:pPr>
              <w:pStyle w:val="31"/>
              <w:widowControl w:val="0"/>
              <w:spacing w:line="400" w:lineRule="exact"/>
              <w:rPr>
                <w:rFonts w:ascii="宋体" w:hAnsi="宋体" w:eastAsia="宋体"/>
                <w:b/>
                <w:color w:val="auto"/>
                <w:kern w:val="2"/>
              </w:rPr>
            </w:pPr>
          </w:p>
        </w:tc>
        <w:tc>
          <w:tcPr>
            <w:tcW w:w="1469" w:type="dxa"/>
            <w:shd w:val="clear" w:color="auto" w:fill="948A54"/>
            <w:vAlign w:val="center"/>
          </w:tcPr>
          <w:p w14:paraId="07DC7F57">
            <w:pPr>
              <w:pStyle w:val="31"/>
              <w:widowControl w:val="0"/>
              <w:spacing w:line="260" w:lineRule="exact"/>
              <w:rPr>
                <w:rFonts w:ascii="宋体" w:hAnsi="宋体" w:eastAsia="宋体"/>
                <w:b/>
                <w:color w:val="auto"/>
                <w:kern w:val="2"/>
              </w:rPr>
            </w:pPr>
            <w:r>
              <w:rPr>
                <w:rFonts w:hint="eastAsia" w:ascii="宋体" w:hAnsi="宋体" w:eastAsia="宋体"/>
                <w:b/>
                <w:color w:val="auto"/>
                <w:kern w:val="2"/>
                <w:sz w:val="21"/>
                <w:szCs w:val="21"/>
              </w:rPr>
              <w:t>202</w:t>
            </w:r>
            <w:r>
              <w:rPr>
                <w:rFonts w:hint="eastAsia" w:ascii="宋体" w:hAnsi="宋体" w:eastAsia="宋体"/>
                <w:b/>
                <w:color w:val="auto"/>
                <w:kern w:val="2"/>
                <w:sz w:val="21"/>
                <w:szCs w:val="21"/>
                <w:lang w:val="en-US" w:eastAsia="zh-CN"/>
              </w:rPr>
              <w:t>3</w:t>
            </w:r>
            <w:r>
              <w:rPr>
                <w:rFonts w:hint="eastAsia" w:ascii="宋体" w:hAnsi="宋体" w:eastAsia="宋体"/>
                <w:b/>
                <w:color w:val="auto"/>
                <w:kern w:val="2"/>
                <w:sz w:val="21"/>
                <w:szCs w:val="21"/>
              </w:rPr>
              <w:t>年</w:t>
            </w:r>
          </w:p>
        </w:tc>
        <w:tc>
          <w:tcPr>
            <w:tcW w:w="1418" w:type="dxa"/>
            <w:shd w:val="clear" w:color="auto" w:fill="948A54"/>
            <w:vAlign w:val="center"/>
          </w:tcPr>
          <w:p w14:paraId="310DEE52">
            <w:pPr>
              <w:pStyle w:val="31"/>
              <w:widowControl w:val="0"/>
              <w:spacing w:line="260" w:lineRule="exact"/>
              <w:rPr>
                <w:rFonts w:ascii="宋体" w:hAnsi="宋体" w:eastAsia="宋体"/>
                <w:b/>
                <w:color w:val="auto"/>
                <w:kern w:val="2"/>
              </w:rPr>
            </w:pPr>
            <w:r>
              <w:rPr>
                <w:rFonts w:hint="eastAsia" w:ascii="宋体" w:hAnsi="宋体" w:eastAsia="宋体"/>
                <w:b/>
                <w:color w:val="auto"/>
                <w:kern w:val="2"/>
                <w:sz w:val="21"/>
                <w:szCs w:val="21"/>
              </w:rPr>
              <w:t>20</w:t>
            </w:r>
            <w:r>
              <w:rPr>
                <w:rFonts w:ascii="宋体" w:hAnsi="宋体" w:eastAsia="宋体"/>
                <w:b/>
                <w:color w:val="auto"/>
                <w:kern w:val="2"/>
                <w:sz w:val="21"/>
                <w:szCs w:val="21"/>
              </w:rPr>
              <w:t>2</w:t>
            </w:r>
            <w:r>
              <w:rPr>
                <w:rFonts w:hint="eastAsia" w:ascii="宋体" w:hAnsi="宋体" w:eastAsia="宋体"/>
                <w:b/>
                <w:color w:val="auto"/>
                <w:kern w:val="2"/>
                <w:sz w:val="21"/>
                <w:szCs w:val="21"/>
                <w:lang w:val="en-US" w:eastAsia="zh-CN"/>
              </w:rPr>
              <w:t>4</w:t>
            </w:r>
            <w:r>
              <w:rPr>
                <w:rFonts w:hint="eastAsia" w:ascii="宋体" w:hAnsi="宋体" w:eastAsia="宋体"/>
                <w:b/>
                <w:color w:val="auto"/>
                <w:kern w:val="2"/>
                <w:sz w:val="21"/>
                <w:szCs w:val="21"/>
              </w:rPr>
              <w:t>年</w:t>
            </w:r>
          </w:p>
        </w:tc>
        <w:tc>
          <w:tcPr>
            <w:tcW w:w="1615" w:type="dxa"/>
            <w:shd w:val="clear" w:color="auto" w:fill="948A54"/>
            <w:vAlign w:val="center"/>
          </w:tcPr>
          <w:p w14:paraId="7E7C7EBA">
            <w:pPr>
              <w:pStyle w:val="31"/>
              <w:widowControl w:val="0"/>
              <w:spacing w:line="260" w:lineRule="exact"/>
              <w:rPr>
                <w:rFonts w:ascii="宋体" w:hAnsi="宋体" w:eastAsia="宋体"/>
                <w:b/>
                <w:color w:val="auto"/>
                <w:kern w:val="2"/>
              </w:rPr>
            </w:pPr>
            <w:r>
              <w:rPr>
                <w:rFonts w:hint="eastAsia" w:ascii="宋体" w:hAnsi="宋体" w:eastAsia="宋体"/>
                <w:b/>
                <w:color w:val="auto"/>
                <w:kern w:val="2"/>
                <w:sz w:val="21"/>
                <w:szCs w:val="21"/>
              </w:rPr>
              <w:t>202</w:t>
            </w:r>
            <w:r>
              <w:rPr>
                <w:rFonts w:hint="eastAsia" w:ascii="宋体" w:hAnsi="宋体" w:eastAsia="宋体"/>
                <w:b/>
                <w:color w:val="auto"/>
                <w:kern w:val="2"/>
                <w:sz w:val="21"/>
                <w:szCs w:val="21"/>
                <w:lang w:val="en-US" w:eastAsia="zh-CN"/>
              </w:rPr>
              <w:t>5</w:t>
            </w:r>
            <w:r>
              <w:rPr>
                <w:rFonts w:hint="eastAsia" w:ascii="宋体" w:hAnsi="宋体" w:eastAsia="宋体"/>
                <w:b/>
                <w:color w:val="auto"/>
                <w:kern w:val="2"/>
                <w:sz w:val="21"/>
                <w:szCs w:val="21"/>
              </w:rPr>
              <w:t>年</w:t>
            </w:r>
          </w:p>
        </w:tc>
      </w:tr>
      <w:tr w14:paraId="4BFD38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6" w:hRule="atLeast"/>
          <w:jc w:val="center"/>
        </w:trPr>
        <w:tc>
          <w:tcPr>
            <w:tcW w:w="3749" w:type="dxa"/>
            <w:shd w:val="clear" w:color="auto" w:fill="FFFFFF"/>
          </w:tcPr>
          <w:p w14:paraId="42758A9C">
            <w:pPr>
              <w:pStyle w:val="31"/>
              <w:widowControl w:val="0"/>
              <w:spacing w:line="400" w:lineRule="exact"/>
              <w:rPr>
                <w:rFonts w:ascii="宋体" w:hAnsi="宋体" w:eastAsia="宋体"/>
                <w:color w:val="auto"/>
                <w:kern w:val="2"/>
                <w:sz w:val="21"/>
                <w:szCs w:val="21"/>
              </w:rPr>
            </w:pPr>
            <w:r>
              <w:rPr>
                <w:rFonts w:hint="eastAsia" w:ascii="宋体" w:hAnsi="宋体" w:eastAsia="宋体"/>
                <w:color w:val="auto"/>
                <w:kern w:val="2"/>
                <w:sz w:val="21"/>
                <w:szCs w:val="21"/>
              </w:rPr>
              <w:t>新产品</w:t>
            </w:r>
          </w:p>
        </w:tc>
        <w:tc>
          <w:tcPr>
            <w:tcW w:w="1469" w:type="dxa"/>
            <w:shd w:val="clear" w:color="auto" w:fill="FFFFFF"/>
            <w:vAlign w:val="center"/>
          </w:tcPr>
          <w:p w14:paraId="32536AD3">
            <w:pPr>
              <w:pStyle w:val="31"/>
              <w:widowControl w:val="0"/>
              <w:rPr>
                <w:rFonts w:ascii="宋体" w:hAnsi="宋体" w:eastAsia="宋体"/>
                <w:color w:val="auto"/>
                <w:kern w:val="2"/>
                <w:sz w:val="21"/>
                <w:szCs w:val="21"/>
              </w:rPr>
            </w:pPr>
            <w:r>
              <w:rPr>
                <w:rFonts w:hint="eastAsia" w:ascii="宋体" w:hAnsi="宋体" w:eastAsia="宋体"/>
                <w:color w:val="auto"/>
                <w:kern w:val="2"/>
                <w:sz w:val="21"/>
                <w:szCs w:val="21"/>
              </w:rPr>
              <w:t>3</w:t>
            </w:r>
          </w:p>
        </w:tc>
        <w:tc>
          <w:tcPr>
            <w:tcW w:w="1418" w:type="dxa"/>
            <w:shd w:val="clear" w:color="auto" w:fill="FFFFFF"/>
            <w:vAlign w:val="center"/>
          </w:tcPr>
          <w:p w14:paraId="4535E68F">
            <w:pPr>
              <w:pStyle w:val="31"/>
              <w:widowControl w:val="0"/>
              <w:rPr>
                <w:rFonts w:hint="eastAsia" w:ascii="宋体" w:hAnsi="宋体" w:eastAsia="宋体"/>
                <w:color w:val="auto"/>
                <w:kern w:val="2"/>
                <w:sz w:val="21"/>
                <w:szCs w:val="21"/>
                <w:lang w:eastAsia="zh-CN"/>
              </w:rPr>
            </w:pPr>
            <w:r>
              <w:rPr>
                <w:rFonts w:hint="eastAsia" w:ascii="宋体" w:hAnsi="宋体" w:eastAsia="宋体"/>
                <w:color w:val="auto"/>
                <w:kern w:val="2"/>
                <w:sz w:val="21"/>
                <w:szCs w:val="21"/>
                <w:lang w:val="en-US" w:eastAsia="zh-CN"/>
              </w:rPr>
              <w:t>4</w:t>
            </w:r>
          </w:p>
        </w:tc>
        <w:tc>
          <w:tcPr>
            <w:tcW w:w="1615" w:type="dxa"/>
            <w:shd w:val="clear" w:color="auto" w:fill="FFFFFF"/>
            <w:vAlign w:val="center"/>
          </w:tcPr>
          <w:p w14:paraId="3FDAE7D9">
            <w:pPr>
              <w:pStyle w:val="31"/>
              <w:widowControl w:val="0"/>
              <w:rPr>
                <w:rFonts w:hint="eastAsia" w:ascii="宋体" w:hAnsi="宋体" w:eastAsia="宋体"/>
                <w:color w:val="auto"/>
                <w:kern w:val="2"/>
                <w:sz w:val="21"/>
                <w:szCs w:val="21"/>
                <w:lang w:eastAsia="zh-CN"/>
              </w:rPr>
            </w:pPr>
            <w:r>
              <w:rPr>
                <w:rFonts w:hint="eastAsia" w:ascii="宋体" w:hAnsi="宋体" w:eastAsia="宋体"/>
                <w:color w:val="auto"/>
                <w:kern w:val="2"/>
                <w:sz w:val="21"/>
                <w:szCs w:val="21"/>
                <w:lang w:val="en-US" w:eastAsia="zh-CN"/>
              </w:rPr>
              <w:t>5</w:t>
            </w:r>
          </w:p>
        </w:tc>
      </w:tr>
    </w:tbl>
    <w:p w14:paraId="4C7C3A20">
      <w:pPr>
        <w:autoSpaceDE w:val="0"/>
        <w:autoSpaceDN w:val="0"/>
        <w:adjustRightInd w:val="0"/>
        <w:spacing w:before="156" w:beforeLines="50" w:line="360" w:lineRule="auto"/>
        <w:ind w:firstLine="422" w:firstLineChars="200"/>
        <w:jc w:val="center"/>
        <w:rPr>
          <w:rFonts w:ascii="黑体" w:hAnsi="黑体" w:eastAsia="黑体" w:cs="宋体"/>
          <w:b/>
          <w:sz w:val="21"/>
          <w:szCs w:val="21"/>
        </w:rPr>
      </w:pPr>
      <w:r>
        <w:rPr>
          <w:rFonts w:hint="eastAsia" w:ascii="黑体" w:hAnsi="黑体" w:eastAsia="黑体" w:cs="宋体"/>
          <w:b/>
          <w:sz w:val="21"/>
          <w:szCs w:val="21"/>
        </w:rPr>
        <w:t>表4.7</w:t>
      </w:r>
      <w:r>
        <w:rPr>
          <w:rFonts w:ascii="黑体" w:hAnsi="黑体" w:eastAsia="黑体" w:cs="宋体"/>
          <w:b/>
          <w:sz w:val="21"/>
          <w:szCs w:val="21"/>
        </w:rPr>
        <w:t>.6</w:t>
      </w:r>
      <w:r>
        <w:rPr>
          <w:rFonts w:hint="eastAsia" w:ascii="黑体" w:hAnsi="黑体" w:eastAsia="黑体" w:cs="宋体"/>
          <w:b/>
          <w:sz w:val="21"/>
          <w:szCs w:val="21"/>
        </w:rPr>
        <w:t>-2 采购过程有效性结果变化趋势</w:t>
      </w:r>
    </w:p>
    <w:tbl>
      <w:tblPr>
        <w:tblStyle w:val="22"/>
        <w:tblW w:w="499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872"/>
        <w:gridCol w:w="1517"/>
        <w:gridCol w:w="1464"/>
        <w:gridCol w:w="1667"/>
      </w:tblGrid>
      <w:tr w14:paraId="079ED7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6" w:hRule="atLeast"/>
          <w:jc w:val="center"/>
        </w:trPr>
        <w:tc>
          <w:tcPr>
            <w:tcW w:w="2272" w:type="pct"/>
            <w:shd w:val="clear" w:color="auto" w:fill="948A54"/>
            <w:vAlign w:val="center"/>
          </w:tcPr>
          <w:p w14:paraId="54CEB969">
            <w:pPr>
              <w:pStyle w:val="31"/>
              <w:widowControl w:val="0"/>
              <w:spacing w:line="400" w:lineRule="exact"/>
              <w:rPr>
                <w:rFonts w:ascii="宋体" w:hAnsi="宋体" w:eastAsia="宋体"/>
                <w:b/>
                <w:color w:val="auto"/>
                <w:kern w:val="2"/>
              </w:rPr>
            </w:pPr>
            <w:r>
              <w:rPr>
                <w:rFonts w:hint="eastAsia" w:ascii="宋体" w:hAnsi="宋体" w:eastAsia="宋体"/>
                <w:b/>
                <w:color w:val="auto"/>
                <w:kern w:val="2"/>
              </w:rPr>
              <w:t>主要项目</w:t>
            </w:r>
          </w:p>
        </w:tc>
        <w:tc>
          <w:tcPr>
            <w:tcW w:w="890" w:type="pct"/>
            <w:shd w:val="clear" w:color="auto" w:fill="948A54"/>
            <w:vAlign w:val="center"/>
          </w:tcPr>
          <w:p w14:paraId="19ABDE8B">
            <w:pPr>
              <w:pStyle w:val="31"/>
              <w:widowControl w:val="0"/>
              <w:spacing w:line="260" w:lineRule="exact"/>
              <w:rPr>
                <w:rFonts w:ascii="宋体" w:hAnsi="宋体" w:eastAsia="宋体"/>
                <w:b/>
                <w:color w:val="auto"/>
                <w:kern w:val="2"/>
              </w:rPr>
            </w:pPr>
            <w:r>
              <w:rPr>
                <w:rFonts w:hint="eastAsia" w:ascii="宋体" w:hAnsi="宋体" w:eastAsia="宋体"/>
                <w:b/>
                <w:color w:val="auto"/>
                <w:kern w:val="2"/>
                <w:sz w:val="21"/>
                <w:szCs w:val="21"/>
              </w:rPr>
              <w:t>202</w:t>
            </w:r>
            <w:r>
              <w:rPr>
                <w:rFonts w:hint="eastAsia" w:ascii="宋体" w:hAnsi="宋体" w:eastAsia="宋体"/>
                <w:b/>
                <w:color w:val="auto"/>
                <w:kern w:val="2"/>
                <w:sz w:val="21"/>
                <w:szCs w:val="21"/>
                <w:lang w:val="en-US" w:eastAsia="zh-CN"/>
              </w:rPr>
              <w:t>3</w:t>
            </w:r>
            <w:r>
              <w:rPr>
                <w:rFonts w:hint="eastAsia" w:ascii="宋体" w:hAnsi="宋体" w:eastAsia="宋体"/>
                <w:b/>
                <w:color w:val="auto"/>
                <w:kern w:val="2"/>
                <w:sz w:val="21"/>
                <w:szCs w:val="21"/>
              </w:rPr>
              <w:t>年</w:t>
            </w:r>
          </w:p>
        </w:tc>
        <w:tc>
          <w:tcPr>
            <w:tcW w:w="859" w:type="pct"/>
            <w:shd w:val="clear" w:color="auto" w:fill="948A54"/>
            <w:vAlign w:val="center"/>
          </w:tcPr>
          <w:p w14:paraId="71853576">
            <w:pPr>
              <w:pStyle w:val="31"/>
              <w:widowControl w:val="0"/>
              <w:spacing w:line="260" w:lineRule="exact"/>
              <w:rPr>
                <w:rFonts w:ascii="宋体" w:hAnsi="宋体" w:eastAsia="宋体"/>
                <w:b/>
                <w:color w:val="auto"/>
                <w:kern w:val="2"/>
              </w:rPr>
            </w:pPr>
            <w:r>
              <w:rPr>
                <w:rFonts w:hint="eastAsia" w:ascii="宋体" w:hAnsi="宋体" w:eastAsia="宋体"/>
                <w:b/>
                <w:color w:val="auto"/>
                <w:kern w:val="2"/>
                <w:sz w:val="21"/>
                <w:szCs w:val="21"/>
              </w:rPr>
              <w:t>20</w:t>
            </w:r>
            <w:r>
              <w:rPr>
                <w:rFonts w:ascii="宋体" w:hAnsi="宋体" w:eastAsia="宋体"/>
                <w:b/>
                <w:color w:val="auto"/>
                <w:kern w:val="2"/>
                <w:sz w:val="21"/>
                <w:szCs w:val="21"/>
              </w:rPr>
              <w:t>2</w:t>
            </w:r>
            <w:r>
              <w:rPr>
                <w:rFonts w:hint="eastAsia" w:ascii="宋体" w:hAnsi="宋体" w:eastAsia="宋体"/>
                <w:b/>
                <w:color w:val="auto"/>
                <w:kern w:val="2"/>
                <w:sz w:val="21"/>
                <w:szCs w:val="21"/>
                <w:lang w:val="en-US" w:eastAsia="zh-CN"/>
              </w:rPr>
              <w:t>4</w:t>
            </w:r>
            <w:r>
              <w:rPr>
                <w:rFonts w:hint="eastAsia" w:ascii="宋体" w:hAnsi="宋体" w:eastAsia="宋体"/>
                <w:b/>
                <w:color w:val="auto"/>
                <w:kern w:val="2"/>
                <w:sz w:val="21"/>
                <w:szCs w:val="21"/>
              </w:rPr>
              <w:t>年</w:t>
            </w:r>
          </w:p>
        </w:tc>
        <w:tc>
          <w:tcPr>
            <w:tcW w:w="978" w:type="pct"/>
            <w:shd w:val="clear" w:color="auto" w:fill="948A54"/>
            <w:vAlign w:val="center"/>
          </w:tcPr>
          <w:p w14:paraId="1E60EE33">
            <w:pPr>
              <w:pStyle w:val="31"/>
              <w:widowControl w:val="0"/>
              <w:spacing w:line="260" w:lineRule="exact"/>
              <w:rPr>
                <w:rFonts w:ascii="宋体" w:hAnsi="宋体" w:eastAsia="宋体"/>
                <w:b/>
                <w:color w:val="auto"/>
                <w:kern w:val="2"/>
              </w:rPr>
            </w:pPr>
            <w:r>
              <w:rPr>
                <w:rFonts w:hint="eastAsia" w:ascii="宋体" w:hAnsi="宋体" w:eastAsia="宋体"/>
                <w:b/>
                <w:color w:val="auto"/>
                <w:kern w:val="2"/>
                <w:sz w:val="21"/>
                <w:szCs w:val="21"/>
              </w:rPr>
              <w:t>202</w:t>
            </w:r>
            <w:r>
              <w:rPr>
                <w:rFonts w:hint="eastAsia" w:ascii="宋体" w:hAnsi="宋体" w:eastAsia="宋体"/>
                <w:b/>
                <w:color w:val="auto"/>
                <w:kern w:val="2"/>
                <w:sz w:val="21"/>
                <w:szCs w:val="21"/>
                <w:lang w:val="en-US" w:eastAsia="zh-CN"/>
              </w:rPr>
              <w:t>5</w:t>
            </w:r>
            <w:r>
              <w:rPr>
                <w:rFonts w:hint="eastAsia" w:ascii="宋体" w:hAnsi="宋体" w:eastAsia="宋体"/>
                <w:b/>
                <w:color w:val="auto"/>
                <w:kern w:val="2"/>
                <w:sz w:val="21"/>
                <w:szCs w:val="21"/>
              </w:rPr>
              <w:t>年</w:t>
            </w:r>
          </w:p>
        </w:tc>
      </w:tr>
      <w:tr w14:paraId="71BF45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6" w:hRule="atLeast"/>
          <w:jc w:val="center"/>
        </w:trPr>
        <w:tc>
          <w:tcPr>
            <w:tcW w:w="2272" w:type="pct"/>
            <w:shd w:val="clear" w:color="auto" w:fill="FFFFFF"/>
            <w:vAlign w:val="center"/>
          </w:tcPr>
          <w:p w14:paraId="73C1BD7B">
            <w:pPr>
              <w:pStyle w:val="31"/>
              <w:widowControl w:val="0"/>
              <w:spacing w:line="400" w:lineRule="exact"/>
              <w:rPr>
                <w:rFonts w:ascii="宋体" w:hAnsi="宋体" w:eastAsia="宋体"/>
                <w:color w:val="auto"/>
                <w:kern w:val="2"/>
                <w:sz w:val="21"/>
                <w:szCs w:val="21"/>
              </w:rPr>
            </w:pPr>
            <w:r>
              <w:rPr>
                <w:rFonts w:hint="eastAsia" w:ascii="宋体" w:hAnsi="宋体" w:eastAsia="宋体"/>
                <w:color w:val="auto"/>
                <w:kern w:val="2"/>
                <w:sz w:val="21"/>
                <w:szCs w:val="21"/>
              </w:rPr>
              <w:t>采购合同完成率/%</w:t>
            </w:r>
          </w:p>
        </w:tc>
        <w:tc>
          <w:tcPr>
            <w:tcW w:w="890" w:type="pct"/>
            <w:shd w:val="clear" w:color="auto" w:fill="FFFFFF"/>
            <w:vAlign w:val="center"/>
          </w:tcPr>
          <w:p w14:paraId="6A8EFAA9">
            <w:pPr>
              <w:pStyle w:val="31"/>
              <w:widowControl w:val="0"/>
              <w:rPr>
                <w:rFonts w:ascii="宋体" w:hAnsi="宋体" w:eastAsia="宋体"/>
                <w:color w:val="auto"/>
                <w:kern w:val="2"/>
                <w:sz w:val="21"/>
              </w:rPr>
            </w:pPr>
            <w:r>
              <w:rPr>
                <w:rFonts w:hint="eastAsia" w:ascii="宋体" w:hAnsi="宋体" w:eastAsia="宋体"/>
                <w:color w:val="auto"/>
                <w:kern w:val="2"/>
                <w:sz w:val="21"/>
              </w:rPr>
              <w:t>100</w:t>
            </w:r>
          </w:p>
        </w:tc>
        <w:tc>
          <w:tcPr>
            <w:tcW w:w="859" w:type="pct"/>
            <w:shd w:val="clear" w:color="auto" w:fill="FFFFFF"/>
            <w:vAlign w:val="center"/>
          </w:tcPr>
          <w:p w14:paraId="0A3323A7">
            <w:pPr>
              <w:pStyle w:val="31"/>
              <w:widowControl w:val="0"/>
              <w:rPr>
                <w:rFonts w:ascii="宋体" w:hAnsi="宋体" w:eastAsia="宋体"/>
                <w:color w:val="auto"/>
                <w:kern w:val="2"/>
                <w:sz w:val="21"/>
              </w:rPr>
            </w:pPr>
            <w:r>
              <w:rPr>
                <w:rFonts w:hint="eastAsia" w:ascii="宋体" w:hAnsi="宋体" w:eastAsia="宋体"/>
                <w:color w:val="auto"/>
                <w:kern w:val="2"/>
                <w:sz w:val="21"/>
              </w:rPr>
              <w:t>100</w:t>
            </w:r>
          </w:p>
        </w:tc>
        <w:tc>
          <w:tcPr>
            <w:tcW w:w="978" w:type="pct"/>
            <w:shd w:val="clear" w:color="auto" w:fill="FFFFFF"/>
            <w:vAlign w:val="center"/>
          </w:tcPr>
          <w:p w14:paraId="66EB739D">
            <w:pPr>
              <w:pStyle w:val="31"/>
              <w:widowControl w:val="0"/>
              <w:rPr>
                <w:rFonts w:ascii="宋体" w:hAnsi="宋体" w:eastAsia="宋体"/>
                <w:color w:val="auto"/>
                <w:kern w:val="2"/>
                <w:sz w:val="21"/>
              </w:rPr>
            </w:pPr>
            <w:r>
              <w:rPr>
                <w:rFonts w:hint="eastAsia" w:ascii="宋体" w:hAnsi="宋体" w:eastAsia="宋体"/>
                <w:color w:val="auto"/>
                <w:kern w:val="2"/>
                <w:sz w:val="21"/>
              </w:rPr>
              <w:t>100</w:t>
            </w:r>
          </w:p>
        </w:tc>
      </w:tr>
      <w:tr w14:paraId="2D3D8A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6" w:hRule="atLeast"/>
          <w:jc w:val="center"/>
        </w:trPr>
        <w:tc>
          <w:tcPr>
            <w:tcW w:w="2272" w:type="pct"/>
            <w:shd w:val="clear" w:color="auto" w:fill="FFFFFF"/>
            <w:vAlign w:val="center"/>
          </w:tcPr>
          <w:p w14:paraId="51E75A51">
            <w:pPr>
              <w:pStyle w:val="31"/>
              <w:widowControl w:val="0"/>
              <w:spacing w:line="400" w:lineRule="exact"/>
              <w:rPr>
                <w:rFonts w:ascii="宋体" w:hAnsi="宋体" w:eastAsia="宋体"/>
                <w:color w:val="auto"/>
                <w:kern w:val="2"/>
                <w:sz w:val="21"/>
                <w:szCs w:val="21"/>
              </w:rPr>
            </w:pPr>
            <w:r>
              <w:rPr>
                <w:rFonts w:hint="eastAsia" w:ascii="宋体" w:hAnsi="宋体" w:eastAsia="宋体"/>
                <w:color w:val="auto"/>
                <w:kern w:val="2"/>
                <w:sz w:val="21"/>
                <w:szCs w:val="21"/>
              </w:rPr>
              <w:t>原材料验收合格率/%</w:t>
            </w:r>
          </w:p>
        </w:tc>
        <w:tc>
          <w:tcPr>
            <w:tcW w:w="890" w:type="pct"/>
            <w:shd w:val="clear" w:color="auto" w:fill="FFFFFF"/>
            <w:vAlign w:val="center"/>
          </w:tcPr>
          <w:p w14:paraId="3380B02A">
            <w:pPr>
              <w:pStyle w:val="31"/>
              <w:widowControl w:val="0"/>
              <w:rPr>
                <w:rFonts w:ascii="宋体" w:hAnsi="宋体" w:eastAsia="宋体"/>
                <w:color w:val="auto"/>
                <w:kern w:val="2"/>
                <w:sz w:val="21"/>
              </w:rPr>
            </w:pPr>
            <w:r>
              <w:rPr>
                <w:rFonts w:hint="eastAsia" w:ascii="宋体" w:hAnsi="宋体" w:eastAsia="宋体"/>
                <w:color w:val="auto"/>
                <w:kern w:val="2"/>
                <w:sz w:val="21"/>
              </w:rPr>
              <w:t>99.5</w:t>
            </w:r>
          </w:p>
        </w:tc>
        <w:tc>
          <w:tcPr>
            <w:tcW w:w="859" w:type="pct"/>
            <w:shd w:val="clear" w:color="auto" w:fill="FFFFFF"/>
            <w:vAlign w:val="center"/>
          </w:tcPr>
          <w:p w14:paraId="6AF313D2">
            <w:pPr>
              <w:pStyle w:val="31"/>
              <w:widowControl w:val="0"/>
              <w:rPr>
                <w:rFonts w:ascii="宋体" w:hAnsi="宋体" w:eastAsia="宋体"/>
                <w:color w:val="auto"/>
                <w:kern w:val="2"/>
                <w:sz w:val="21"/>
              </w:rPr>
            </w:pPr>
            <w:r>
              <w:rPr>
                <w:rFonts w:hint="eastAsia" w:ascii="宋体" w:hAnsi="宋体" w:eastAsia="宋体"/>
                <w:color w:val="auto"/>
                <w:kern w:val="2"/>
                <w:sz w:val="21"/>
              </w:rPr>
              <w:t>100</w:t>
            </w:r>
          </w:p>
        </w:tc>
        <w:tc>
          <w:tcPr>
            <w:tcW w:w="978" w:type="pct"/>
            <w:shd w:val="clear" w:color="auto" w:fill="FFFFFF"/>
            <w:vAlign w:val="center"/>
          </w:tcPr>
          <w:p w14:paraId="0A4C53F5">
            <w:pPr>
              <w:pStyle w:val="31"/>
              <w:widowControl w:val="0"/>
              <w:rPr>
                <w:rFonts w:ascii="宋体" w:hAnsi="宋体" w:eastAsia="宋体"/>
                <w:color w:val="auto"/>
                <w:kern w:val="2"/>
                <w:sz w:val="21"/>
              </w:rPr>
            </w:pPr>
            <w:r>
              <w:rPr>
                <w:rFonts w:hint="eastAsia" w:ascii="宋体" w:hAnsi="宋体" w:eastAsia="宋体"/>
                <w:color w:val="auto"/>
                <w:kern w:val="2"/>
                <w:sz w:val="21"/>
              </w:rPr>
              <w:t>100</w:t>
            </w:r>
          </w:p>
        </w:tc>
      </w:tr>
    </w:tbl>
    <w:p w14:paraId="2CF4B983">
      <w:pPr>
        <w:autoSpaceDE w:val="0"/>
        <w:autoSpaceDN w:val="0"/>
        <w:adjustRightInd w:val="0"/>
        <w:spacing w:before="156" w:beforeLines="50" w:line="360" w:lineRule="auto"/>
        <w:jc w:val="center"/>
        <w:rPr>
          <w:rFonts w:ascii="黑体" w:hAnsi="黑体" w:eastAsia="黑体" w:cs="宋体"/>
          <w:b/>
          <w:sz w:val="21"/>
          <w:szCs w:val="21"/>
        </w:rPr>
      </w:pPr>
      <w:r>
        <w:rPr>
          <w:rFonts w:hint="eastAsia" w:ascii="黑体" w:hAnsi="黑体" w:eastAsia="黑体" w:cs="宋体"/>
          <w:b/>
          <w:sz w:val="21"/>
          <w:szCs w:val="21"/>
        </w:rPr>
        <w:t>表4.7</w:t>
      </w:r>
      <w:r>
        <w:rPr>
          <w:rFonts w:ascii="黑体" w:hAnsi="黑体" w:eastAsia="黑体" w:cs="宋体"/>
          <w:b/>
          <w:sz w:val="21"/>
          <w:szCs w:val="21"/>
        </w:rPr>
        <w:t>.6</w:t>
      </w:r>
      <w:r>
        <w:rPr>
          <w:rFonts w:hint="eastAsia" w:ascii="黑体" w:hAnsi="黑体" w:eastAsia="黑体" w:cs="宋体"/>
          <w:b/>
          <w:sz w:val="21"/>
          <w:szCs w:val="21"/>
        </w:rPr>
        <w:t>-3 产品制造过程有效性结果变化趋势</w:t>
      </w:r>
    </w:p>
    <w:tbl>
      <w:tblPr>
        <w:tblStyle w:val="22"/>
        <w:tblW w:w="8692"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3497"/>
        <w:gridCol w:w="1701"/>
        <w:gridCol w:w="1701"/>
        <w:gridCol w:w="1793"/>
      </w:tblGrid>
      <w:tr w14:paraId="04529EB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3497" w:type="dxa"/>
            <w:shd w:val="clear" w:color="auto" w:fill="938953"/>
            <w:vAlign w:val="center"/>
          </w:tcPr>
          <w:p w14:paraId="437DB3BA">
            <w:pPr>
              <w:pStyle w:val="31"/>
              <w:widowControl w:val="0"/>
              <w:spacing w:line="260" w:lineRule="exact"/>
              <w:rPr>
                <w:rFonts w:ascii="宋体" w:hAnsi="宋体" w:eastAsia="宋体"/>
                <w:b/>
                <w:color w:val="auto"/>
                <w:kern w:val="2"/>
                <w:sz w:val="21"/>
                <w:szCs w:val="21"/>
              </w:rPr>
            </w:pPr>
            <w:r>
              <w:rPr>
                <w:rFonts w:hint="eastAsia" w:ascii="宋体" w:hAnsi="宋体" w:eastAsia="宋体"/>
                <w:b/>
                <w:color w:val="auto"/>
                <w:kern w:val="2"/>
                <w:sz w:val="21"/>
                <w:szCs w:val="21"/>
              </w:rPr>
              <w:t>指标名称</w:t>
            </w:r>
          </w:p>
        </w:tc>
        <w:tc>
          <w:tcPr>
            <w:tcW w:w="1701" w:type="dxa"/>
            <w:shd w:val="clear" w:color="auto" w:fill="948A54"/>
            <w:vAlign w:val="center"/>
          </w:tcPr>
          <w:p w14:paraId="4864B7F1">
            <w:pPr>
              <w:pStyle w:val="31"/>
              <w:widowControl w:val="0"/>
              <w:spacing w:line="260" w:lineRule="exact"/>
              <w:rPr>
                <w:rFonts w:ascii="宋体" w:hAnsi="宋体" w:eastAsia="宋体" w:cs="Times New Roman"/>
                <w:b/>
                <w:color w:val="auto"/>
                <w:kern w:val="2"/>
                <w:sz w:val="24"/>
                <w:szCs w:val="24"/>
                <w:lang w:val="en-US" w:eastAsia="zh-CN" w:bidi="ar-SA"/>
              </w:rPr>
            </w:pPr>
            <w:r>
              <w:rPr>
                <w:rFonts w:hint="eastAsia" w:ascii="宋体" w:hAnsi="宋体" w:eastAsia="宋体"/>
                <w:b/>
                <w:color w:val="auto"/>
                <w:kern w:val="2"/>
                <w:sz w:val="21"/>
                <w:szCs w:val="21"/>
              </w:rPr>
              <w:t>202</w:t>
            </w:r>
            <w:r>
              <w:rPr>
                <w:rFonts w:hint="eastAsia" w:ascii="宋体" w:hAnsi="宋体" w:eastAsia="宋体"/>
                <w:b/>
                <w:color w:val="auto"/>
                <w:kern w:val="2"/>
                <w:sz w:val="21"/>
                <w:szCs w:val="21"/>
                <w:lang w:val="en-US" w:eastAsia="zh-CN"/>
              </w:rPr>
              <w:t>3</w:t>
            </w:r>
            <w:r>
              <w:rPr>
                <w:rFonts w:hint="eastAsia" w:ascii="宋体" w:hAnsi="宋体" w:eastAsia="宋体"/>
                <w:b/>
                <w:color w:val="auto"/>
                <w:kern w:val="2"/>
                <w:sz w:val="21"/>
                <w:szCs w:val="21"/>
              </w:rPr>
              <w:t>年</w:t>
            </w:r>
          </w:p>
        </w:tc>
        <w:tc>
          <w:tcPr>
            <w:tcW w:w="1701" w:type="dxa"/>
            <w:shd w:val="clear" w:color="auto" w:fill="948A54"/>
            <w:vAlign w:val="center"/>
          </w:tcPr>
          <w:p w14:paraId="5AF17C6E">
            <w:pPr>
              <w:pStyle w:val="31"/>
              <w:widowControl w:val="0"/>
              <w:spacing w:line="260" w:lineRule="exact"/>
              <w:rPr>
                <w:rFonts w:ascii="宋体" w:hAnsi="宋体" w:eastAsia="宋体" w:cs="Times New Roman"/>
                <w:b/>
                <w:color w:val="auto"/>
                <w:kern w:val="2"/>
                <w:sz w:val="24"/>
                <w:szCs w:val="24"/>
                <w:lang w:val="en-US" w:eastAsia="zh-CN" w:bidi="ar-SA"/>
              </w:rPr>
            </w:pPr>
            <w:r>
              <w:rPr>
                <w:rFonts w:hint="eastAsia" w:ascii="宋体" w:hAnsi="宋体" w:eastAsia="宋体"/>
                <w:b/>
                <w:color w:val="auto"/>
                <w:kern w:val="2"/>
                <w:sz w:val="21"/>
                <w:szCs w:val="21"/>
              </w:rPr>
              <w:t>20</w:t>
            </w:r>
            <w:r>
              <w:rPr>
                <w:rFonts w:ascii="宋体" w:hAnsi="宋体" w:eastAsia="宋体"/>
                <w:b/>
                <w:color w:val="auto"/>
                <w:kern w:val="2"/>
                <w:sz w:val="21"/>
                <w:szCs w:val="21"/>
              </w:rPr>
              <w:t>2</w:t>
            </w:r>
            <w:r>
              <w:rPr>
                <w:rFonts w:hint="eastAsia" w:ascii="宋体" w:hAnsi="宋体" w:eastAsia="宋体"/>
                <w:b/>
                <w:color w:val="auto"/>
                <w:kern w:val="2"/>
                <w:sz w:val="21"/>
                <w:szCs w:val="21"/>
                <w:lang w:val="en-US" w:eastAsia="zh-CN"/>
              </w:rPr>
              <w:t>4</w:t>
            </w:r>
            <w:r>
              <w:rPr>
                <w:rFonts w:hint="eastAsia" w:ascii="宋体" w:hAnsi="宋体" w:eastAsia="宋体"/>
                <w:b/>
                <w:color w:val="auto"/>
                <w:kern w:val="2"/>
                <w:sz w:val="21"/>
                <w:szCs w:val="21"/>
              </w:rPr>
              <w:t>年</w:t>
            </w:r>
          </w:p>
        </w:tc>
        <w:tc>
          <w:tcPr>
            <w:tcW w:w="1793" w:type="dxa"/>
            <w:shd w:val="clear" w:color="auto" w:fill="948A54"/>
            <w:vAlign w:val="center"/>
          </w:tcPr>
          <w:p w14:paraId="7D3F66AB">
            <w:pPr>
              <w:pStyle w:val="31"/>
              <w:widowControl w:val="0"/>
              <w:spacing w:line="260" w:lineRule="exact"/>
              <w:rPr>
                <w:rFonts w:ascii="宋体" w:hAnsi="宋体" w:eastAsia="宋体" w:cs="Times New Roman"/>
                <w:b/>
                <w:color w:val="auto"/>
                <w:kern w:val="2"/>
                <w:sz w:val="24"/>
                <w:szCs w:val="24"/>
                <w:lang w:val="en-US" w:eastAsia="zh-CN" w:bidi="ar-SA"/>
              </w:rPr>
            </w:pPr>
            <w:r>
              <w:rPr>
                <w:rFonts w:hint="eastAsia" w:ascii="宋体" w:hAnsi="宋体" w:eastAsia="宋体"/>
                <w:b/>
                <w:color w:val="auto"/>
                <w:kern w:val="2"/>
                <w:sz w:val="21"/>
                <w:szCs w:val="21"/>
              </w:rPr>
              <w:t>202</w:t>
            </w:r>
            <w:r>
              <w:rPr>
                <w:rFonts w:hint="eastAsia" w:ascii="宋体" w:hAnsi="宋体" w:eastAsia="宋体"/>
                <w:b/>
                <w:color w:val="auto"/>
                <w:kern w:val="2"/>
                <w:sz w:val="21"/>
                <w:szCs w:val="21"/>
                <w:lang w:val="en-US" w:eastAsia="zh-CN"/>
              </w:rPr>
              <w:t>5</w:t>
            </w:r>
            <w:r>
              <w:rPr>
                <w:rFonts w:hint="eastAsia" w:ascii="宋体" w:hAnsi="宋体" w:eastAsia="宋体"/>
                <w:b/>
                <w:color w:val="auto"/>
                <w:kern w:val="2"/>
                <w:sz w:val="21"/>
                <w:szCs w:val="21"/>
              </w:rPr>
              <w:t>年</w:t>
            </w:r>
          </w:p>
        </w:tc>
      </w:tr>
      <w:tr w14:paraId="356D9A7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33" w:hRule="atLeast"/>
          <w:jc w:val="center"/>
        </w:trPr>
        <w:tc>
          <w:tcPr>
            <w:tcW w:w="3497" w:type="dxa"/>
          </w:tcPr>
          <w:p w14:paraId="70A092CC">
            <w:pPr>
              <w:pStyle w:val="10"/>
              <w:widowControl w:val="0"/>
              <w:spacing w:line="400" w:lineRule="exact"/>
              <w:jc w:val="center"/>
              <w:rPr>
                <w:rFonts w:ascii="宋体" w:hAnsi="宋体"/>
                <w:kern w:val="2"/>
                <w:sz w:val="21"/>
                <w:szCs w:val="21"/>
              </w:rPr>
            </w:pPr>
            <w:r>
              <w:rPr>
                <w:rFonts w:hint="eastAsia" w:ascii="宋体" w:hAnsi="宋体"/>
                <w:kern w:val="2"/>
                <w:sz w:val="21"/>
                <w:szCs w:val="21"/>
              </w:rPr>
              <w:t>能耗/（度/件）</w:t>
            </w:r>
          </w:p>
        </w:tc>
        <w:tc>
          <w:tcPr>
            <w:tcW w:w="1701" w:type="dxa"/>
            <w:vAlign w:val="center"/>
          </w:tcPr>
          <w:p w14:paraId="5B2C89A7">
            <w:pPr>
              <w:pStyle w:val="10"/>
              <w:widowControl w:val="0"/>
              <w:spacing w:line="400" w:lineRule="exact"/>
              <w:jc w:val="center"/>
              <w:rPr>
                <w:rFonts w:ascii="宋体" w:hAnsi="宋体"/>
                <w:kern w:val="2"/>
                <w:sz w:val="21"/>
                <w:szCs w:val="21"/>
              </w:rPr>
            </w:pPr>
            <w:r>
              <w:rPr>
                <w:rFonts w:hint="eastAsia" w:ascii="宋体" w:hAnsi="宋体"/>
                <w:kern w:val="2"/>
                <w:sz w:val="21"/>
                <w:szCs w:val="21"/>
              </w:rPr>
              <w:t>3.63</w:t>
            </w:r>
          </w:p>
        </w:tc>
        <w:tc>
          <w:tcPr>
            <w:tcW w:w="1701" w:type="dxa"/>
            <w:vAlign w:val="center"/>
          </w:tcPr>
          <w:p w14:paraId="56A9BB16">
            <w:pPr>
              <w:pStyle w:val="10"/>
              <w:widowControl w:val="0"/>
              <w:spacing w:line="400" w:lineRule="exact"/>
              <w:jc w:val="center"/>
              <w:rPr>
                <w:rFonts w:ascii="宋体" w:hAnsi="宋体"/>
                <w:kern w:val="2"/>
                <w:sz w:val="21"/>
                <w:szCs w:val="21"/>
              </w:rPr>
            </w:pPr>
            <w:r>
              <w:rPr>
                <w:rFonts w:hint="eastAsia" w:ascii="宋体" w:hAnsi="宋体"/>
                <w:kern w:val="2"/>
                <w:sz w:val="21"/>
                <w:szCs w:val="21"/>
              </w:rPr>
              <w:t>2.78</w:t>
            </w:r>
          </w:p>
        </w:tc>
        <w:tc>
          <w:tcPr>
            <w:tcW w:w="1793" w:type="dxa"/>
            <w:vAlign w:val="center"/>
          </w:tcPr>
          <w:p w14:paraId="487B18A7">
            <w:pPr>
              <w:pStyle w:val="31"/>
              <w:widowControl w:val="0"/>
              <w:spacing w:line="400" w:lineRule="exact"/>
              <w:rPr>
                <w:rFonts w:ascii="宋体" w:hAnsi="宋体" w:eastAsia="宋体"/>
                <w:color w:val="auto"/>
                <w:kern w:val="2"/>
                <w:sz w:val="21"/>
                <w:szCs w:val="21"/>
              </w:rPr>
            </w:pPr>
            <w:r>
              <w:rPr>
                <w:rFonts w:hint="eastAsia" w:ascii="宋体" w:hAnsi="宋体" w:eastAsia="宋体"/>
                <w:color w:val="auto"/>
                <w:kern w:val="2"/>
                <w:sz w:val="21"/>
                <w:szCs w:val="21"/>
              </w:rPr>
              <w:t>2.83</w:t>
            </w:r>
          </w:p>
        </w:tc>
      </w:tr>
      <w:tr w14:paraId="549068E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33" w:hRule="atLeast"/>
          <w:jc w:val="center"/>
        </w:trPr>
        <w:tc>
          <w:tcPr>
            <w:tcW w:w="3497" w:type="dxa"/>
          </w:tcPr>
          <w:p w14:paraId="48CB4189">
            <w:pPr>
              <w:pStyle w:val="10"/>
              <w:widowControl w:val="0"/>
              <w:spacing w:line="400" w:lineRule="exact"/>
              <w:jc w:val="center"/>
              <w:rPr>
                <w:rFonts w:ascii="宋体" w:hAnsi="宋体"/>
                <w:kern w:val="2"/>
                <w:sz w:val="21"/>
                <w:szCs w:val="21"/>
              </w:rPr>
            </w:pPr>
            <w:r>
              <w:rPr>
                <w:rFonts w:hint="eastAsia" w:ascii="宋体" w:hAnsi="宋体"/>
                <w:kern w:val="2"/>
                <w:sz w:val="21"/>
                <w:szCs w:val="21"/>
              </w:rPr>
              <w:t>生产周期/(h/件)</w:t>
            </w:r>
          </w:p>
        </w:tc>
        <w:tc>
          <w:tcPr>
            <w:tcW w:w="1701" w:type="dxa"/>
            <w:vAlign w:val="center"/>
          </w:tcPr>
          <w:p w14:paraId="389E061A">
            <w:pPr>
              <w:pStyle w:val="10"/>
              <w:widowControl w:val="0"/>
              <w:spacing w:line="400" w:lineRule="exact"/>
              <w:jc w:val="center"/>
              <w:rPr>
                <w:rFonts w:ascii="宋体" w:hAnsi="宋体"/>
                <w:kern w:val="2"/>
                <w:sz w:val="21"/>
                <w:szCs w:val="21"/>
              </w:rPr>
            </w:pPr>
            <w:r>
              <w:rPr>
                <w:rFonts w:hint="eastAsia" w:ascii="宋体" w:hAnsi="宋体"/>
                <w:kern w:val="2"/>
                <w:sz w:val="21"/>
                <w:szCs w:val="21"/>
              </w:rPr>
              <w:t>0.015</w:t>
            </w:r>
          </w:p>
        </w:tc>
        <w:tc>
          <w:tcPr>
            <w:tcW w:w="1701" w:type="dxa"/>
            <w:vAlign w:val="center"/>
          </w:tcPr>
          <w:p w14:paraId="215CEB6A">
            <w:pPr>
              <w:pStyle w:val="10"/>
              <w:widowControl w:val="0"/>
              <w:spacing w:line="400" w:lineRule="exact"/>
              <w:jc w:val="center"/>
              <w:rPr>
                <w:rFonts w:ascii="宋体" w:hAnsi="宋体"/>
                <w:kern w:val="2"/>
                <w:sz w:val="21"/>
                <w:szCs w:val="21"/>
              </w:rPr>
            </w:pPr>
            <w:r>
              <w:rPr>
                <w:rFonts w:hint="eastAsia" w:ascii="宋体" w:hAnsi="宋体"/>
                <w:kern w:val="2"/>
                <w:sz w:val="21"/>
                <w:szCs w:val="21"/>
              </w:rPr>
              <w:t>0.012</w:t>
            </w:r>
          </w:p>
        </w:tc>
        <w:tc>
          <w:tcPr>
            <w:tcW w:w="1793" w:type="dxa"/>
            <w:vAlign w:val="center"/>
          </w:tcPr>
          <w:p w14:paraId="04BFFE6E">
            <w:pPr>
              <w:pStyle w:val="31"/>
              <w:widowControl w:val="0"/>
              <w:spacing w:line="400" w:lineRule="exact"/>
              <w:rPr>
                <w:rFonts w:ascii="宋体" w:hAnsi="宋体" w:eastAsia="宋体"/>
                <w:color w:val="auto"/>
                <w:kern w:val="2"/>
                <w:sz w:val="21"/>
                <w:szCs w:val="21"/>
              </w:rPr>
            </w:pPr>
            <w:r>
              <w:rPr>
                <w:rFonts w:hint="eastAsia" w:ascii="宋体" w:hAnsi="宋体" w:eastAsia="宋体"/>
                <w:color w:val="auto"/>
                <w:kern w:val="2"/>
                <w:sz w:val="21"/>
                <w:szCs w:val="21"/>
              </w:rPr>
              <w:t>0.013</w:t>
            </w:r>
          </w:p>
        </w:tc>
      </w:tr>
    </w:tbl>
    <w:p w14:paraId="431610F5">
      <w:pPr>
        <w:autoSpaceDE w:val="0"/>
        <w:autoSpaceDN w:val="0"/>
        <w:adjustRightInd w:val="0"/>
        <w:spacing w:before="156" w:beforeLines="50" w:line="360" w:lineRule="auto"/>
        <w:jc w:val="center"/>
        <w:rPr>
          <w:rFonts w:ascii="黑体" w:hAnsi="黑体" w:eastAsia="黑体" w:cs="宋体"/>
          <w:b/>
          <w:sz w:val="21"/>
          <w:szCs w:val="21"/>
        </w:rPr>
      </w:pPr>
      <w:r>
        <w:rPr>
          <w:rFonts w:hint="eastAsia" w:ascii="黑体" w:hAnsi="黑体" w:eastAsia="黑体" w:cs="宋体"/>
          <w:b/>
          <w:sz w:val="21"/>
          <w:szCs w:val="21"/>
        </w:rPr>
        <w:t>表4.7</w:t>
      </w:r>
      <w:r>
        <w:rPr>
          <w:rFonts w:ascii="黑体" w:hAnsi="黑体" w:eastAsia="黑体" w:cs="宋体"/>
          <w:b/>
          <w:sz w:val="21"/>
          <w:szCs w:val="21"/>
        </w:rPr>
        <w:t>.6</w:t>
      </w:r>
      <w:r>
        <w:rPr>
          <w:rFonts w:hint="eastAsia" w:ascii="黑体" w:hAnsi="黑体" w:eastAsia="黑体" w:cs="宋体"/>
          <w:b/>
          <w:sz w:val="21"/>
          <w:szCs w:val="21"/>
        </w:rPr>
        <w:t>-4 市场营销过程有效性结果变化趋势</w:t>
      </w:r>
    </w:p>
    <w:tbl>
      <w:tblPr>
        <w:tblStyle w:val="22"/>
        <w:tblW w:w="8692"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3497"/>
        <w:gridCol w:w="1701"/>
        <w:gridCol w:w="1701"/>
        <w:gridCol w:w="1793"/>
      </w:tblGrid>
      <w:tr w14:paraId="4600266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3497" w:type="dxa"/>
            <w:shd w:val="clear" w:color="auto" w:fill="938953"/>
            <w:vAlign w:val="center"/>
          </w:tcPr>
          <w:p w14:paraId="40955E12">
            <w:pPr>
              <w:pStyle w:val="10"/>
              <w:widowControl w:val="0"/>
              <w:spacing w:line="400" w:lineRule="exact"/>
              <w:jc w:val="center"/>
              <w:rPr>
                <w:rFonts w:ascii="宋体" w:hAnsi="宋体"/>
                <w:kern w:val="2"/>
                <w:sz w:val="21"/>
                <w:szCs w:val="21"/>
              </w:rPr>
            </w:pPr>
            <w:r>
              <w:rPr>
                <w:rFonts w:hint="eastAsia"/>
                <w:b/>
                <w:bCs/>
                <w:kern w:val="2"/>
                <w:sz w:val="24"/>
                <w:szCs w:val="21"/>
              </w:rPr>
              <w:t>指标名称</w:t>
            </w:r>
          </w:p>
        </w:tc>
        <w:tc>
          <w:tcPr>
            <w:tcW w:w="1701" w:type="dxa"/>
            <w:shd w:val="clear" w:color="auto" w:fill="948A54"/>
            <w:vAlign w:val="center"/>
          </w:tcPr>
          <w:p w14:paraId="3D46B4ED">
            <w:pPr>
              <w:pStyle w:val="31"/>
              <w:widowControl w:val="0"/>
              <w:spacing w:line="260" w:lineRule="exact"/>
              <w:rPr>
                <w:rFonts w:ascii="宋体" w:hAnsi="宋体" w:eastAsia="宋体" w:cs="Times New Roman"/>
                <w:b/>
                <w:color w:val="auto"/>
                <w:kern w:val="2"/>
                <w:sz w:val="24"/>
                <w:szCs w:val="24"/>
                <w:lang w:val="en-US" w:eastAsia="zh-CN" w:bidi="ar-SA"/>
              </w:rPr>
            </w:pPr>
            <w:r>
              <w:rPr>
                <w:rFonts w:hint="eastAsia" w:ascii="宋体" w:hAnsi="宋体" w:eastAsia="宋体"/>
                <w:b/>
                <w:color w:val="auto"/>
                <w:kern w:val="2"/>
                <w:sz w:val="21"/>
                <w:szCs w:val="21"/>
              </w:rPr>
              <w:t>202</w:t>
            </w:r>
            <w:r>
              <w:rPr>
                <w:rFonts w:hint="eastAsia" w:ascii="宋体" w:hAnsi="宋体" w:eastAsia="宋体"/>
                <w:b/>
                <w:color w:val="auto"/>
                <w:kern w:val="2"/>
                <w:sz w:val="21"/>
                <w:szCs w:val="21"/>
                <w:lang w:val="en-US" w:eastAsia="zh-CN"/>
              </w:rPr>
              <w:t>3</w:t>
            </w:r>
            <w:r>
              <w:rPr>
                <w:rFonts w:hint="eastAsia" w:ascii="宋体" w:hAnsi="宋体" w:eastAsia="宋体"/>
                <w:b/>
                <w:color w:val="auto"/>
                <w:kern w:val="2"/>
                <w:sz w:val="21"/>
                <w:szCs w:val="21"/>
              </w:rPr>
              <w:t>年</w:t>
            </w:r>
          </w:p>
        </w:tc>
        <w:tc>
          <w:tcPr>
            <w:tcW w:w="1701" w:type="dxa"/>
            <w:shd w:val="clear" w:color="auto" w:fill="948A54"/>
            <w:vAlign w:val="center"/>
          </w:tcPr>
          <w:p w14:paraId="5C97C083">
            <w:pPr>
              <w:pStyle w:val="31"/>
              <w:widowControl w:val="0"/>
              <w:spacing w:line="260" w:lineRule="exact"/>
              <w:rPr>
                <w:rFonts w:ascii="宋体" w:hAnsi="宋体" w:eastAsia="宋体" w:cs="Times New Roman"/>
                <w:b/>
                <w:color w:val="auto"/>
                <w:kern w:val="2"/>
                <w:sz w:val="24"/>
                <w:szCs w:val="24"/>
                <w:lang w:val="en-US" w:eastAsia="zh-CN" w:bidi="ar-SA"/>
              </w:rPr>
            </w:pPr>
            <w:r>
              <w:rPr>
                <w:rFonts w:hint="eastAsia" w:ascii="宋体" w:hAnsi="宋体" w:eastAsia="宋体"/>
                <w:b/>
                <w:color w:val="auto"/>
                <w:kern w:val="2"/>
                <w:sz w:val="21"/>
                <w:szCs w:val="21"/>
              </w:rPr>
              <w:t>20</w:t>
            </w:r>
            <w:r>
              <w:rPr>
                <w:rFonts w:ascii="宋体" w:hAnsi="宋体" w:eastAsia="宋体"/>
                <w:b/>
                <w:color w:val="auto"/>
                <w:kern w:val="2"/>
                <w:sz w:val="21"/>
                <w:szCs w:val="21"/>
              </w:rPr>
              <w:t>2</w:t>
            </w:r>
            <w:r>
              <w:rPr>
                <w:rFonts w:hint="eastAsia" w:ascii="宋体" w:hAnsi="宋体" w:eastAsia="宋体"/>
                <w:b/>
                <w:color w:val="auto"/>
                <w:kern w:val="2"/>
                <w:sz w:val="21"/>
                <w:szCs w:val="21"/>
                <w:lang w:val="en-US" w:eastAsia="zh-CN"/>
              </w:rPr>
              <w:t>4</w:t>
            </w:r>
            <w:r>
              <w:rPr>
                <w:rFonts w:hint="eastAsia" w:ascii="宋体" w:hAnsi="宋体" w:eastAsia="宋体"/>
                <w:b/>
                <w:color w:val="auto"/>
                <w:kern w:val="2"/>
                <w:sz w:val="21"/>
                <w:szCs w:val="21"/>
              </w:rPr>
              <w:t>年</w:t>
            </w:r>
          </w:p>
        </w:tc>
        <w:tc>
          <w:tcPr>
            <w:tcW w:w="1793" w:type="dxa"/>
            <w:shd w:val="clear" w:color="auto" w:fill="948A54"/>
            <w:vAlign w:val="center"/>
          </w:tcPr>
          <w:p w14:paraId="44C14851">
            <w:pPr>
              <w:pStyle w:val="31"/>
              <w:widowControl w:val="0"/>
              <w:spacing w:line="260" w:lineRule="exact"/>
              <w:rPr>
                <w:rFonts w:ascii="宋体" w:hAnsi="宋体" w:eastAsia="宋体" w:cs="Times New Roman"/>
                <w:b/>
                <w:color w:val="auto"/>
                <w:kern w:val="2"/>
                <w:sz w:val="24"/>
                <w:szCs w:val="24"/>
                <w:lang w:val="en-US" w:eastAsia="zh-CN" w:bidi="ar-SA"/>
              </w:rPr>
            </w:pPr>
            <w:r>
              <w:rPr>
                <w:rFonts w:hint="eastAsia" w:ascii="宋体" w:hAnsi="宋体" w:eastAsia="宋体"/>
                <w:b/>
                <w:color w:val="auto"/>
                <w:kern w:val="2"/>
                <w:sz w:val="21"/>
                <w:szCs w:val="21"/>
              </w:rPr>
              <w:t>202</w:t>
            </w:r>
            <w:r>
              <w:rPr>
                <w:rFonts w:hint="eastAsia" w:ascii="宋体" w:hAnsi="宋体" w:eastAsia="宋体"/>
                <w:b/>
                <w:color w:val="auto"/>
                <w:kern w:val="2"/>
                <w:sz w:val="21"/>
                <w:szCs w:val="21"/>
                <w:lang w:val="en-US" w:eastAsia="zh-CN"/>
              </w:rPr>
              <w:t>5</w:t>
            </w:r>
            <w:r>
              <w:rPr>
                <w:rFonts w:hint="eastAsia" w:ascii="宋体" w:hAnsi="宋体" w:eastAsia="宋体"/>
                <w:b/>
                <w:color w:val="auto"/>
                <w:kern w:val="2"/>
                <w:sz w:val="21"/>
                <w:szCs w:val="21"/>
              </w:rPr>
              <w:t>年</w:t>
            </w:r>
          </w:p>
        </w:tc>
      </w:tr>
      <w:tr w14:paraId="1D15306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33" w:hRule="atLeast"/>
          <w:jc w:val="center"/>
        </w:trPr>
        <w:tc>
          <w:tcPr>
            <w:tcW w:w="3497" w:type="dxa"/>
          </w:tcPr>
          <w:p w14:paraId="0ECD9170">
            <w:pPr>
              <w:pStyle w:val="10"/>
              <w:widowControl w:val="0"/>
              <w:spacing w:line="400" w:lineRule="exact"/>
              <w:jc w:val="center"/>
              <w:rPr>
                <w:rFonts w:ascii="宋体" w:hAnsi="宋体"/>
                <w:kern w:val="2"/>
                <w:sz w:val="21"/>
                <w:szCs w:val="21"/>
              </w:rPr>
            </w:pPr>
            <w:r>
              <w:rPr>
                <w:rFonts w:hint="eastAsia" w:ascii="宋体" w:hAnsi="宋体"/>
                <w:kern w:val="2"/>
                <w:sz w:val="21"/>
                <w:szCs w:val="21"/>
              </w:rPr>
              <w:t>按期交货率/%</w:t>
            </w:r>
          </w:p>
        </w:tc>
        <w:tc>
          <w:tcPr>
            <w:tcW w:w="1701" w:type="dxa"/>
            <w:vAlign w:val="center"/>
          </w:tcPr>
          <w:p w14:paraId="7F51379F">
            <w:pPr>
              <w:pStyle w:val="10"/>
              <w:widowControl w:val="0"/>
              <w:spacing w:line="400" w:lineRule="exact"/>
              <w:jc w:val="center"/>
              <w:rPr>
                <w:rFonts w:ascii="宋体" w:hAnsi="宋体"/>
                <w:kern w:val="2"/>
                <w:sz w:val="21"/>
                <w:szCs w:val="21"/>
              </w:rPr>
            </w:pPr>
            <w:r>
              <w:rPr>
                <w:rFonts w:hint="eastAsia" w:ascii="宋体" w:hAnsi="宋体"/>
                <w:kern w:val="2"/>
                <w:sz w:val="21"/>
                <w:szCs w:val="21"/>
              </w:rPr>
              <w:t>100</w:t>
            </w:r>
          </w:p>
        </w:tc>
        <w:tc>
          <w:tcPr>
            <w:tcW w:w="1701" w:type="dxa"/>
            <w:vAlign w:val="center"/>
          </w:tcPr>
          <w:p w14:paraId="69CFC8F8">
            <w:pPr>
              <w:pStyle w:val="10"/>
              <w:widowControl w:val="0"/>
              <w:spacing w:line="400" w:lineRule="exact"/>
              <w:jc w:val="center"/>
              <w:rPr>
                <w:rFonts w:ascii="宋体" w:hAnsi="宋体"/>
                <w:kern w:val="2"/>
                <w:sz w:val="21"/>
                <w:szCs w:val="21"/>
              </w:rPr>
            </w:pPr>
            <w:r>
              <w:rPr>
                <w:rFonts w:hint="eastAsia" w:ascii="宋体" w:hAnsi="宋体"/>
                <w:kern w:val="2"/>
                <w:sz w:val="21"/>
                <w:szCs w:val="21"/>
              </w:rPr>
              <w:t>100</w:t>
            </w:r>
          </w:p>
        </w:tc>
        <w:tc>
          <w:tcPr>
            <w:tcW w:w="1793" w:type="dxa"/>
            <w:vAlign w:val="center"/>
          </w:tcPr>
          <w:p w14:paraId="635DB5D2">
            <w:pPr>
              <w:pStyle w:val="31"/>
              <w:widowControl w:val="0"/>
              <w:spacing w:line="400" w:lineRule="exact"/>
              <w:rPr>
                <w:rFonts w:ascii="宋体" w:hAnsi="宋体" w:eastAsia="宋体"/>
                <w:color w:val="auto"/>
                <w:kern w:val="2"/>
                <w:sz w:val="21"/>
                <w:szCs w:val="21"/>
              </w:rPr>
            </w:pPr>
            <w:r>
              <w:rPr>
                <w:rFonts w:hint="eastAsia" w:ascii="宋体" w:hAnsi="宋体" w:eastAsia="宋体"/>
                <w:color w:val="auto"/>
                <w:kern w:val="2"/>
                <w:sz w:val="21"/>
                <w:szCs w:val="21"/>
              </w:rPr>
              <w:t>100</w:t>
            </w:r>
          </w:p>
        </w:tc>
      </w:tr>
      <w:tr w14:paraId="398916F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33" w:hRule="atLeast"/>
          <w:jc w:val="center"/>
        </w:trPr>
        <w:tc>
          <w:tcPr>
            <w:tcW w:w="3497" w:type="dxa"/>
          </w:tcPr>
          <w:p w14:paraId="50EF9818">
            <w:pPr>
              <w:pStyle w:val="10"/>
              <w:widowControl w:val="0"/>
              <w:spacing w:line="400" w:lineRule="exact"/>
              <w:jc w:val="center"/>
              <w:rPr>
                <w:rFonts w:ascii="宋体" w:hAnsi="宋体"/>
                <w:kern w:val="2"/>
                <w:sz w:val="21"/>
                <w:szCs w:val="21"/>
              </w:rPr>
            </w:pPr>
            <w:r>
              <w:rPr>
                <w:rFonts w:hint="eastAsia" w:ascii="宋体" w:hAnsi="宋体"/>
                <w:kern w:val="2"/>
                <w:sz w:val="21"/>
                <w:szCs w:val="21"/>
              </w:rPr>
              <w:t>顾客满意度/%</w:t>
            </w:r>
          </w:p>
        </w:tc>
        <w:tc>
          <w:tcPr>
            <w:tcW w:w="1701" w:type="dxa"/>
            <w:vAlign w:val="center"/>
          </w:tcPr>
          <w:p w14:paraId="12AAAA09">
            <w:pPr>
              <w:pStyle w:val="10"/>
              <w:widowControl w:val="0"/>
              <w:spacing w:line="400" w:lineRule="exact"/>
              <w:jc w:val="center"/>
              <w:rPr>
                <w:rFonts w:ascii="宋体" w:hAnsi="宋体"/>
                <w:kern w:val="2"/>
                <w:sz w:val="21"/>
                <w:szCs w:val="21"/>
              </w:rPr>
            </w:pPr>
            <w:r>
              <w:rPr>
                <w:rFonts w:hint="eastAsia" w:ascii="宋体" w:hAnsi="宋体"/>
                <w:kern w:val="2"/>
                <w:sz w:val="21"/>
                <w:szCs w:val="21"/>
              </w:rPr>
              <w:t>93</w:t>
            </w:r>
          </w:p>
        </w:tc>
        <w:tc>
          <w:tcPr>
            <w:tcW w:w="1701" w:type="dxa"/>
            <w:vAlign w:val="center"/>
          </w:tcPr>
          <w:p w14:paraId="3849E287">
            <w:pPr>
              <w:pStyle w:val="10"/>
              <w:widowControl w:val="0"/>
              <w:spacing w:line="400" w:lineRule="exact"/>
              <w:jc w:val="center"/>
              <w:rPr>
                <w:rFonts w:ascii="宋体" w:hAnsi="宋体"/>
                <w:kern w:val="2"/>
                <w:sz w:val="21"/>
                <w:szCs w:val="21"/>
              </w:rPr>
            </w:pPr>
            <w:r>
              <w:rPr>
                <w:rFonts w:hint="eastAsia" w:ascii="宋体" w:hAnsi="宋体"/>
                <w:kern w:val="2"/>
                <w:sz w:val="21"/>
                <w:szCs w:val="21"/>
              </w:rPr>
              <w:t>93</w:t>
            </w:r>
          </w:p>
        </w:tc>
        <w:tc>
          <w:tcPr>
            <w:tcW w:w="1793" w:type="dxa"/>
            <w:vAlign w:val="center"/>
          </w:tcPr>
          <w:p w14:paraId="058424EC">
            <w:pPr>
              <w:pStyle w:val="31"/>
              <w:widowControl w:val="0"/>
              <w:spacing w:line="400" w:lineRule="exact"/>
              <w:rPr>
                <w:rFonts w:ascii="宋体" w:hAnsi="宋体" w:eastAsia="宋体"/>
                <w:color w:val="auto"/>
                <w:kern w:val="2"/>
                <w:sz w:val="21"/>
                <w:szCs w:val="21"/>
              </w:rPr>
            </w:pPr>
            <w:r>
              <w:rPr>
                <w:rFonts w:hint="eastAsia" w:ascii="宋体" w:hAnsi="宋体" w:eastAsia="宋体"/>
                <w:color w:val="auto"/>
                <w:kern w:val="2"/>
                <w:sz w:val="21"/>
                <w:szCs w:val="21"/>
              </w:rPr>
              <w:t>94</w:t>
            </w:r>
          </w:p>
        </w:tc>
      </w:tr>
    </w:tbl>
    <w:p w14:paraId="5B4332DC">
      <w:pPr>
        <w:pStyle w:val="32"/>
        <w:spacing w:before="312" w:beforeLines="100" w:after="312" w:afterLines="100" w:line="360" w:lineRule="auto"/>
        <w:rPr>
          <w:rFonts w:ascii="Times New Roman" w:eastAsia="宋体"/>
        </w:rPr>
      </w:pPr>
      <w:bookmarkStart w:id="82" w:name="_Toc99720450"/>
      <w:r>
        <w:rPr>
          <w:rFonts w:ascii="Times New Roman" w:eastAsia="宋体"/>
        </w:rPr>
        <w:t>4.7.</w:t>
      </w:r>
      <w:r>
        <w:rPr>
          <w:rFonts w:hint="eastAsia" w:ascii="Times New Roman" w:eastAsia="宋体"/>
        </w:rPr>
        <w:t>7领导方面的结果</w:t>
      </w:r>
      <w:bookmarkEnd w:id="82"/>
    </w:p>
    <w:p w14:paraId="3C030B0C">
      <w:pPr>
        <w:pStyle w:val="44"/>
        <w:spacing w:beforeLines="0" w:line="360" w:lineRule="auto"/>
        <w:ind w:firstLine="0" w:firstLineChars="0"/>
        <w:rPr>
          <w:rFonts w:ascii="宋体" w:hAnsi="宋体" w:eastAsia="宋体"/>
        </w:rPr>
      </w:pPr>
      <w:r>
        <w:rPr>
          <w:rFonts w:ascii="宋体" w:hAnsi="宋体" w:eastAsia="宋体"/>
        </w:rPr>
        <w:t>a</w:t>
      </w:r>
      <w:r>
        <w:rPr>
          <w:rFonts w:hint="eastAsia" w:ascii="宋体" w:hAnsi="宋体" w:eastAsia="宋体"/>
        </w:rPr>
        <w:t>）在实现战略目标方面的关键绩效指标的当前水平和趋势</w:t>
      </w:r>
    </w:p>
    <w:p w14:paraId="5BCB9F21">
      <w:pPr>
        <w:pStyle w:val="36"/>
        <w:spacing w:line="360" w:lineRule="auto"/>
        <w:ind w:firstLine="480"/>
        <w:rPr>
          <w:rFonts w:ascii="宋体" w:hAnsi="宋体" w:eastAsia="宋体"/>
          <w:color w:val="auto"/>
        </w:rPr>
      </w:pPr>
      <w:r>
        <w:rPr>
          <w:rFonts w:hint="eastAsia" w:ascii="宋体" w:hAnsi="宋体" w:eastAsia="宋体"/>
          <w:color w:val="auto"/>
        </w:rPr>
        <w:t>近几年来，公司发展迅速，取得了比较好的绩效指标。公司每年进行战略评审，比较实际值与目标值。表4.7</w:t>
      </w:r>
      <w:r>
        <w:rPr>
          <w:rFonts w:ascii="宋体" w:hAnsi="宋体" w:eastAsia="宋体"/>
          <w:color w:val="auto"/>
        </w:rPr>
        <w:t>.7</w:t>
      </w:r>
      <w:r>
        <w:rPr>
          <w:rFonts w:hint="eastAsia" w:ascii="宋体" w:hAnsi="宋体" w:eastAsia="宋体"/>
          <w:color w:val="auto"/>
        </w:rPr>
        <w:t>-1显示了近3年公司的战略执行情况。</w:t>
      </w:r>
    </w:p>
    <w:p w14:paraId="2DA491AD">
      <w:pPr>
        <w:autoSpaceDE w:val="0"/>
        <w:autoSpaceDN w:val="0"/>
        <w:adjustRightInd w:val="0"/>
        <w:spacing w:line="360" w:lineRule="auto"/>
        <w:ind w:firstLine="422" w:firstLineChars="200"/>
        <w:jc w:val="center"/>
        <w:rPr>
          <w:rFonts w:ascii="黑体" w:hAnsi="黑体" w:eastAsia="黑体" w:cs="宋体"/>
          <w:b/>
          <w:sz w:val="21"/>
          <w:szCs w:val="21"/>
        </w:rPr>
      </w:pPr>
      <w:r>
        <w:rPr>
          <w:rFonts w:hint="eastAsia" w:ascii="黑体" w:hAnsi="黑体" w:eastAsia="黑体" w:cs="宋体"/>
          <w:b/>
          <w:sz w:val="21"/>
          <w:szCs w:val="21"/>
        </w:rPr>
        <w:t>表4.7</w:t>
      </w:r>
      <w:r>
        <w:rPr>
          <w:rFonts w:ascii="黑体" w:hAnsi="黑体" w:eastAsia="黑体" w:cs="宋体"/>
          <w:b/>
          <w:sz w:val="21"/>
          <w:szCs w:val="21"/>
        </w:rPr>
        <w:t>.7</w:t>
      </w:r>
      <w:r>
        <w:rPr>
          <w:rFonts w:hint="eastAsia" w:ascii="黑体" w:hAnsi="黑体" w:eastAsia="黑体" w:cs="宋体"/>
          <w:b/>
          <w:sz w:val="21"/>
          <w:szCs w:val="21"/>
        </w:rPr>
        <w:t>-1战略目标方面的关键绩效结果变化趋势</w:t>
      </w:r>
    </w:p>
    <w:tbl>
      <w:tblPr>
        <w:tblStyle w:val="22"/>
        <w:tblW w:w="8692"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3497"/>
        <w:gridCol w:w="1701"/>
        <w:gridCol w:w="1701"/>
        <w:gridCol w:w="1793"/>
      </w:tblGrid>
      <w:tr w14:paraId="1EDDCDC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3497" w:type="dxa"/>
            <w:shd w:val="clear" w:color="auto" w:fill="938953"/>
            <w:vAlign w:val="center"/>
          </w:tcPr>
          <w:p w14:paraId="1D7567C7">
            <w:pPr>
              <w:pStyle w:val="10"/>
              <w:widowControl w:val="0"/>
              <w:spacing w:line="400" w:lineRule="exact"/>
              <w:jc w:val="center"/>
              <w:rPr>
                <w:rFonts w:ascii="宋体" w:hAnsi="宋体"/>
                <w:kern w:val="2"/>
                <w:sz w:val="21"/>
                <w:szCs w:val="21"/>
              </w:rPr>
            </w:pPr>
            <w:r>
              <w:rPr>
                <w:rFonts w:hint="eastAsia"/>
                <w:b/>
                <w:bCs/>
                <w:kern w:val="2"/>
                <w:sz w:val="24"/>
                <w:szCs w:val="21"/>
              </w:rPr>
              <w:t>指标名称</w:t>
            </w:r>
          </w:p>
        </w:tc>
        <w:tc>
          <w:tcPr>
            <w:tcW w:w="1701" w:type="dxa"/>
            <w:shd w:val="clear" w:color="auto" w:fill="948A54"/>
            <w:vAlign w:val="center"/>
          </w:tcPr>
          <w:p w14:paraId="3C1AED2C">
            <w:pPr>
              <w:pStyle w:val="31"/>
              <w:widowControl w:val="0"/>
              <w:spacing w:line="260" w:lineRule="exact"/>
              <w:rPr>
                <w:rFonts w:ascii="宋体" w:hAnsi="宋体" w:eastAsia="宋体" w:cs="Times New Roman"/>
                <w:b/>
                <w:color w:val="auto"/>
                <w:kern w:val="2"/>
                <w:sz w:val="24"/>
                <w:szCs w:val="24"/>
                <w:lang w:val="en-US" w:eastAsia="zh-CN" w:bidi="ar-SA"/>
              </w:rPr>
            </w:pPr>
            <w:r>
              <w:rPr>
                <w:rFonts w:hint="eastAsia" w:ascii="宋体" w:hAnsi="宋体" w:eastAsia="宋体"/>
                <w:b/>
                <w:color w:val="auto"/>
                <w:kern w:val="2"/>
                <w:sz w:val="21"/>
                <w:szCs w:val="21"/>
              </w:rPr>
              <w:t>202</w:t>
            </w:r>
            <w:r>
              <w:rPr>
                <w:rFonts w:hint="eastAsia" w:ascii="宋体" w:hAnsi="宋体" w:eastAsia="宋体"/>
                <w:b/>
                <w:color w:val="auto"/>
                <w:kern w:val="2"/>
                <w:sz w:val="21"/>
                <w:szCs w:val="21"/>
                <w:lang w:val="en-US" w:eastAsia="zh-CN"/>
              </w:rPr>
              <w:t>3</w:t>
            </w:r>
            <w:r>
              <w:rPr>
                <w:rFonts w:hint="eastAsia" w:ascii="宋体" w:hAnsi="宋体" w:eastAsia="宋体"/>
                <w:b/>
                <w:color w:val="auto"/>
                <w:kern w:val="2"/>
                <w:sz w:val="21"/>
                <w:szCs w:val="21"/>
              </w:rPr>
              <w:t>年</w:t>
            </w:r>
          </w:p>
        </w:tc>
        <w:tc>
          <w:tcPr>
            <w:tcW w:w="1701" w:type="dxa"/>
            <w:shd w:val="clear" w:color="auto" w:fill="948A54"/>
            <w:vAlign w:val="center"/>
          </w:tcPr>
          <w:p w14:paraId="70098D71">
            <w:pPr>
              <w:pStyle w:val="31"/>
              <w:widowControl w:val="0"/>
              <w:spacing w:line="260" w:lineRule="exact"/>
              <w:rPr>
                <w:rFonts w:ascii="宋体" w:hAnsi="宋体" w:eastAsia="宋体" w:cs="Times New Roman"/>
                <w:b/>
                <w:color w:val="auto"/>
                <w:kern w:val="2"/>
                <w:sz w:val="24"/>
                <w:szCs w:val="24"/>
                <w:lang w:val="en-US" w:eastAsia="zh-CN" w:bidi="ar-SA"/>
              </w:rPr>
            </w:pPr>
            <w:r>
              <w:rPr>
                <w:rFonts w:hint="eastAsia" w:ascii="宋体" w:hAnsi="宋体" w:eastAsia="宋体"/>
                <w:b/>
                <w:color w:val="auto"/>
                <w:kern w:val="2"/>
                <w:sz w:val="21"/>
                <w:szCs w:val="21"/>
              </w:rPr>
              <w:t>20</w:t>
            </w:r>
            <w:r>
              <w:rPr>
                <w:rFonts w:ascii="宋体" w:hAnsi="宋体" w:eastAsia="宋体"/>
                <w:b/>
                <w:color w:val="auto"/>
                <w:kern w:val="2"/>
                <w:sz w:val="21"/>
                <w:szCs w:val="21"/>
              </w:rPr>
              <w:t>2</w:t>
            </w:r>
            <w:r>
              <w:rPr>
                <w:rFonts w:hint="eastAsia" w:ascii="宋体" w:hAnsi="宋体" w:eastAsia="宋体"/>
                <w:b/>
                <w:color w:val="auto"/>
                <w:kern w:val="2"/>
                <w:sz w:val="21"/>
                <w:szCs w:val="21"/>
                <w:lang w:val="en-US" w:eastAsia="zh-CN"/>
              </w:rPr>
              <w:t>4</w:t>
            </w:r>
            <w:r>
              <w:rPr>
                <w:rFonts w:hint="eastAsia" w:ascii="宋体" w:hAnsi="宋体" w:eastAsia="宋体"/>
                <w:b/>
                <w:color w:val="auto"/>
                <w:kern w:val="2"/>
                <w:sz w:val="21"/>
                <w:szCs w:val="21"/>
              </w:rPr>
              <w:t>年</w:t>
            </w:r>
          </w:p>
        </w:tc>
        <w:tc>
          <w:tcPr>
            <w:tcW w:w="1793" w:type="dxa"/>
            <w:shd w:val="clear" w:color="auto" w:fill="948A54"/>
            <w:vAlign w:val="center"/>
          </w:tcPr>
          <w:p w14:paraId="39842DCC">
            <w:pPr>
              <w:pStyle w:val="31"/>
              <w:widowControl w:val="0"/>
              <w:spacing w:line="260" w:lineRule="exact"/>
              <w:rPr>
                <w:rFonts w:ascii="宋体" w:hAnsi="宋体" w:eastAsia="宋体" w:cs="Times New Roman"/>
                <w:b/>
                <w:color w:val="auto"/>
                <w:kern w:val="2"/>
                <w:sz w:val="24"/>
                <w:szCs w:val="24"/>
                <w:lang w:val="en-US" w:eastAsia="zh-CN" w:bidi="ar-SA"/>
              </w:rPr>
            </w:pPr>
            <w:r>
              <w:rPr>
                <w:rFonts w:hint="eastAsia" w:ascii="宋体" w:hAnsi="宋体" w:eastAsia="宋体"/>
                <w:b/>
                <w:color w:val="auto"/>
                <w:kern w:val="2"/>
                <w:sz w:val="21"/>
                <w:szCs w:val="21"/>
              </w:rPr>
              <w:t>202</w:t>
            </w:r>
            <w:r>
              <w:rPr>
                <w:rFonts w:hint="eastAsia" w:ascii="宋体" w:hAnsi="宋体" w:eastAsia="宋体"/>
                <w:b/>
                <w:color w:val="auto"/>
                <w:kern w:val="2"/>
                <w:sz w:val="21"/>
                <w:szCs w:val="21"/>
                <w:lang w:val="en-US" w:eastAsia="zh-CN"/>
              </w:rPr>
              <w:t>5</w:t>
            </w:r>
            <w:r>
              <w:rPr>
                <w:rFonts w:hint="eastAsia" w:ascii="宋体" w:hAnsi="宋体" w:eastAsia="宋体"/>
                <w:b/>
                <w:color w:val="auto"/>
                <w:kern w:val="2"/>
                <w:sz w:val="21"/>
                <w:szCs w:val="21"/>
              </w:rPr>
              <w:t>年</w:t>
            </w:r>
          </w:p>
        </w:tc>
      </w:tr>
      <w:tr w14:paraId="3C9A950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7" w:hRule="atLeast"/>
          <w:jc w:val="center"/>
        </w:trPr>
        <w:tc>
          <w:tcPr>
            <w:tcW w:w="3497" w:type="dxa"/>
            <w:vAlign w:val="center"/>
          </w:tcPr>
          <w:p w14:paraId="3E2CA0B0">
            <w:pPr>
              <w:pStyle w:val="10"/>
              <w:widowControl w:val="0"/>
              <w:spacing w:line="400" w:lineRule="exact"/>
              <w:jc w:val="center"/>
              <w:rPr>
                <w:rFonts w:ascii="宋体" w:hAnsi="宋体"/>
                <w:kern w:val="2"/>
                <w:sz w:val="21"/>
                <w:szCs w:val="21"/>
              </w:rPr>
            </w:pPr>
            <w:r>
              <w:rPr>
                <w:rFonts w:hint="eastAsia" w:ascii="宋体" w:hAnsi="宋体"/>
                <w:kern w:val="2"/>
                <w:sz w:val="21"/>
                <w:szCs w:val="21"/>
              </w:rPr>
              <w:t>战略完成率/%</w:t>
            </w:r>
          </w:p>
        </w:tc>
        <w:tc>
          <w:tcPr>
            <w:tcW w:w="1701" w:type="dxa"/>
            <w:vAlign w:val="center"/>
          </w:tcPr>
          <w:p w14:paraId="511D65C4">
            <w:pPr>
              <w:pStyle w:val="10"/>
              <w:widowControl w:val="0"/>
              <w:spacing w:line="400" w:lineRule="exact"/>
              <w:jc w:val="center"/>
              <w:rPr>
                <w:rFonts w:ascii="宋体" w:hAnsi="宋体"/>
                <w:kern w:val="2"/>
                <w:sz w:val="21"/>
                <w:szCs w:val="21"/>
              </w:rPr>
            </w:pPr>
            <w:r>
              <w:rPr>
                <w:rFonts w:hint="eastAsia" w:ascii="宋体" w:hAnsi="宋体"/>
                <w:kern w:val="2"/>
                <w:sz w:val="21"/>
                <w:szCs w:val="21"/>
              </w:rPr>
              <w:t>98</w:t>
            </w:r>
          </w:p>
        </w:tc>
        <w:tc>
          <w:tcPr>
            <w:tcW w:w="1701" w:type="dxa"/>
            <w:vAlign w:val="center"/>
          </w:tcPr>
          <w:p w14:paraId="6FD5E445">
            <w:pPr>
              <w:pStyle w:val="10"/>
              <w:widowControl w:val="0"/>
              <w:spacing w:line="400" w:lineRule="exact"/>
              <w:jc w:val="center"/>
              <w:rPr>
                <w:rFonts w:ascii="宋体" w:hAnsi="宋体"/>
                <w:kern w:val="2"/>
                <w:sz w:val="21"/>
                <w:szCs w:val="21"/>
              </w:rPr>
            </w:pPr>
            <w:r>
              <w:rPr>
                <w:rFonts w:hint="eastAsia" w:ascii="宋体" w:hAnsi="宋体"/>
                <w:kern w:val="2"/>
                <w:sz w:val="21"/>
                <w:szCs w:val="21"/>
              </w:rPr>
              <w:t>99</w:t>
            </w:r>
          </w:p>
        </w:tc>
        <w:tc>
          <w:tcPr>
            <w:tcW w:w="1793" w:type="dxa"/>
            <w:vAlign w:val="center"/>
          </w:tcPr>
          <w:p w14:paraId="7BA3239F">
            <w:pPr>
              <w:pStyle w:val="31"/>
              <w:widowControl w:val="0"/>
              <w:spacing w:line="400" w:lineRule="exact"/>
              <w:rPr>
                <w:rFonts w:ascii="宋体" w:hAnsi="宋体" w:eastAsia="宋体"/>
                <w:color w:val="auto"/>
                <w:kern w:val="2"/>
                <w:sz w:val="21"/>
                <w:szCs w:val="21"/>
              </w:rPr>
            </w:pPr>
            <w:r>
              <w:rPr>
                <w:rFonts w:hint="eastAsia" w:ascii="宋体" w:hAnsi="宋体" w:eastAsia="宋体"/>
                <w:color w:val="auto"/>
                <w:kern w:val="2"/>
                <w:sz w:val="21"/>
                <w:szCs w:val="21"/>
              </w:rPr>
              <w:t>99</w:t>
            </w:r>
          </w:p>
        </w:tc>
      </w:tr>
    </w:tbl>
    <w:p w14:paraId="11532627">
      <w:pPr>
        <w:pStyle w:val="44"/>
        <w:spacing w:before="468" w:beforeLines="150" w:line="360" w:lineRule="auto"/>
        <w:ind w:firstLine="0" w:firstLineChars="0"/>
        <w:rPr>
          <w:rFonts w:ascii="宋体" w:hAnsi="宋体" w:eastAsia="宋体"/>
          <w:sz w:val="28"/>
          <w:szCs w:val="28"/>
        </w:rPr>
      </w:pPr>
      <w:r>
        <w:rPr>
          <w:rFonts w:hint="eastAsia" w:ascii="宋体" w:hAnsi="宋体" w:eastAsia="宋体"/>
        </w:rPr>
        <w:t>b）在组织治理方面的关键绩效指标的当前水平和趋势</w:t>
      </w:r>
    </w:p>
    <w:p w14:paraId="3DEB5107">
      <w:pPr>
        <w:autoSpaceDE w:val="0"/>
        <w:autoSpaceDN w:val="0"/>
        <w:adjustRightInd w:val="0"/>
        <w:spacing w:line="360" w:lineRule="auto"/>
        <w:ind w:firstLine="422" w:firstLineChars="200"/>
        <w:jc w:val="center"/>
        <w:rPr>
          <w:rFonts w:ascii="黑体" w:hAnsi="黑体" w:eastAsia="黑体" w:cs="宋体"/>
          <w:b/>
          <w:sz w:val="21"/>
          <w:szCs w:val="21"/>
        </w:rPr>
      </w:pPr>
      <w:r>
        <w:rPr>
          <w:rFonts w:hint="eastAsia" w:ascii="黑体" w:hAnsi="黑体" w:eastAsia="黑体" w:cs="宋体"/>
          <w:b/>
          <w:sz w:val="21"/>
          <w:szCs w:val="21"/>
        </w:rPr>
        <w:t>表4.7</w:t>
      </w:r>
      <w:r>
        <w:rPr>
          <w:rFonts w:ascii="黑体" w:hAnsi="黑体" w:eastAsia="黑体" w:cs="宋体"/>
          <w:b/>
          <w:sz w:val="21"/>
          <w:szCs w:val="21"/>
        </w:rPr>
        <w:t>.7</w:t>
      </w:r>
      <w:r>
        <w:rPr>
          <w:rFonts w:hint="eastAsia" w:ascii="黑体" w:hAnsi="黑体" w:eastAsia="黑体" w:cs="宋体"/>
          <w:b/>
          <w:sz w:val="21"/>
          <w:szCs w:val="21"/>
        </w:rPr>
        <w:t>-2 组织治理方面的的关键绩效结果变化趋势</w:t>
      </w:r>
    </w:p>
    <w:tbl>
      <w:tblPr>
        <w:tblStyle w:val="22"/>
        <w:tblW w:w="8692"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3497"/>
        <w:gridCol w:w="1701"/>
        <w:gridCol w:w="1701"/>
        <w:gridCol w:w="1793"/>
      </w:tblGrid>
      <w:tr w14:paraId="5349108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3497" w:type="dxa"/>
            <w:shd w:val="clear" w:color="auto" w:fill="938953"/>
            <w:vAlign w:val="center"/>
          </w:tcPr>
          <w:p w14:paraId="07904F7D">
            <w:pPr>
              <w:pStyle w:val="31"/>
              <w:widowControl w:val="0"/>
              <w:spacing w:line="400" w:lineRule="exact"/>
              <w:rPr>
                <w:rFonts w:ascii="Times New Roman" w:hAnsi="Times New Roman" w:eastAsia="宋体"/>
                <w:b/>
                <w:bCs/>
                <w:color w:val="auto"/>
                <w:kern w:val="2"/>
                <w:szCs w:val="21"/>
              </w:rPr>
            </w:pPr>
            <w:r>
              <w:rPr>
                <w:rFonts w:hint="eastAsia" w:ascii="Times New Roman" w:hAnsi="Times New Roman" w:eastAsia="宋体"/>
                <w:b/>
                <w:bCs/>
                <w:color w:val="auto"/>
                <w:kern w:val="2"/>
                <w:szCs w:val="21"/>
              </w:rPr>
              <w:t>指标名称</w:t>
            </w:r>
          </w:p>
        </w:tc>
        <w:tc>
          <w:tcPr>
            <w:tcW w:w="1701" w:type="dxa"/>
            <w:shd w:val="clear" w:color="auto" w:fill="948A54"/>
            <w:vAlign w:val="center"/>
          </w:tcPr>
          <w:p w14:paraId="46462F00">
            <w:pPr>
              <w:pStyle w:val="31"/>
              <w:widowControl w:val="0"/>
              <w:spacing w:line="260" w:lineRule="exact"/>
              <w:rPr>
                <w:rFonts w:ascii="宋体" w:hAnsi="宋体" w:eastAsia="宋体" w:cs="Times New Roman"/>
                <w:b/>
                <w:color w:val="auto"/>
                <w:kern w:val="2"/>
                <w:sz w:val="24"/>
                <w:szCs w:val="24"/>
                <w:lang w:val="en-US" w:eastAsia="zh-CN" w:bidi="ar-SA"/>
              </w:rPr>
            </w:pPr>
            <w:r>
              <w:rPr>
                <w:rFonts w:hint="eastAsia" w:ascii="宋体" w:hAnsi="宋体" w:eastAsia="宋体"/>
                <w:b/>
                <w:color w:val="auto"/>
                <w:kern w:val="2"/>
                <w:sz w:val="21"/>
                <w:szCs w:val="21"/>
              </w:rPr>
              <w:t>202</w:t>
            </w:r>
            <w:r>
              <w:rPr>
                <w:rFonts w:hint="eastAsia" w:ascii="宋体" w:hAnsi="宋体" w:eastAsia="宋体"/>
                <w:b/>
                <w:color w:val="auto"/>
                <w:kern w:val="2"/>
                <w:sz w:val="21"/>
                <w:szCs w:val="21"/>
                <w:lang w:val="en-US" w:eastAsia="zh-CN"/>
              </w:rPr>
              <w:t>3</w:t>
            </w:r>
            <w:r>
              <w:rPr>
                <w:rFonts w:hint="eastAsia" w:ascii="宋体" w:hAnsi="宋体" w:eastAsia="宋体"/>
                <w:b/>
                <w:color w:val="auto"/>
                <w:kern w:val="2"/>
                <w:sz w:val="21"/>
                <w:szCs w:val="21"/>
              </w:rPr>
              <w:t>年</w:t>
            </w:r>
          </w:p>
        </w:tc>
        <w:tc>
          <w:tcPr>
            <w:tcW w:w="1701" w:type="dxa"/>
            <w:shd w:val="clear" w:color="auto" w:fill="948A54"/>
            <w:vAlign w:val="center"/>
          </w:tcPr>
          <w:p w14:paraId="0D85DC82">
            <w:pPr>
              <w:pStyle w:val="31"/>
              <w:widowControl w:val="0"/>
              <w:spacing w:line="260" w:lineRule="exact"/>
              <w:rPr>
                <w:rFonts w:ascii="宋体" w:hAnsi="宋体" w:eastAsia="宋体" w:cs="Times New Roman"/>
                <w:b/>
                <w:color w:val="auto"/>
                <w:kern w:val="2"/>
                <w:sz w:val="24"/>
                <w:szCs w:val="24"/>
                <w:lang w:val="en-US" w:eastAsia="zh-CN" w:bidi="ar-SA"/>
              </w:rPr>
            </w:pPr>
            <w:r>
              <w:rPr>
                <w:rFonts w:hint="eastAsia" w:ascii="宋体" w:hAnsi="宋体" w:eastAsia="宋体"/>
                <w:b/>
                <w:color w:val="auto"/>
                <w:kern w:val="2"/>
                <w:sz w:val="21"/>
                <w:szCs w:val="21"/>
              </w:rPr>
              <w:t>20</w:t>
            </w:r>
            <w:r>
              <w:rPr>
                <w:rFonts w:ascii="宋体" w:hAnsi="宋体" w:eastAsia="宋体"/>
                <w:b/>
                <w:color w:val="auto"/>
                <w:kern w:val="2"/>
                <w:sz w:val="21"/>
                <w:szCs w:val="21"/>
              </w:rPr>
              <w:t>2</w:t>
            </w:r>
            <w:r>
              <w:rPr>
                <w:rFonts w:hint="eastAsia" w:ascii="宋体" w:hAnsi="宋体" w:eastAsia="宋体"/>
                <w:b/>
                <w:color w:val="auto"/>
                <w:kern w:val="2"/>
                <w:sz w:val="21"/>
                <w:szCs w:val="21"/>
                <w:lang w:val="en-US" w:eastAsia="zh-CN"/>
              </w:rPr>
              <w:t>4</w:t>
            </w:r>
            <w:r>
              <w:rPr>
                <w:rFonts w:hint="eastAsia" w:ascii="宋体" w:hAnsi="宋体" w:eastAsia="宋体"/>
                <w:b/>
                <w:color w:val="auto"/>
                <w:kern w:val="2"/>
                <w:sz w:val="21"/>
                <w:szCs w:val="21"/>
              </w:rPr>
              <w:t>年</w:t>
            </w:r>
          </w:p>
        </w:tc>
        <w:tc>
          <w:tcPr>
            <w:tcW w:w="1793" w:type="dxa"/>
            <w:shd w:val="clear" w:color="auto" w:fill="948A54"/>
            <w:vAlign w:val="center"/>
          </w:tcPr>
          <w:p w14:paraId="636921F8">
            <w:pPr>
              <w:pStyle w:val="31"/>
              <w:widowControl w:val="0"/>
              <w:spacing w:line="260" w:lineRule="exact"/>
              <w:rPr>
                <w:rFonts w:ascii="宋体" w:hAnsi="宋体" w:eastAsia="宋体" w:cs="Times New Roman"/>
                <w:b/>
                <w:color w:val="auto"/>
                <w:kern w:val="2"/>
                <w:sz w:val="24"/>
                <w:szCs w:val="24"/>
                <w:lang w:val="en-US" w:eastAsia="zh-CN" w:bidi="ar-SA"/>
              </w:rPr>
            </w:pPr>
            <w:r>
              <w:rPr>
                <w:rFonts w:hint="eastAsia" w:ascii="宋体" w:hAnsi="宋体" w:eastAsia="宋体"/>
                <w:b/>
                <w:color w:val="auto"/>
                <w:kern w:val="2"/>
                <w:sz w:val="21"/>
                <w:szCs w:val="21"/>
              </w:rPr>
              <w:t>202</w:t>
            </w:r>
            <w:r>
              <w:rPr>
                <w:rFonts w:hint="eastAsia" w:ascii="宋体" w:hAnsi="宋体" w:eastAsia="宋体"/>
                <w:b/>
                <w:color w:val="auto"/>
                <w:kern w:val="2"/>
                <w:sz w:val="21"/>
                <w:szCs w:val="21"/>
                <w:lang w:val="en-US" w:eastAsia="zh-CN"/>
              </w:rPr>
              <w:t>5</w:t>
            </w:r>
            <w:r>
              <w:rPr>
                <w:rFonts w:hint="eastAsia" w:ascii="宋体" w:hAnsi="宋体" w:eastAsia="宋体"/>
                <w:b/>
                <w:color w:val="auto"/>
                <w:kern w:val="2"/>
                <w:sz w:val="21"/>
                <w:szCs w:val="21"/>
              </w:rPr>
              <w:t>年</w:t>
            </w:r>
          </w:p>
        </w:tc>
      </w:tr>
      <w:tr w14:paraId="3929B2C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33" w:hRule="atLeast"/>
          <w:jc w:val="center"/>
        </w:trPr>
        <w:tc>
          <w:tcPr>
            <w:tcW w:w="3497" w:type="dxa"/>
          </w:tcPr>
          <w:p w14:paraId="350B8799">
            <w:pPr>
              <w:pStyle w:val="31"/>
              <w:widowControl w:val="0"/>
              <w:spacing w:line="400" w:lineRule="exact"/>
              <w:rPr>
                <w:rFonts w:ascii="宋体" w:hAnsi="宋体" w:eastAsia="宋体"/>
                <w:color w:val="auto"/>
                <w:kern w:val="2"/>
                <w:sz w:val="21"/>
                <w:szCs w:val="21"/>
              </w:rPr>
            </w:pPr>
            <w:r>
              <w:rPr>
                <w:rFonts w:hint="eastAsia" w:ascii="宋体" w:hAnsi="宋体" w:eastAsia="宋体"/>
                <w:color w:val="auto"/>
                <w:kern w:val="2"/>
                <w:sz w:val="21"/>
                <w:szCs w:val="21"/>
              </w:rPr>
              <w:t>资产保值增值率/%</w:t>
            </w:r>
          </w:p>
        </w:tc>
        <w:tc>
          <w:tcPr>
            <w:tcW w:w="1701" w:type="dxa"/>
            <w:vAlign w:val="center"/>
          </w:tcPr>
          <w:p w14:paraId="165DC4C9">
            <w:pPr>
              <w:pStyle w:val="31"/>
              <w:widowControl w:val="0"/>
              <w:spacing w:line="400" w:lineRule="exact"/>
              <w:rPr>
                <w:rFonts w:ascii="宋体" w:hAnsi="宋体" w:eastAsia="宋体"/>
                <w:color w:val="auto"/>
                <w:kern w:val="2"/>
                <w:sz w:val="21"/>
                <w:szCs w:val="21"/>
              </w:rPr>
            </w:pPr>
            <w:r>
              <w:rPr>
                <w:rFonts w:hint="eastAsia" w:ascii="宋体" w:hAnsi="宋体" w:cs="宋体"/>
                <w:szCs w:val="21"/>
              </w:rPr>
              <w:t>137%</w:t>
            </w:r>
          </w:p>
        </w:tc>
        <w:tc>
          <w:tcPr>
            <w:tcW w:w="1701" w:type="dxa"/>
            <w:vAlign w:val="center"/>
          </w:tcPr>
          <w:p w14:paraId="26532272">
            <w:pPr>
              <w:pStyle w:val="31"/>
              <w:widowControl w:val="0"/>
              <w:spacing w:line="400" w:lineRule="exact"/>
              <w:rPr>
                <w:rFonts w:ascii="宋体" w:hAnsi="宋体" w:eastAsia="宋体"/>
                <w:color w:val="auto"/>
                <w:kern w:val="2"/>
                <w:sz w:val="21"/>
                <w:szCs w:val="21"/>
              </w:rPr>
            </w:pPr>
            <w:r>
              <w:rPr>
                <w:rFonts w:hint="eastAsia" w:ascii="宋体" w:hAnsi="宋体" w:cs="宋体"/>
                <w:szCs w:val="21"/>
              </w:rPr>
              <w:t>156%</w:t>
            </w:r>
          </w:p>
        </w:tc>
        <w:tc>
          <w:tcPr>
            <w:tcW w:w="1793" w:type="dxa"/>
            <w:vAlign w:val="center"/>
          </w:tcPr>
          <w:p w14:paraId="5E5D3792">
            <w:pPr>
              <w:pStyle w:val="31"/>
              <w:widowControl w:val="0"/>
              <w:spacing w:line="400" w:lineRule="exact"/>
              <w:rPr>
                <w:rFonts w:ascii="宋体" w:hAnsi="宋体" w:eastAsia="宋体"/>
                <w:color w:val="auto"/>
                <w:kern w:val="2"/>
                <w:sz w:val="21"/>
                <w:szCs w:val="21"/>
              </w:rPr>
            </w:pPr>
            <w:r>
              <w:rPr>
                <w:rFonts w:hint="eastAsia" w:ascii="宋体" w:hAnsi="宋体" w:cs="宋体"/>
                <w:szCs w:val="21"/>
              </w:rPr>
              <w:t>156%</w:t>
            </w:r>
          </w:p>
        </w:tc>
      </w:tr>
      <w:tr w14:paraId="121ABB1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33" w:hRule="atLeast"/>
          <w:jc w:val="center"/>
        </w:trPr>
        <w:tc>
          <w:tcPr>
            <w:tcW w:w="3497" w:type="dxa"/>
          </w:tcPr>
          <w:p w14:paraId="0FBD6FB7">
            <w:pPr>
              <w:pStyle w:val="31"/>
              <w:widowControl w:val="0"/>
              <w:spacing w:line="400" w:lineRule="exact"/>
              <w:rPr>
                <w:rFonts w:ascii="宋体" w:hAnsi="宋体" w:eastAsia="宋体"/>
                <w:color w:val="auto"/>
                <w:kern w:val="2"/>
                <w:sz w:val="21"/>
                <w:szCs w:val="21"/>
              </w:rPr>
            </w:pPr>
            <w:r>
              <w:rPr>
                <w:rFonts w:hint="eastAsia" w:ascii="宋体" w:hAnsi="宋体" w:eastAsia="宋体"/>
                <w:color w:val="auto"/>
                <w:kern w:val="2"/>
                <w:sz w:val="21"/>
                <w:szCs w:val="21"/>
              </w:rPr>
              <w:t>总资产贡献率/%</w:t>
            </w:r>
          </w:p>
        </w:tc>
        <w:tc>
          <w:tcPr>
            <w:tcW w:w="1701" w:type="dxa"/>
            <w:vAlign w:val="center"/>
          </w:tcPr>
          <w:p w14:paraId="71738204">
            <w:pPr>
              <w:pStyle w:val="31"/>
              <w:widowControl w:val="0"/>
              <w:spacing w:line="400" w:lineRule="exact"/>
              <w:rPr>
                <w:rFonts w:ascii="宋体" w:hAnsi="宋体" w:eastAsia="宋体"/>
                <w:color w:val="auto"/>
                <w:kern w:val="2"/>
                <w:sz w:val="21"/>
                <w:szCs w:val="21"/>
              </w:rPr>
            </w:pPr>
            <w:r>
              <w:rPr>
                <w:rFonts w:hint="eastAsia" w:ascii="宋体" w:hAnsi="宋体" w:cs="宋体"/>
                <w:szCs w:val="21"/>
              </w:rPr>
              <w:t>10.31%</w:t>
            </w:r>
          </w:p>
        </w:tc>
        <w:tc>
          <w:tcPr>
            <w:tcW w:w="1701" w:type="dxa"/>
            <w:vAlign w:val="center"/>
          </w:tcPr>
          <w:p w14:paraId="774FB8AE">
            <w:pPr>
              <w:pStyle w:val="31"/>
              <w:widowControl w:val="0"/>
              <w:spacing w:line="400" w:lineRule="exact"/>
              <w:rPr>
                <w:rFonts w:ascii="宋体" w:hAnsi="宋体" w:eastAsia="宋体"/>
                <w:color w:val="auto"/>
                <w:kern w:val="2"/>
                <w:sz w:val="21"/>
                <w:szCs w:val="21"/>
              </w:rPr>
            </w:pPr>
            <w:r>
              <w:rPr>
                <w:rFonts w:hint="eastAsia" w:ascii="宋体" w:hAnsi="宋体" w:cs="宋体"/>
                <w:szCs w:val="21"/>
              </w:rPr>
              <w:t>13.35%</w:t>
            </w:r>
          </w:p>
        </w:tc>
        <w:tc>
          <w:tcPr>
            <w:tcW w:w="1793" w:type="dxa"/>
            <w:vAlign w:val="center"/>
          </w:tcPr>
          <w:p w14:paraId="486CD456">
            <w:pPr>
              <w:pStyle w:val="31"/>
              <w:widowControl w:val="0"/>
              <w:spacing w:line="400" w:lineRule="exact"/>
              <w:rPr>
                <w:rFonts w:ascii="宋体" w:hAnsi="宋体" w:eastAsia="宋体"/>
                <w:color w:val="auto"/>
                <w:kern w:val="2"/>
                <w:sz w:val="21"/>
                <w:szCs w:val="21"/>
              </w:rPr>
            </w:pPr>
            <w:r>
              <w:rPr>
                <w:rFonts w:hint="eastAsia" w:ascii="宋体" w:hAnsi="宋体" w:cs="宋体"/>
                <w:szCs w:val="21"/>
              </w:rPr>
              <w:t>8.0%</w:t>
            </w:r>
          </w:p>
        </w:tc>
      </w:tr>
      <w:tr w14:paraId="373D38E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33" w:hRule="atLeast"/>
          <w:jc w:val="center"/>
        </w:trPr>
        <w:tc>
          <w:tcPr>
            <w:tcW w:w="3497" w:type="dxa"/>
          </w:tcPr>
          <w:p w14:paraId="26881EA6">
            <w:pPr>
              <w:pStyle w:val="31"/>
              <w:widowControl w:val="0"/>
              <w:spacing w:line="400" w:lineRule="exact"/>
              <w:rPr>
                <w:rFonts w:ascii="宋体" w:hAnsi="宋体" w:eastAsia="宋体"/>
                <w:color w:val="auto"/>
                <w:kern w:val="2"/>
                <w:sz w:val="21"/>
                <w:szCs w:val="21"/>
              </w:rPr>
            </w:pPr>
            <w:r>
              <w:rPr>
                <w:rFonts w:hint="eastAsia" w:ascii="宋体" w:hAnsi="宋体" w:eastAsia="宋体"/>
                <w:color w:val="auto"/>
                <w:kern w:val="2"/>
                <w:sz w:val="21"/>
                <w:szCs w:val="21"/>
              </w:rPr>
              <w:t>顾客满意度/%</w:t>
            </w:r>
          </w:p>
        </w:tc>
        <w:tc>
          <w:tcPr>
            <w:tcW w:w="1701" w:type="dxa"/>
            <w:vAlign w:val="center"/>
          </w:tcPr>
          <w:p w14:paraId="4F0C901C">
            <w:pPr>
              <w:pStyle w:val="10"/>
              <w:widowControl w:val="0"/>
              <w:spacing w:line="400" w:lineRule="exact"/>
              <w:jc w:val="center"/>
              <w:rPr>
                <w:rFonts w:ascii="宋体" w:hAnsi="宋体"/>
                <w:kern w:val="2"/>
                <w:sz w:val="21"/>
                <w:szCs w:val="21"/>
              </w:rPr>
            </w:pPr>
            <w:r>
              <w:rPr>
                <w:rFonts w:hint="eastAsia" w:ascii="宋体" w:hAnsi="宋体"/>
                <w:kern w:val="2"/>
                <w:sz w:val="21"/>
                <w:szCs w:val="21"/>
              </w:rPr>
              <w:t>95</w:t>
            </w:r>
          </w:p>
        </w:tc>
        <w:tc>
          <w:tcPr>
            <w:tcW w:w="1701" w:type="dxa"/>
            <w:vAlign w:val="center"/>
          </w:tcPr>
          <w:p w14:paraId="300158CA">
            <w:pPr>
              <w:pStyle w:val="10"/>
              <w:widowControl w:val="0"/>
              <w:spacing w:line="400" w:lineRule="exact"/>
              <w:jc w:val="center"/>
              <w:rPr>
                <w:rFonts w:ascii="宋体" w:hAnsi="宋体"/>
                <w:kern w:val="2"/>
                <w:sz w:val="21"/>
                <w:szCs w:val="21"/>
              </w:rPr>
            </w:pPr>
            <w:r>
              <w:rPr>
                <w:rFonts w:hint="eastAsia" w:ascii="宋体" w:hAnsi="宋体"/>
                <w:kern w:val="2"/>
                <w:sz w:val="21"/>
                <w:szCs w:val="21"/>
              </w:rPr>
              <w:t>98</w:t>
            </w:r>
          </w:p>
        </w:tc>
        <w:tc>
          <w:tcPr>
            <w:tcW w:w="1793" w:type="dxa"/>
            <w:vAlign w:val="center"/>
          </w:tcPr>
          <w:p w14:paraId="3EB81653">
            <w:pPr>
              <w:pStyle w:val="31"/>
              <w:widowControl w:val="0"/>
              <w:spacing w:line="400" w:lineRule="exact"/>
              <w:rPr>
                <w:rFonts w:ascii="宋体" w:hAnsi="宋体" w:eastAsia="宋体"/>
                <w:color w:val="auto"/>
                <w:kern w:val="2"/>
                <w:sz w:val="21"/>
                <w:szCs w:val="21"/>
              </w:rPr>
            </w:pPr>
            <w:r>
              <w:rPr>
                <w:rFonts w:hint="eastAsia" w:ascii="宋体" w:hAnsi="宋体" w:eastAsia="宋体"/>
                <w:color w:val="auto"/>
                <w:kern w:val="2"/>
                <w:sz w:val="21"/>
                <w:szCs w:val="21"/>
              </w:rPr>
              <w:t>98</w:t>
            </w:r>
          </w:p>
        </w:tc>
      </w:tr>
    </w:tbl>
    <w:p w14:paraId="42BDE6F1">
      <w:pPr>
        <w:pStyle w:val="44"/>
        <w:spacing w:beforeLines="0" w:line="360" w:lineRule="auto"/>
        <w:ind w:firstLine="0" w:firstLineChars="0"/>
        <w:rPr>
          <w:rFonts w:ascii="宋体" w:hAnsi="宋体" w:eastAsia="宋体"/>
        </w:rPr>
      </w:pPr>
      <w:r>
        <w:rPr>
          <w:rFonts w:hint="eastAsia" w:ascii="宋体" w:hAnsi="宋体" w:eastAsia="宋体"/>
        </w:rPr>
        <w:t>c）在公共责任方面的关键绩效指标的当前水平和趋势</w:t>
      </w:r>
    </w:p>
    <w:p w14:paraId="0A517549">
      <w:pPr>
        <w:autoSpaceDE w:val="0"/>
        <w:autoSpaceDN w:val="0"/>
        <w:adjustRightInd w:val="0"/>
        <w:spacing w:line="360" w:lineRule="auto"/>
        <w:ind w:firstLine="422" w:firstLineChars="200"/>
        <w:jc w:val="center"/>
        <w:rPr>
          <w:rFonts w:ascii="黑体" w:hAnsi="黑体" w:eastAsia="黑体" w:cs="宋体"/>
          <w:b/>
          <w:sz w:val="21"/>
          <w:szCs w:val="21"/>
        </w:rPr>
      </w:pPr>
      <w:r>
        <w:rPr>
          <w:rFonts w:hint="eastAsia" w:ascii="黑体" w:hAnsi="黑体" w:eastAsia="黑体" w:cs="宋体"/>
          <w:b/>
          <w:sz w:val="21"/>
          <w:szCs w:val="21"/>
        </w:rPr>
        <w:t>表4.7</w:t>
      </w:r>
      <w:r>
        <w:rPr>
          <w:rFonts w:ascii="黑体" w:hAnsi="黑体" w:eastAsia="黑体" w:cs="宋体"/>
          <w:b/>
          <w:sz w:val="21"/>
          <w:szCs w:val="21"/>
        </w:rPr>
        <w:t>.7</w:t>
      </w:r>
      <w:r>
        <w:rPr>
          <w:rFonts w:hint="eastAsia" w:ascii="黑体" w:hAnsi="黑体" w:eastAsia="黑体" w:cs="宋体"/>
          <w:b/>
          <w:sz w:val="21"/>
          <w:szCs w:val="21"/>
        </w:rPr>
        <w:t>-3 公共责任方面的的关键绩效结果变化趋势</w:t>
      </w:r>
    </w:p>
    <w:tbl>
      <w:tblPr>
        <w:tblStyle w:val="22"/>
        <w:tblW w:w="8692"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3497"/>
        <w:gridCol w:w="1701"/>
        <w:gridCol w:w="1701"/>
        <w:gridCol w:w="1793"/>
      </w:tblGrid>
      <w:tr w14:paraId="656F655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3497" w:type="dxa"/>
            <w:shd w:val="clear" w:color="auto" w:fill="938953"/>
            <w:vAlign w:val="center"/>
          </w:tcPr>
          <w:p w14:paraId="720D1ACD">
            <w:pPr>
              <w:pStyle w:val="10"/>
              <w:widowControl w:val="0"/>
              <w:spacing w:line="400" w:lineRule="exact"/>
              <w:jc w:val="center"/>
              <w:rPr>
                <w:rFonts w:ascii="宋体" w:hAnsi="宋体"/>
                <w:kern w:val="2"/>
                <w:sz w:val="21"/>
                <w:szCs w:val="21"/>
              </w:rPr>
            </w:pPr>
            <w:r>
              <w:rPr>
                <w:rFonts w:hint="eastAsia"/>
                <w:b/>
                <w:bCs/>
                <w:kern w:val="2"/>
                <w:sz w:val="24"/>
                <w:szCs w:val="21"/>
              </w:rPr>
              <w:t>指标名称</w:t>
            </w:r>
          </w:p>
        </w:tc>
        <w:tc>
          <w:tcPr>
            <w:tcW w:w="1701" w:type="dxa"/>
            <w:shd w:val="clear" w:color="auto" w:fill="948A54"/>
            <w:vAlign w:val="center"/>
          </w:tcPr>
          <w:p w14:paraId="7BCA2DE5">
            <w:pPr>
              <w:pStyle w:val="31"/>
              <w:widowControl w:val="0"/>
              <w:spacing w:line="260" w:lineRule="exact"/>
              <w:rPr>
                <w:rFonts w:ascii="宋体" w:hAnsi="宋体" w:eastAsia="宋体" w:cs="Times New Roman"/>
                <w:b/>
                <w:color w:val="auto"/>
                <w:kern w:val="2"/>
                <w:sz w:val="24"/>
                <w:szCs w:val="24"/>
                <w:lang w:val="en-US" w:eastAsia="zh-CN" w:bidi="ar-SA"/>
              </w:rPr>
            </w:pPr>
            <w:r>
              <w:rPr>
                <w:rFonts w:hint="eastAsia" w:ascii="宋体" w:hAnsi="宋体" w:eastAsia="宋体"/>
                <w:b/>
                <w:color w:val="auto"/>
                <w:kern w:val="2"/>
                <w:sz w:val="21"/>
                <w:szCs w:val="21"/>
              </w:rPr>
              <w:t>202</w:t>
            </w:r>
            <w:r>
              <w:rPr>
                <w:rFonts w:hint="eastAsia" w:ascii="宋体" w:hAnsi="宋体" w:eastAsia="宋体"/>
                <w:b/>
                <w:color w:val="auto"/>
                <w:kern w:val="2"/>
                <w:sz w:val="21"/>
                <w:szCs w:val="21"/>
                <w:lang w:val="en-US" w:eastAsia="zh-CN"/>
              </w:rPr>
              <w:t>3</w:t>
            </w:r>
            <w:r>
              <w:rPr>
                <w:rFonts w:hint="eastAsia" w:ascii="宋体" w:hAnsi="宋体" w:eastAsia="宋体"/>
                <w:b/>
                <w:color w:val="auto"/>
                <w:kern w:val="2"/>
                <w:sz w:val="21"/>
                <w:szCs w:val="21"/>
              </w:rPr>
              <w:t>年</w:t>
            </w:r>
          </w:p>
        </w:tc>
        <w:tc>
          <w:tcPr>
            <w:tcW w:w="1701" w:type="dxa"/>
            <w:shd w:val="clear" w:color="auto" w:fill="948A54"/>
            <w:vAlign w:val="center"/>
          </w:tcPr>
          <w:p w14:paraId="164F9B1C">
            <w:pPr>
              <w:pStyle w:val="31"/>
              <w:widowControl w:val="0"/>
              <w:spacing w:line="260" w:lineRule="exact"/>
              <w:rPr>
                <w:rFonts w:ascii="宋体" w:hAnsi="宋体" w:eastAsia="宋体" w:cs="Times New Roman"/>
                <w:b/>
                <w:color w:val="auto"/>
                <w:kern w:val="2"/>
                <w:sz w:val="24"/>
                <w:szCs w:val="24"/>
                <w:lang w:val="en-US" w:eastAsia="zh-CN" w:bidi="ar-SA"/>
              </w:rPr>
            </w:pPr>
            <w:r>
              <w:rPr>
                <w:rFonts w:hint="eastAsia" w:ascii="宋体" w:hAnsi="宋体" w:eastAsia="宋体"/>
                <w:b/>
                <w:color w:val="auto"/>
                <w:kern w:val="2"/>
                <w:sz w:val="21"/>
                <w:szCs w:val="21"/>
              </w:rPr>
              <w:t>20</w:t>
            </w:r>
            <w:r>
              <w:rPr>
                <w:rFonts w:ascii="宋体" w:hAnsi="宋体" w:eastAsia="宋体"/>
                <w:b/>
                <w:color w:val="auto"/>
                <w:kern w:val="2"/>
                <w:sz w:val="21"/>
                <w:szCs w:val="21"/>
              </w:rPr>
              <w:t>2</w:t>
            </w:r>
            <w:r>
              <w:rPr>
                <w:rFonts w:hint="eastAsia" w:ascii="宋体" w:hAnsi="宋体" w:eastAsia="宋体"/>
                <w:b/>
                <w:color w:val="auto"/>
                <w:kern w:val="2"/>
                <w:sz w:val="21"/>
                <w:szCs w:val="21"/>
                <w:lang w:val="en-US" w:eastAsia="zh-CN"/>
              </w:rPr>
              <w:t>4</w:t>
            </w:r>
            <w:r>
              <w:rPr>
                <w:rFonts w:hint="eastAsia" w:ascii="宋体" w:hAnsi="宋体" w:eastAsia="宋体"/>
                <w:b/>
                <w:color w:val="auto"/>
                <w:kern w:val="2"/>
                <w:sz w:val="21"/>
                <w:szCs w:val="21"/>
              </w:rPr>
              <w:t>年</w:t>
            </w:r>
          </w:p>
        </w:tc>
        <w:tc>
          <w:tcPr>
            <w:tcW w:w="1793" w:type="dxa"/>
            <w:shd w:val="clear" w:color="auto" w:fill="948A54"/>
            <w:vAlign w:val="center"/>
          </w:tcPr>
          <w:p w14:paraId="06FE50D3">
            <w:pPr>
              <w:pStyle w:val="31"/>
              <w:widowControl w:val="0"/>
              <w:spacing w:line="260" w:lineRule="exact"/>
              <w:rPr>
                <w:rFonts w:ascii="宋体" w:hAnsi="宋体" w:eastAsia="宋体" w:cs="Times New Roman"/>
                <w:b/>
                <w:color w:val="auto"/>
                <w:kern w:val="2"/>
                <w:sz w:val="24"/>
                <w:szCs w:val="24"/>
                <w:lang w:val="en-US" w:eastAsia="zh-CN" w:bidi="ar-SA"/>
              </w:rPr>
            </w:pPr>
            <w:r>
              <w:rPr>
                <w:rFonts w:hint="eastAsia" w:ascii="宋体" w:hAnsi="宋体" w:eastAsia="宋体"/>
                <w:b/>
                <w:color w:val="auto"/>
                <w:kern w:val="2"/>
                <w:sz w:val="21"/>
                <w:szCs w:val="21"/>
              </w:rPr>
              <w:t>202</w:t>
            </w:r>
            <w:r>
              <w:rPr>
                <w:rFonts w:hint="eastAsia" w:ascii="宋体" w:hAnsi="宋体" w:eastAsia="宋体"/>
                <w:b/>
                <w:color w:val="auto"/>
                <w:kern w:val="2"/>
                <w:sz w:val="21"/>
                <w:szCs w:val="21"/>
                <w:lang w:val="en-US" w:eastAsia="zh-CN"/>
              </w:rPr>
              <w:t>5</w:t>
            </w:r>
            <w:r>
              <w:rPr>
                <w:rFonts w:hint="eastAsia" w:ascii="宋体" w:hAnsi="宋体" w:eastAsia="宋体"/>
                <w:b/>
                <w:color w:val="auto"/>
                <w:kern w:val="2"/>
                <w:sz w:val="21"/>
                <w:szCs w:val="21"/>
              </w:rPr>
              <w:t>年</w:t>
            </w:r>
          </w:p>
        </w:tc>
      </w:tr>
      <w:tr w14:paraId="4E25468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33" w:hRule="atLeast"/>
          <w:jc w:val="center"/>
        </w:trPr>
        <w:tc>
          <w:tcPr>
            <w:tcW w:w="3497" w:type="dxa"/>
          </w:tcPr>
          <w:p w14:paraId="7D8FF818">
            <w:pPr>
              <w:pStyle w:val="10"/>
              <w:widowControl w:val="0"/>
              <w:spacing w:line="400" w:lineRule="exact"/>
              <w:jc w:val="center"/>
              <w:rPr>
                <w:rFonts w:ascii="宋体" w:hAnsi="宋体"/>
                <w:kern w:val="2"/>
                <w:sz w:val="21"/>
                <w:szCs w:val="21"/>
              </w:rPr>
            </w:pPr>
            <w:r>
              <w:rPr>
                <w:rFonts w:hint="eastAsia" w:ascii="宋体" w:hAnsi="宋体"/>
                <w:kern w:val="2"/>
                <w:sz w:val="21"/>
                <w:szCs w:val="21"/>
              </w:rPr>
              <w:t>“三废”排放达标率/%</w:t>
            </w:r>
          </w:p>
        </w:tc>
        <w:tc>
          <w:tcPr>
            <w:tcW w:w="1701" w:type="dxa"/>
            <w:vAlign w:val="center"/>
          </w:tcPr>
          <w:p w14:paraId="172DBF16">
            <w:pPr>
              <w:pStyle w:val="10"/>
              <w:widowControl w:val="0"/>
              <w:spacing w:line="400" w:lineRule="exact"/>
              <w:jc w:val="center"/>
              <w:rPr>
                <w:rFonts w:ascii="宋体" w:hAnsi="宋体"/>
                <w:kern w:val="2"/>
                <w:sz w:val="21"/>
                <w:szCs w:val="21"/>
              </w:rPr>
            </w:pPr>
            <w:r>
              <w:rPr>
                <w:rFonts w:hint="eastAsia" w:ascii="宋体" w:hAnsi="宋体"/>
                <w:kern w:val="2"/>
                <w:sz w:val="21"/>
                <w:szCs w:val="21"/>
              </w:rPr>
              <w:t>100</w:t>
            </w:r>
          </w:p>
        </w:tc>
        <w:tc>
          <w:tcPr>
            <w:tcW w:w="1701" w:type="dxa"/>
            <w:vAlign w:val="center"/>
          </w:tcPr>
          <w:p w14:paraId="510866F7">
            <w:pPr>
              <w:pStyle w:val="10"/>
              <w:widowControl w:val="0"/>
              <w:spacing w:line="400" w:lineRule="exact"/>
              <w:jc w:val="center"/>
              <w:rPr>
                <w:rFonts w:ascii="宋体" w:hAnsi="宋体"/>
                <w:kern w:val="2"/>
                <w:sz w:val="21"/>
                <w:szCs w:val="21"/>
              </w:rPr>
            </w:pPr>
            <w:r>
              <w:rPr>
                <w:rFonts w:hint="eastAsia" w:ascii="宋体" w:hAnsi="宋体"/>
                <w:kern w:val="2"/>
                <w:sz w:val="21"/>
                <w:szCs w:val="21"/>
              </w:rPr>
              <w:t>100</w:t>
            </w:r>
          </w:p>
        </w:tc>
        <w:tc>
          <w:tcPr>
            <w:tcW w:w="1793" w:type="dxa"/>
            <w:vAlign w:val="center"/>
          </w:tcPr>
          <w:p w14:paraId="4A62DF81">
            <w:pPr>
              <w:pStyle w:val="31"/>
              <w:widowControl w:val="0"/>
              <w:spacing w:line="400" w:lineRule="exact"/>
              <w:rPr>
                <w:rFonts w:ascii="宋体" w:hAnsi="宋体" w:eastAsia="宋体"/>
                <w:color w:val="auto"/>
                <w:kern w:val="2"/>
                <w:sz w:val="21"/>
                <w:szCs w:val="21"/>
              </w:rPr>
            </w:pPr>
            <w:r>
              <w:rPr>
                <w:rFonts w:hint="eastAsia" w:ascii="宋体" w:hAnsi="宋体" w:eastAsia="宋体"/>
                <w:color w:val="auto"/>
                <w:kern w:val="2"/>
                <w:sz w:val="21"/>
                <w:szCs w:val="21"/>
              </w:rPr>
              <w:t>100</w:t>
            </w:r>
          </w:p>
        </w:tc>
      </w:tr>
      <w:tr w14:paraId="21AFDC1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33" w:hRule="atLeast"/>
          <w:jc w:val="center"/>
        </w:trPr>
        <w:tc>
          <w:tcPr>
            <w:tcW w:w="3497" w:type="dxa"/>
            <w:vAlign w:val="center"/>
          </w:tcPr>
          <w:p w14:paraId="070FB41D">
            <w:pPr>
              <w:pStyle w:val="38"/>
              <w:spacing w:line="400" w:lineRule="exact"/>
              <w:jc w:val="center"/>
              <w:rPr>
                <w:rFonts w:hAnsi="宋体"/>
                <w:color w:val="auto"/>
                <w:kern w:val="2"/>
                <w:sz w:val="21"/>
                <w:szCs w:val="21"/>
              </w:rPr>
            </w:pPr>
            <w:r>
              <w:rPr>
                <w:rFonts w:hint="eastAsia" w:hAnsi="宋体"/>
                <w:color w:val="auto"/>
                <w:kern w:val="2"/>
                <w:sz w:val="21"/>
                <w:szCs w:val="21"/>
              </w:rPr>
              <w:t>重特大安全事故次数/次</w:t>
            </w:r>
          </w:p>
        </w:tc>
        <w:tc>
          <w:tcPr>
            <w:tcW w:w="1701" w:type="dxa"/>
            <w:vAlign w:val="center"/>
          </w:tcPr>
          <w:p w14:paraId="007D74CF">
            <w:pPr>
              <w:pStyle w:val="31"/>
              <w:widowControl w:val="0"/>
              <w:spacing w:line="400" w:lineRule="exact"/>
              <w:rPr>
                <w:rFonts w:ascii="宋体" w:hAnsi="宋体"/>
                <w:color w:val="auto"/>
                <w:kern w:val="2"/>
                <w:sz w:val="21"/>
                <w:szCs w:val="21"/>
              </w:rPr>
            </w:pPr>
            <w:r>
              <w:rPr>
                <w:rFonts w:hint="eastAsia" w:ascii="宋体" w:hAnsi="宋体" w:eastAsia="宋体"/>
                <w:color w:val="auto"/>
                <w:kern w:val="2"/>
                <w:sz w:val="21"/>
                <w:szCs w:val="21"/>
              </w:rPr>
              <w:t>0</w:t>
            </w:r>
          </w:p>
        </w:tc>
        <w:tc>
          <w:tcPr>
            <w:tcW w:w="1701" w:type="dxa"/>
            <w:vAlign w:val="center"/>
          </w:tcPr>
          <w:p w14:paraId="67F6EC7C">
            <w:pPr>
              <w:pStyle w:val="31"/>
              <w:widowControl w:val="0"/>
              <w:spacing w:line="400" w:lineRule="exact"/>
              <w:rPr>
                <w:rFonts w:ascii="宋体" w:hAnsi="宋体" w:eastAsia="宋体"/>
                <w:color w:val="auto"/>
                <w:kern w:val="2"/>
                <w:sz w:val="21"/>
                <w:szCs w:val="21"/>
              </w:rPr>
            </w:pPr>
            <w:r>
              <w:rPr>
                <w:rFonts w:hint="eastAsia" w:ascii="宋体" w:hAnsi="宋体" w:eastAsia="宋体"/>
                <w:color w:val="auto"/>
                <w:kern w:val="2"/>
                <w:sz w:val="21"/>
                <w:szCs w:val="21"/>
              </w:rPr>
              <w:t>0</w:t>
            </w:r>
          </w:p>
        </w:tc>
        <w:tc>
          <w:tcPr>
            <w:tcW w:w="1793" w:type="dxa"/>
            <w:vAlign w:val="center"/>
          </w:tcPr>
          <w:p w14:paraId="06DB2F3D">
            <w:pPr>
              <w:pStyle w:val="31"/>
              <w:widowControl w:val="0"/>
              <w:spacing w:line="400" w:lineRule="exact"/>
              <w:rPr>
                <w:rFonts w:ascii="宋体" w:hAnsi="宋体" w:eastAsia="宋体"/>
                <w:color w:val="auto"/>
                <w:kern w:val="2"/>
                <w:sz w:val="21"/>
                <w:szCs w:val="21"/>
              </w:rPr>
            </w:pPr>
            <w:r>
              <w:rPr>
                <w:rFonts w:hint="eastAsia" w:ascii="宋体" w:hAnsi="宋体" w:eastAsia="宋体"/>
                <w:color w:val="auto"/>
                <w:kern w:val="2"/>
                <w:sz w:val="21"/>
                <w:szCs w:val="21"/>
              </w:rPr>
              <w:t>0</w:t>
            </w:r>
          </w:p>
        </w:tc>
      </w:tr>
      <w:tr w14:paraId="2C19981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33" w:hRule="atLeast"/>
          <w:jc w:val="center"/>
        </w:trPr>
        <w:tc>
          <w:tcPr>
            <w:tcW w:w="3497" w:type="dxa"/>
            <w:vAlign w:val="center"/>
          </w:tcPr>
          <w:p w14:paraId="729B99F9">
            <w:pPr>
              <w:pStyle w:val="38"/>
              <w:spacing w:line="400" w:lineRule="exact"/>
              <w:jc w:val="center"/>
              <w:rPr>
                <w:rFonts w:hAnsi="宋体"/>
                <w:color w:val="auto"/>
                <w:kern w:val="2"/>
                <w:sz w:val="21"/>
                <w:szCs w:val="21"/>
              </w:rPr>
            </w:pPr>
            <w:r>
              <w:rPr>
                <w:rFonts w:hint="eastAsia" w:hAnsi="宋体"/>
                <w:color w:val="auto"/>
                <w:kern w:val="2"/>
                <w:sz w:val="21"/>
                <w:szCs w:val="21"/>
              </w:rPr>
              <w:t>消防安全事故发生次数/次</w:t>
            </w:r>
          </w:p>
        </w:tc>
        <w:tc>
          <w:tcPr>
            <w:tcW w:w="1701" w:type="dxa"/>
            <w:vAlign w:val="center"/>
          </w:tcPr>
          <w:p w14:paraId="566EDF11">
            <w:pPr>
              <w:pStyle w:val="31"/>
              <w:widowControl w:val="0"/>
              <w:spacing w:line="400" w:lineRule="exact"/>
              <w:rPr>
                <w:rFonts w:ascii="宋体" w:hAnsi="宋体"/>
                <w:color w:val="auto"/>
                <w:kern w:val="2"/>
                <w:sz w:val="21"/>
                <w:szCs w:val="21"/>
              </w:rPr>
            </w:pPr>
            <w:r>
              <w:rPr>
                <w:rFonts w:hint="eastAsia" w:ascii="宋体" w:hAnsi="宋体" w:eastAsia="宋体"/>
                <w:color w:val="auto"/>
                <w:kern w:val="2"/>
                <w:sz w:val="21"/>
                <w:szCs w:val="21"/>
              </w:rPr>
              <w:t>0</w:t>
            </w:r>
          </w:p>
        </w:tc>
        <w:tc>
          <w:tcPr>
            <w:tcW w:w="1701" w:type="dxa"/>
            <w:vAlign w:val="center"/>
          </w:tcPr>
          <w:p w14:paraId="76706185">
            <w:pPr>
              <w:pStyle w:val="31"/>
              <w:widowControl w:val="0"/>
              <w:spacing w:line="400" w:lineRule="exact"/>
              <w:rPr>
                <w:rFonts w:ascii="宋体" w:hAnsi="宋体"/>
                <w:color w:val="auto"/>
                <w:kern w:val="2"/>
                <w:sz w:val="21"/>
                <w:szCs w:val="21"/>
              </w:rPr>
            </w:pPr>
            <w:r>
              <w:rPr>
                <w:rFonts w:hint="eastAsia" w:ascii="宋体" w:hAnsi="宋体" w:eastAsia="宋体"/>
                <w:color w:val="auto"/>
                <w:kern w:val="2"/>
                <w:sz w:val="21"/>
                <w:szCs w:val="21"/>
              </w:rPr>
              <w:t>0</w:t>
            </w:r>
          </w:p>
        </w:tc>
        <w:tc>
          <w:tcPr>
            <w:tcW w:w="1793" w:type="dxa"/>
            <w:vAlign w:val="center"/>
          </w:tcPr>
          <w:p w14:paraId="505A1D0F">
            <w:pPr>
              <w:pStyle w:val="31"/>
              <w:widowControl w:val="0"/>
              <w:spacing w:line="400" w:lineRule="exact"/>
              <w:rPr>
                <w:rFonts w:ascii="宋体" w:hAnsi="宋体" w:eastAsia="宋体"/>
                <w:color w:val="auto"/>
                <w:kern w:val="2"/>
                <w:sz w:val="21"/>
                <w:szCs w:val="21"/>
              </w:rPr>
            </w:pPr>
            <w:r>
              <w:rPr>
                <w:rFonts w:hint="eastAsia" w:ascii="宋体" w:hAnsi="宋体" w:eastAsia="宋体"/>
                <w:color w:val="auto"/>
                <w:kern w:val="2"/>
                <w:sz w:val="21"/>
                <w:szCs w:val="21"/>
              </w:rPr>
              <w:t>0</w:t>
            </w:r>
          </w:p>
        </w:tc>
      </w:tr>
    </w:tbl>
    <w:p w14:paraId="30696539">
      <w:pPr>
        <w:pStyle w:val="44"/>
        <w:spacing w:beforeLines="0" w:line="360" w:lineRule="auto"/>
        <w:ind w:firstLine="0" w:firstLineChars="0"/>
        <w:rPr>
          <w:rFonts w:ascii="宋体" w:hAnsi="宋体" w:eastAsia="宋体"/>
        </w:rPr>
      </w:pPr>
    </w:p>
    <w:p w14:paraId="549359D8">
      <w:pPr>
        <w:pStyle w:val="44"/>
        <w:spacing w:beforeLines="0" w:line="360" w:lineRule="auto"/>
        <w:ind w:firstLine="0" w:firstLineChars="0"/>
        <w:rPr>
          <w:rFonts w:ascii="宋体" w:hAnsi="宋体" w:eastAsia="宋体"/>
        </w:rPr>
      </w:pPr>
      <w:r>
        <w:rPr>
          <w:rFonts w:hint="eastAsia" w:ascii="宋体" w:hAnsi="宋体" w:eastAsia="宋体"/>
        </w:rPr>
        <w:t>d）在道德行为方面的关键绩效指标的当前水平和趋势</w:t>
      </w:r>
    </w:p>
    <w:p w14:paraId="33EA9B8C">
      <w:pPr>
        <w:autoSpaceDE w:val="0"/>
        <w:autoSpaceDN w:val="0"/>
        <w:adjustRightInd w:val="0"/>
        <w:spacing w:line="360" w:lineRule="auto"/>
        <w:ind w:firstLine="422" w:firstLineChars="200"/>
        <w:jc w:val="center"/>
        <w:rPr>
          <w:rFonts w:ascii="黑体" w:hAnsi="黑体" w:eastAsia="黑体" w:cs="宋体"/>
          <w:b/>
          <w:sz w:val="21"/>
          <w:szCs w:val="21"/>
        </w:rPr>
      </w:pPr>
      <w:r>
        <w:rPr>
          <w:rFonts w:hint="eastAsia" w:ascii="黑体" w:hAnsi="黑体" w:eastAsia="黑体" w:cs="宋体"/>
          <w:b/>
          <w:sz w:val="21"/>
          <w:szCs w:val="21"/>
        </w:rPr>
        <w:t>表4.7.7-3 道德行为方面的的关键绩效结果变化趋势</w:t>
      </w:r>
    </w:p>
    <w:tbl>
      <w:tblPr>
        <w:tblStyle w:val="22"/>
        <w:tblW w:w="4998"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3431"/>
        <w:gridCol w:w="1665"/>
        <w:gridCol w:w="1665"/>
        <w:gridCol w:w="1758"/>
      </w:tblGrid>
      <w:tr w14:paraId="03DE735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2013" w:type="pct"/>
            <w:shd w:val="clear" w:color="auto" w:fill="938953"/>
            <w:vAlign w:val="center"/>
          </w:tcPr>
          <w:p w14:paraId="4A5E08CD">
            <w:pPr>
              <w:pStyle w:val="31"/>
              <w:widowControl w:val="0"/>
              <w:spacing w:line="400" w:lineRule="exact"/>
              <w:rPr>
                <w:rFonts w:ascii="Times New Roman" w:hAnsi="Times New Roman" w:eastAsia="宋体"/>
                <w:b/>
                <w:bCs/>
                <w:color w:val="auto"/>
                <w:kern w:val="2"/>
                <w:szCs w:val="21"/>
              </w:rPr>
            </w:pPr>
            <w:r>
              <w:rPr>
                <w:rFonts w:hint="eastAsia" w:ascii="Times New Roman" w:hAnsi="Times New Roman" w:eastAsia="宋体"/>
                <w:b/>
                <w:bCs/>
                <w:color w:val="auto"/>
                <w:kern w:val="2"/>
                <w:szCs w:val="21"/>
              </w:rPr>
              <w:t>指标名称</w:t>
            </w:r>
          </w:p>
        </w:tc>
        <w:tc>
          <w:tcPr>
            <w:tcW w:w="977" w:type="pct"/>
            <w:shd w:val="clear" w:color="auto" w:fill="948A54"/>
            <w:vAlign w:val="center"/>
          </w:tcPr>
          <w:p w14:paraId="14846A21">
            <w:pPr>
              <w:pStyle w:val="31"/>
              <w:widowControl w:val="0"/>
              <w:spacing w:line="260" w:lineRule="exact"/>
              <w:rPr>
                <w:rFonts w:ascii="宋体" w:hAnsi="宋体" w:eastAsia="宋体" w:cs="Times New Roman"/>
                <w:b/>
                <w:color w:val="auto"/>
                <w:kern w:val="2"/>
                <w:sz w:val="24"/>
                <w:szCs w:val="24"/>
                <w:lang w:val="en-US" w:eastAsia="zh-CN" w:bidi="ar-SA"/>
              </w:rPr>
            </w:pPr>
            <w:r>
              <w:rPr>
                <w:rFonts w:hint="eastAsia" w:ascii="宋体" w:hAnsi="宋体" w:eastAsia="宋体"/>
                <w:b/>
                <w:color w:val="auto"/>
                <w:kern w:val="2"/>
                <w:sz w:val="21"/>
                <w:szCs w:val="21"/>
              </w:rPr>
              <w:t>202</w:t>
            </w:r>
            <w:r>
              <w:rPr>
                <w:rFonts w:hint="eastAsia" w:ascii="宋体" w:hAnsi="宋体" w:eastAsia="宋体"/>
                <w:b/>
                <w:color w:val="auto"/>
                <w:kern w:val="2"/>
                <w:sz w:val="21"/>
                <w:szCs w:val="21"/>
                <w:lang w:val="en-US" w:eastAsia="zh-CN"/>
              </w:rPr>
              <w:t>3</w:t>
            </w:r>
            <w:r>
              <w:rPr>
                <w:rFonts w:hint="eastAsia" w:ascii="宋体" w:hAnsi="宋体" w:eastAsia="宋体"/>
                <w:b/>
                <w:color w:val="auto"/>
                <w:kern w:val="2"/>
                <w:sz w:val="21"/>
                <w:szCs w:val="21"/>
              </w:rPr>
              <w:t>年</w:t>
            </w:r>
          </w:p>
        </w:tc>
        <w:tc>
          <w:tcPr>
            <w:tcW w:w="977" w:type="pct"/>
            <w:shd w:val="clear" w:color="auto" w:fill="948A54"/>
            <w:vAlign w:val="center"/>
          </w:tcPr>
          <w:p w14:paraId="36E83CAB">
            <w:pPr>
              <w:pStyle w:val="31"/>
              <w:widowControl w:val="0"/>
              <w:spacing w:line="260" w:lineRule="exact"/>
              <w:rPr>
                <w:rFonts w:ascii="宋体" w:hAnsi="宋体" w:eastAsia="宋体" w:cs="Times New Roman"/>
                <w:b/>
                <w:color w:val="auto"/>
                <w:kern w:val="2"/>
                <w:sz w:val="24"/>
                <w:szCs w:val="24"/>
                <w:lang w:val="en-US" w:eastAsia="zh-CN" w:bidi="ar-SA"/>
              </w:rPr>
            </w:pPr>
            <w:r>
              <w:rPr>
                <w:rFonts w:hint="eastAsia" w:ascii="宋体" w:hAnsi="宋体" w:eastAsia="宋体"/>
                <w:b/>
                <w:color w:val="auto"/>
                <w:kern w:val="2"/>
                <w:sz w:val="21"/>
                <w:szCs w:val="21"/>
              </w:rPr>
              <w:t>20</w:t>
            </w:r>
            <w:r>
              <w:rPr>
                <w:rFonts w:ascii="宋体" w:hAnsi="宋体" w:eastAsia="宋体"/>
                <w:b/>
                <w:color w:val="auto"/>
                <w:kern w:val="2"/>
                <w:sz w:val="21"/>
                <w:szCs w:val="21"/>
              </w:rPr>
              <w:t>2</w:t>
            </w:r>
            <w:r>
              <w:rPr>
                <w:rFonts w:hint="eastAsia" w:ascii="宋体" w:hAnsi="宋体" w:eastAsia="宋体"/>
                <w:b/>
                <w:color w:val="auto"/>
                <w:kern w:val="2"/>
                <w:sz w:val="21"/>
                <w:szCs w:val="21"/>
                <w:lang w:val="en-US" w:eastAsia="zh-CN"/>
              </w:rPr>
              <w:t>4</w:t>
            </w:r>
            <w:r>
              <w:rPr>
                <w:rFonts w:hint="eastAsia" w:ascii="宋体" w:hAnsi="宋体" w:eastAsia="宋体"/>
                <w:b/>
                <w:color w:val="auto"/>
                <w:kern w:val="2"/>
                <w:sz w:val="21"/>
                <w:szCs w:val="21"/>
              </w:rPr>
              <w:t>年</w:t>
            </w:r>
          </w:p>
        </w:tc>
        <w:tc>
          <w:tcPr>
            <w:tcW w:w="1031" w:type="pct"/>
            <w:shd w:val="clear" w:color="auto" w:fill="948A54"/>
            <w:vAlign w:val="center"/>
          </w:tcPr>
          <w:p w14:paraId="066C4D4F">
            <w:pPr>
              <w:pStyle w:val="31"/>
              <w:widowControl w:val="0"/>
              <w:spacing w:line="260" w:lineRule="exact"/>
              <w:rPr>
                <w:rFonts w:ascii="宋体" w:hAnsi="宋体" w:eastAsia="宋体" w:cs="Times New Roman"/>
                <w:b/>
                <w:color w:val="auto"/>
                <w:kern w:val="2"/>
                <w:sz w:val="24"/>
                <w:szCs w:val="24"/>
                <w:lang w:val="en-US" w:eastAsia="zh-CN" w:bidi="ar-SA"/>
              </w:rPr>
            </w:pPr>
            <w:r>
              <w:rPr>
                <w:rFonts w:hint="eastAsia" w:ascii="宋体" w:hAnsi="宋体" w:eastAsia="宋体"/>
                <w:b/>
                <w:color w:val="auto"/>
                <w:kern w:val="2"/>
                <w:sz w:val="21"/>
                <w:szCs w:val="21"/>
              </w:rPr>
              <w:t>202</w:t>
            </w:r>
            <w:r>
              <w:rPr>
                <w:rFonts w:hint="eastAsia" w:ascii="宋体" w:hAnsi="宋体" w:eastAsia="宋体"/>
                <w:b/>
                <w:color w:val="auto"/>
                <w:kern w:val="2"/>
                <w:sz w:val="21"/>
                <w:szCs w:val="21"/>
                <w:lang w:val="en-US" w:eastAsia="zh-CN"/>
              </w:rPr>
              <w:t>5</w:t>
            </w:r>
            <w:r>
              <w:rPr>
                <w:rFonts w:hint="eastAsia" w:ascii="宋体" w:hAnsi="宋体" w:eastAsia="宋体"/>
                <w:b/>
                <w:color w:val="auto"/>
                <w:kern w:val="2"/>
                <w:sz w:val="21"/>
                <w:szCs w:val="21"/>
              </w:rPr>
              <w:t>年</w:t>
            </w:r>
          </w:p>
        </w:tc>
      </w:tr>
      <w:tr w14:paraId="43FD636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33" w:hRule="atLeast"/>
          <w:jc w:val="center"/>
        </w:trPr>
        <w:tc>
          <w:tcPr>
            <w:tcW w:w="2013" w:type="pct"/>
          </w:tcPr>
          <w:p w14:paraId="07FCA250">
            <w:pPr>
              <w:pStyle w:val="31"/>
              <w:widowControl w:val="0"/>
              <w:spacing w:line="400" w:lineRule="exact"/>
              <w:rPr>
                <w:rFonts w:ascii="宋体" w:hAnsi="宋体" w:eastAsia="宋体"/>
                <w:color w:val="auto"/>
                <w:kern w:val="2"/>
                <w:sz w:val="21"/>
                <w:szCs w:val="21"/>
              </w:rPr>
            </w:pPr>
            <w:r>
              <w:rPr>
                <w:rFonts w:hint="eastAsia" w:ascii="宋体" w:hAnsi="宋体" w:eastAsia="宋体"/>
                <w:color w:val="auto"/>
                <w:kern w:val="2"/>
                <w:sz w:val="21"/>
                <w:szCs w:val="21"/>
              </w:rPr>
              <w:t>违法违规次数（高层）/次</w:t>
            </w:r>
          </w:p>
        </w:tc>
        <w:tc>
          <w:tcPr>
            <w:tcW w:w="977" w:type="pct"/>
            <w:vAlign w:val="center"/>
          </w:tcPr>
          <w:p w14:paraId="01EB7D48">
            <w:pPr>
              <w:pStyle w:val="10"/>
              <w:widowControl w:val="0"/>
              <w:spacing w:line="400" w:lineRule="exact"/>
              <w:jc w:val="center"/>
              <w:rPr>
                <w:rFonts w:ascii="宋体" w:hAnsi="宋体"/>
                <w:kern w:val="2"/>
                <w:sz w:val="21"/>
                <w:szCs w:val="21"/>
              </w:rPr>
            </w:pPr>
            <w:r>
              <w:rPr>
                <w:rFonts w:hint="eastAsia" w:ascii="宋体" w:hAnsi="宋体"/>
                <w:kern w:val="2"/>
                <w:sz w:val="21"/>
                <w:szCs w:val="21"/>
              </w:rPr>
              <w:t>0</w:t>
            </w:r>
          </w:p>
        </w:tc>
        <w:tc>
          <w:tcPr>
            <w:tcW w:w="977" w:type="pct"/>
            <w:vAlign w:val="center"/>
          </w:tcPr>
          <w:p w14:paraId="4231D8B2">
            <w:pPr>
              <w:spacing w:line="400" w:lineRule="exact"/>
              <w:jc w:val="center"/>
              <w:rPr>
                <w:rFonts w:ascii="宋体" w:hAnsi="宋体"/>
                <w:kern w:val="2"/>
                <w:sz w:val="21"/>
                <w:szCs w:val="21"/>
              </w:rPr>
            </w:pPr>
            <w:r>
              <w:rPr>
                <w:rFonts w:hint="eastAsia" w:ascii="宋体" w:hAnsi="宋体"/>
                <w:kern w:val="2"/>
                <w:sz w:val="21"/>
                <w:szCs w:val="21"/>
              </w:rPr>
              <w:t>0</w:t>
            </w:r>
          </w:p>
        </w:tc>
        <w:tc>
          <w:tcPr>
            <w:tcW w:w="1031" w:type="pct"/>
            <w:vAlign w:val="center"/>
          </w:tcPr>
          <w:p w14:paraId="0D52FE95">
            <w:pPr>
              <w:spacing w:line="400" w:lineRule="exact"/>
              <w:jc w:val="center"/>
              <w:rPr>
                <w:rFonts w:ascii="宋体" w:hAnsi="宋体"/>
                <w:kern w:val="2"/>
                <w:sz w:val="21"/>
                <w:szCs w:val="21"/>
              </w:rPr>
            </w:pPr>
            <w:r>
              <w:rPr>
                <w:rFonts w:hint="eastAsia" w:ascii="宋体" w:hAnsi="宋体"/>
                <w:kern w:val="2"/>
                <w:sz w:val="21"/>
                <w:szCs w:val="21"/>
              </w:rPr>
              <w:t>0</w:t>
            </w:r>
          </w:p>
        </w:tc>
      </w:tr>
      <w:tr w14:paraId="3A72C64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33" w:hRule="atLeast"/>
          <w:jc w:val="center"/>
        </w:trPr>
        <w:tc>
          <w:tcPr>
            <w:tcW w:w="2013" w:type="pct"/>
          </w:tcPr>
          <w:p w14:paraId="6ADB7F58">
            <w:pPr>
              <w:pStyle w:val="31"/>
              <w:widowControl w:val="0"/>
              <w:spacing w:line="400" w:lineRule="exact"/>
              <w:rPr>
                <w:rFonts w:ascii="宋体" w:hAnsi="宋体" w:eastAsia="宋体"/>
                <w:color w:val="auto"/>
                <w:kern w:val="2"/>
                <w:sz w:val="21"/>
                <w:szCs w:val="21"/>
              </w:rPr>
            </w:pPr>
            <w:r>
              <w:rPr>
                <w:rFonts w:hint="eastAsia" w:ascii="宋体" w:hAnsi="宋体" w:eastAsia="宋体"/>
                <w:color w:val="auto"/>
                <w:kern w:val="2"/>
                <w:sz w:val="21"/>
                <w:szCs w:val="21"/>
              </w:rPr>
              <w:t>合同履约率/%</w:t>
            </w:r>
          </w:p>
        </w:tc>
        <w:tc>
          <w:tcPr>
            <w:tcW w:w="977" w:type="pct"/>
            <w:vAlign w:val="center"/>
          </w:tcPr>
          <w:p w14:paraId="01B148C3">
            <w:pPr>
              <w:pStyle w:val="10"/>
              <w:widowControl w:val="0"/>
              <w:spacing w:line="400" w:lineRule="exact"/>
              <w:jc w:val="center"/>
              <w:rPr>
                <w:rFonts w:ascii="宋体" w:hAnsi="宋体"/>
                <w:kern w:val="2"/>
                <w:sz w:val="21"/>
                <w:szCs w:val="21"/>
              </w:rPr>
            </w:pPr>
            <w:r>
              <w:rPr>
                <w:rFonts w:hint="eastAsia" w:ascii="宋体" w:hAnsi="宋体"/>
                <w:kern w:val="2"/>
                <w:sz w:val="21"/>
                <w:szCs w:val="21"/>
              </w:rPr>
              <w:t>100</w:t>
            </w:r>
          </w:p>
        </w:tc>
        <w:tc>
          <w:tcPr>
            <w:tcW w:w="977" w:type="pct"/>
            <w:vAlign w:val="center"/>
          </w:tcPr>
          <w:p w14:paraId="094102A3">
            <w:pPr>
              <w:pStyle w:val="10"/>
              <w:widowControl w:val="0"/>
              <w:spacing w:line="400" w:lineRule="exact"/>
              <w:jc w:val="center"/>
              <w:rPr>
                <w:rFonts w:ascii="宋体" w:hAnsi="宋体"/>
                <w:kern w:val="2"/>
                <w:sz w:val="21"/>
                <w:szCs w:val="21"/>
              </w:rPr>
            </w:pPr>
            <w:r>
              <w:rPr>
                <w:rFonts w:hint="eastAsia" w:ascii="宋体" w:hAnsi="宋体"/>
                <w:kern w:val="2"/>
                <w:sz w:val="21"/>
                <w:szCs w:val="21"/>
              </w:rPr>
              <w:t>100</w:t>
            </w:r>
          </w:p>
        </w:tc>
        <w:tc>
          <w:tcPr>
            <w:tcW w:w="1031" w:type="pct"/>
            <w:vAlign w:val="center"/>
          </w:tcPr>
          <w:p w14:paraId="1E0ED7A0">
            <w:pPr>
              <w:pStyle w:val="31"/>
              <w:widowControl w:val="0"/>
              <w:spacing w:line="400" w:lineRule="exact"/>
              <w:rPr>
                <w:rFonts w:ascii="宋体" w:hAnsi="宋体" w:eastAsia="宋体"/>
                <w:color w:val="auto"/>
                <w:kern w:val="2"/>
                <w:sz w:val="21"/>
                <w:szCs w:val="21"/>
              </w:rPr>
            </w:pPr>
            <w:r>
              <w:rPr>
                <w:rFonts w:hint="eastAsia" w:ascii="宋体" w:hAnsi="宋体" w:eastAsia="宋体"/>
                <w:color w:val="auto"/>
                <w:kern w:val="2"/>
                <w:sz w:val="21"/>
                <w:szCs w:val="21"/>
              </w:rPr>
              <w:t>100</w:t>
            </w:r>
          </w:p>
        </w:tc>
      </w:tr>
    </w:tbl>
    <w:p w14:paraId="3B76F0D4"/>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华文新魏">
    <w:altName w:val="宋体"/>
    <w:panose1 w:val="0201080004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新宋体">
    <w:panose1 w:val="02010609030101010101"/>
    <w:charset w:val="86"/>
    <w:family w:val="modern"/>
    <w:pitch w:val="default"/>
    <w:sig w:usb0="00000003" w:usb1="288F0000" w:usb2="00000006" w:usb3="00000000" w:csb0="00040001" w:csb1="00000000"/>
  </w:font>
  <w:font w:name="T20">
    <w:altName w:val="微软雅黑"/>
    <w:panose1 w:val="00000000000000000000"/>
    <w:charset w:val="86"/>
    <w:family w:val="swiss"/>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T26">
    <w:altName w:val="微软雅黑"/>
    <w:panose1 w:val="00000000000000000000"/>
    <w:charset w:val="86"/>
    <w:family w:val="swiss"/>
    <w:pitch w:val="default"/>
    <w:sig w:usb0="00000000" w:usb1="00000000" w:usb2="00000010" w:usb3="00000000" w:csb0="00040000" w:csb1="00000000"/>
  </w:font>
  <w:font w:name=".Apple Color Emoji UI">
    <w:altName w:val="Segoe Print"/>
    <w:panose1 w:val="00000000000000000000"/>
    <w:charset w:val="00"/>
    <w:family w:val="auto"/>
    <w:pitch w:val="default"/>
    <w:sig w:usb0="00000000" w:usb1="00000000" w:usb2="14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F1AF5E">
    <w:pPr>
      <w:pStyle w:val="15"/>
      <w:framePr w:wrap="around" w:vAnchor="text" w:hAnchor="margin" w:xAlign="outside" w:y="1"/>
      <w:ind w:firstLine="480"/>
      <w:rPr>
        <w:rStyle w:val="24"/>
        <w:sz w:val="24"/>
        <w:szCs w:val="24"/>
      </w:rPr>
    </w:pPr>
    <w:r>
      <w:rPr>
        <w:sz w:val="24"/>
        <w:szCs w:val="24"/>
      </w:rPr>
      <w:fldChar w:fldCharType="begin"/>
    </w:r>
    <w:r>
      <w:rPr>
        <w:rStyle w:val="24"/>
        <w:sz w:val="24"/>
        <w:szCs w:val="24"/>
      </w:rPr>
      <w:instrText xml:space="preserve">PAGE  </w:instrText>
    </w:r>
    <w:r>
      <w:rPr>
        <w:sz w:val="24"/>
        <w:szCs w:val="24"/>
      </w:rPr>
      <w:fldChar w:fldCharType="separate"/>
    </w:r>
    <w:r>
      <w:rPr>
        <w:rStyle w:val="24"/>
        <w:sz w:val="24"/>
        <w:szCs w:val="24"/>
      </w:rPr>
      <w:t>- 22 -</w:t>
    </w:r>
    <w:r>
      <w:rPr>
        <w:sz w:val="24"/>
        <w:szCs w:val="24"/>
      </w:rPr>
      <w:fldChar w:fldCharType="end"/>
    </w:r>
  </w:p>
  <w:p w14:paraId="3FE195DF">
    <w:pPr>
      <w:pStyle w:val="15"/>
      <w:ind w:right="360" w:firstLine="420"/>
      <w:jc w:val="right"/>
      <w:rPr>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553068">
    <w:pPr>
      <w:pStyle w:val="15"/>
      <w:framePr w:wrap="around" w:vAnchor="text" w:hAnchor="margin" w:xAlign="outside" w:y="1"/>
      <w:ind w:firstLine="720"/>
      <w:rPr>
        <w:rStyle w:val="24"/>
        <w:spacing w:val="40"/>
        <w:sz w:val="28"/>
        <w:szCs w:val="28"/>
      </w:rPr>
    </w:pPr>
    <w:r>
      <w:rPr>
        <w:rStyle w:val="24"/>
        <w:spacing w:val="40"/>
        <w:sz w:val="28"/>
        <w:szCs w:val="28"/>
      </w:rPr>
      <w:t>－</w:t>
    </w:r>
    <w:r>
      <w:rPr>
        <w:spacing w:val="40"/>
        <w:sz w:val="28"/>
        <w:szCs w:val="28"/>
      </w:rPr>
      <w:fldChar w:fldCharType="begin"/>
    </w:r>
    <w:r>
      <w:rPr>
        <w:rStyle w:val="24"/>
        <w:spacing w:val="40"/>
        <w:sz w:val="28"/>
        <w:szCs w:val="28"/>
      </w:rPr>
      <w:instrText xml:space="preserve">PAGE  </w:instrText>
    </w:r>
    <w:r>
      <w:rPr>
        <w:spacing w:val="40"/>
        <w:sz w:val="28"/>
        <w:szCs w:val="28"/>
      </w:rPr>
      <w:fldChar w:fldCharType="separate"/>
    </w:r>
    <w:r>
      <w:rPr>
        <w:rStyle w:val="24"/>
        <w:spacing w:val="40"/>
        <w:sz w:val="28"/>
        <w:szCs w:val="28"/>
      </w:rPr>
      <w:t>12</w:t>
    </w:r>
    <w:r>
      <w:rPr>
        <w:spacing w:val="40"/>
        <w:sz w:val="28"/>
        <w:szCs w:val="28"/>
      </w:rPr>
      <w:fldChar w:fldCharType="end"/>
    </w:r>
    <w:r>
      <w:rPr>
        <w:rStyle w:val="24"/>
        <w:spacing w:val="40"/>
        <w:sz w:val="28"/>
        <w:szCs w:val="28"/>
      </w:rPr>
      <w:t>－</w:t>
    </w:r>
  </w:p>
  <w:p w14:paraId="5F2EA94C">
    <w:pPr>
      <w:pStyle w:val="15"/>
      <w:ind w:right="360" w:firstLine="420"/>
      <w:rPr>
        <w:sz w:val="21"/>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2489DF">
    <w:pPr>
      <w:pStyle w:val="1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9" name="文本框 1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829A4EC">
                          <w:pPr>
                            <w:pStyle w:val="15"/>
                            <w:rPr>
                              <w:rStyle w:val="24"/>
                            </w:rPr>
                          </w:pPr>
                          <w:r>
                            <w:fldChar w:fldCharType="begin"/>
                          </w:r>
                          <w:r>
                            <w:rPr>
                              <w:rStyle w:val="24"/>
                            </w:rPr>
                            <w:instrText xml:space="preserve">PAGE  </w:instrText>
                          </w:r>
                          <w:r>
                            <w:fldChar w:fldCharType="separate"/>
                          </w:r>
                          <w:r>
                            <w:rPr>
                              <w:rStyle w:val="24"/>
                            </w:rPr>
                            <w:t>138</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BJnQYZzwEAAKsDAAAOAAAAAAAAAAEAIAAAAB4BAABkcnMv&#10;ZTJvRG9jLnhtbFBLBQYAAAAABgAGAFkBAABfBQAAAAA=&#10;">
              <v:fill on="f" focussize="0,0"/>
              <v:stroke on="f"/>
              <v:imagedata o:title=""/>
              <o:lock v:ext="edit" aspectratio="f"/>
              <v:textbox inset="0mm,0mm,0mm,0mm" style="mso-fit-shape-to-text:t;">
                <w:txbxContent>
                  <w:p w14:paraId="2829A4EC">
                    <w:pPr>
                      <w:pStyle w:val="15"/>
                      <w:rPr>
                        <w:rStyle w:val="24"/>
                      </w:rPr>
                    </w:pPr>
                    <w:r>
                      <w:fldChar w:fldCharType="begin"/>
                    </w:r>
                    <w:r>
                      <w:rPr>
                        <w:rStyle w:val="24"/>
                      </w:rPr>
                      <w:instrText xml:space="preserve">PAGE  </w:instrText>
                    </w:r>
                    <w:r>
                      <w:fldChar w:fldCharType="separate"/>
                    </w:r>
                    <w:r>
                      <w:rPr>
                        <w:rStyle w:val="24"/>
                      </w:rPr>
                      <w:t>138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B5B205">
    <w:pPr>
      <w:pStyle w:val="1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C6AF7">
    <w:pPr>
      <w:pStyle w:val="16"/>
      <w:pBdr>
        <w:bottom w:val="single" w:color="auto" w:sz="4" w:space="1"/>
      </w:pBdr>
      <w:jc w:val="left"/>
      <w:rPr>
        <w:color w:val="FF0000"/>
      </w:rPr>
    </w:pPr>
    <w:r>
      <w:rPr>
        <w:rFonts w:hint="eastAsia"/>
        <w:color w:val="63B188"/>
        <w:sz w:val="21"/>
      </w:rPr>
      <w:t>自我评价报告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980B3D">
    <w:pPr>
      <w:pStyle w:val="16"/>
      <w:pBdr>
        <w:bottom w:val="single" w:color="auto" w:sz="4" w:space="1"/>
      </w:pBdr>
      <w:jc w:val="left"/>
    </w:pPr>
    <w:r>
      <w:rPr>
        <w:rFonts w:hint="eastAsia"/>
        <w:b/>
        <w:bCs/>
      </w:rPr>
      <w:t xml:space="preserve">                 卓越绩效自评报告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843056"/>
    <w:multiLevelType w:val="multilevel"/>
    <w:tmpl w:val="1F843056"/>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
    <w:nsid w:val="21951686"/>
    <w:multiLevelType w:val="multilevel"/>
    <w:tmpl w:val="21951686"/>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2E3D13A6"/>
    <w:multiLevelType w:val="multilevel"/>
    <w:tmpl w:val="2E3D13A6"/>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
    <w:nsid w:val="39B9249D"/>
    <w:multiLevelType w:val="multilevel"/>
    <w:tmpl w:val="39B9249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
    <w:nsid w:val="59B4821F"/>
    <w:multiLevelType w:val="singleLevel"/>
    <w:tmpl w:val="59B4821F"/>
    <w:lvl w:ilvl="0" w:tentative="0">
      <w:start w:val="1"/>
      <w:numFmt w:val="decimal"/>
      <w:suff w:val="nothing"/>
      <w:lvlText w:val="%1）"/>
      <w:lvlJc w:val="left"/>
    </w:lvl>
  </w:abstractNum>
  <w:abstractNum w:abstractNumId="5">
    <w:nsid w:val="65FB0920"/>
    <w:multiLevelType w:val="multilevel"/>
    <w:tmpl w:val="65FB0920"/>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1"/>
  </w:num>
  <w:num w:numId="2">
    <w:abstractNumId w:val="4"/>
  </w:num>
  <w:num w:numId="3">
    <w:abstractNumId w:val="5"/>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zZjc4MGQ1ODJmNzEzNzUyZjRiZWM3ZWVjYjRhYmIifQ=="/>
  </w:docVars>
  <w:rsids>
    <w:rsidRoot w:val="009D046D"/>
    <w:rsid w:val="000441BD"/>
    <w:rsid w:val="000471E6"/>
    <w:rsid w:val="00077155"/>
    <w:rsid w:val="00095C76"/>
    <w:rsid w:val="000B2F72"/>
    <w:rsid w:val="000E753C"/>
    <w:rsid w:val="00182D17"/>
    <w:rsid w:val="001B3CF1"/>
    <w:rsid w:val="001D5DD0"/>
    <w:rsid w:val="001E40BB"/>
    <w:rsid w:val="002161A8"/>
    <w:rsid w:val="002F4B0F"/>
    <w:rsid w:val="00367642"/>
    <w:rsid w:val="004114B9"/>
    <w:rsid w:val="004673AA"/>
    <w:rsid w:val="004773A9"/>
    <w:rsid w:val="004E4EFD"/>
    <w:rsid w:val="005033F2"/>
    <w:rsid w:val="0051353F"/>
    <w:rsid w:val="00571840"/>
    <w:rsid w:val="00586E63"/>
    <w:rsid w:val="005A62BA"/>
    <w:rsid w:val="005A6A79"/>
    <w:rsid w:val="005E01E1"/>
    <w:rsid w:val="005E4FCA"/>
    <w:rsid w:val="00631B1E"/>
    <w:rsid w:val="00637CB0"/>
    <w:rsid w:val="006538BE"/>
    <w:rsid w:val="006841BC"/>
    <w:rsid w:val="006C0620"/>
    <w:rsid w:val="00792274"/>
    <w:rsid w:val="0085298A"/>
    <w:rsid w:val="00871360"/>
    <w:rsid w:val="008C1871"/>
    <w:rsid w:val="008C54E6"/>
    <w:rsid w:val="008E6A22"/>
    <w:rsid w:val="009110CA"/>
    <w:rsid w:val="00982454"/>
    <w:rsid w:val="009A7145"/>
    <w:rsid w:val="009B288A"/>
    <w:rsid w:val="009B49D1"/>
    <w:rsid w:val="009D046D"/>
    <w:rsid w:val="00A43D6A"/>
    <w:rsid w:val="00A52A2A"/>
    <w:rsid w:val="00A54F17"/>
    <w:rsid w:val="00A760D3"/>
    <w:rsid w:val="00A8154E"/>
    <w:rsid w:val="00A936A7"/>
    <w:rsid w:val="00AC2C87"/>
    <w:rsid w:val="00B013C5"/>
    <w:rsid w:val="00B26E44"/>
    <w:rsid w:val="00BB61C6"/>
    <w:rsid w:val="00BC5C22"/>
    <w:rsid w:val="00BF2848"/>
    <w:rsid w:val="00C17C6B"/>
    <w:rsid w:val="00C40B32"/>
    <w:rsid w:val="00C50679"/>
    <w:rsid w:val="00C638EF"/>
    <w:rsid w:val="00C707F3"/>
    <w:rsid w:val="00C86734"/>
    <w:rsid w:val="00CE23B5"/>
    <w:rsid w:val="00CE39AB"/>
    <w:rsid w:val="00CE4A20"/>
    <w:rsid w:val="00D53358"/>
    <w:rsid w:val="00D60188"/>
    <w:rsid w:val="00D70277"/>
    <w:rsid w:val="00D72DCD"/>
    <w:rsid w:val="00D90924"/>
    <w:rsid w:val="00DA6E15"/>
    <w:rsid w:val="00DB180B"/>
    <w:rsid w:val="00DD28B9"/>
    <w:rsid w:val="00E32CC3"/>
    <w:rsid w:val="00E4227C"/>
    <w:rsid w:val="00E961E3"/>
    <w:rsid w:val="00F146FC"/>
    <w:rsid w:val="00F82256"/>
    <w:rsid w:val="00FD6FB2"/>
    <w:rsid w:val="00FF7700"/>
    <w:rsid w:val="068443E3"/>
    <w:rsid w:val="06FD7DB3"/>
    <w:rsid w:val="10E615BF"/>
    <w:rsid w:val="1182211B"/>
    <w:rsid w:val="11925BD4"/>
    <w:rsid w:val="11963ACA"/>
    <w:rsid w:val="12451BD8"/>
    <w:rsid w:val="12D25E5C"/>
    <w:rsid w:val="155508EE"/>
    <w:rsid w:val="157841A4"/>
    <w:rsid w:val="16853992"/>
    <w:rsid w:val="16A547E8"/>
    <w:rsid w:val="16C47DB8"/>
    <w:rsid w:val="1AF51CC6"/>
    <w:rsid w:val="1B3C333B"/>
    <w:rsid w:val="1BA87C51"/>
    <w:rsid w:val="1CBF6EB7"/>
    <w:rsid w:val="1ED966AE"/>
    <w:rsid w:val="23097B61"/>
    <w:rsid w:val="23297A72"/>
    <w:rsid w:val="24305A06"/>
    <w:rsid w:val="28810F26"/>
    <w:rsid w:val="29B20920"/>
    <w:rsid w:val="2A2648D6"/>
    <w:rsid w:val="2A3C5654"/>
    <w:rsid w:val="2D033E9E"/>
    <w:rsid w:val="318D3562"/>
    <w:rsid w:val="31D15EBD"/>
    <w:rsid w:val="32173D63"/>
    <w:rsid w:val="32335040"/>
    <w:rsid w:val="335E433E"/>
    <w:rsid w:val="342E306C"/>
    <w:rsid w:val="343E0D8C"/>
    <w:rsid w:val="36575075"/>
    <w:rsid w:val="36EC5B7D"/>
    <w:rsid w:val="3A92799B"/>
    <w:rsid w:val="3D7C1055"/>
    <w:rsid w:val="45752151"/>
    <w:rsid w:val="482F2FD6"/>
    <w:rsid w:val="4972621E"/>
    <w:rsid w:val="4A5816C4"/>
    <w:rsid w:val="4AF64B64"/>
    <w:rsid w:val="5017735C"/>
    <w:rsid w:val="5109760F"/>
    <w:rsid w:val="52DA56D0"/>
    <w:rsid w:val="54F44E6B"/>
    <w:rsid w:val="55E42029"/>
    <w:rsid w:val="5A72261D"/>
    <w:rsid w:val="60DC18A1"/>
    <w:rsid w:val="60F320BD"/>
    <w:rsid w:val="613B6310"/>
    <w:rsid w:val="63641879"/>
    <w:rsid w:val="63746F67"/>
    <w:rsid w:val="64333612"/>
    <w:rsid w:val="647F1C1B"/>
    <w:rsid w:val="6C901B3B"/>
    <w:rsid w:val="6CFA680C"/>
    <w:rsid w:val="6E985C4F"/>
    <w:rsid w:val="7114569C"/>
    <w:rsid w:val="728906F1"/>
    <w:rsid w:val="734D0939"/>
    <w:rsid w:val="73EF5340"/>
    <w:rsid w:val="7F9B7A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zh-CN" w:bidi="ar-SA"/>
    </w:rPr>
  </w:style>
  <w:style w:type="paragraph" w:styleId="2">
    <w:name w:val="heading 1"/>
    <w:basedOn w:val="1"/>
    <w:next w:val="1"/>
    <w:qFormat/>
    <w:uiPriority w:val="0"/>
    <w:pPr>
      <w:keepNext/>
      <w:keepLines/>
      <w:spacing w:before="100" w:line="579" w:lineRule="auto"/>
      <w:jc w:val="center"/>
      <w:outlineLvl w:val="0"/>
    </w:pPr>
    <w:rPr>
      <w:b/>
      <w:bCs/>
      <w:kern w:val="44"/>
      <w:sz w:val="44"/>
      <w:szCs w:val="44"/>
    </w:rPr>
  </w:style>
  <w:style w:type="paragraph" w:styleId="3">
    <w:name w:val="heading 2"/>
    <w:basedOn w:val="1"/>
    <w:next w:val="1"/>
    <w:qFormat/>
    <w:uiPriority w:val="0"/>
    <w:pPr>
      <w:keepNext/>
      <w:keepLines/>
      <w:spacing w:before="140" w:after="140" w:line="416" w:lineRule="auto"/>
      <w:outlineLvl w:val="1"/>
    </w:pPr>
    <w:rPr>
      <w:rFonts w:ascii="Cambria" w:hAnsi="Cambria"/>
      <w:b/>
      <w:bCs/>
      <w:sz w:val="36"/>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Cambria" w:hAnsi="Cambria"/>
      <w:b/>
      <w:bCs/>
      <w:sz w:val="28"/>
      <w:szCs w:val="28"/>
    </w:rPr>
  </w:style>
  <w:style w:type="paragraph" w:styleId="6">
    <w:name w:val="heading 5"/>
    <w:basedOn w:val="1"/>
    <w:next w:val="1"/>
    <w:qFormat/>
    <w:uiPriority w:val="0"/>
    <w:pPr>
      <w:keepNext/>
      <w:keepLines/>
      <w:spacing w:line="377" w:lineRule="auto"/>
      <w:outlineLvl w:val="4"/>
    </w:pPr>
    <w:rPr>
      <w:rFonts w:ascii="宋体" w:hAnsi="宋体"/>
      <w:b/>
      <w:sz w:val="28"/>
      <w:szCs w:val="28"/>
    </w:rPr>
  </w:style>
  <w:style w:type="character" w:default="1" w:styleId="23">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7">
    <w:name w:val="caption"/>
    <w:basedOn w:val="1"/>
    <w:next w:val="1"/>
    <w:qFormat/>
    <w:uiPriority w:val="0"/>
    <w:rPr>
      <w:rFonts w:ascii="Cambria" w:hAnsi="Cambria" w:eastAsia="黑体"/>
    </w:rPr>
  </w:style>
  <w:style w:type="paragraph" w:styleId="8">
    <w:name w:val="annotation text"/>
    <w:basedOn w:val="1"/>
    <w:link w:val="27"/>
    <w:qFormat/>
    <w:uiPriority w:val="0"/>
  </w:style>
  <w:style w:type="paragraph" w:styleId="9">
    <w:name w:val="Body Text 3"/>
    <w:basedOn w:val="1"/>
    <w:qFormat/>
    <w:uiPriority w:val="0"/>
    <w:pPr>
      <w:jc w:val="center"/>
    </w:pPr>
  </w:style>
  <w:style w:type="paragraph" w:styleId="10">
    <w:name w:val="Body Text"/>
    <w:basedOn w:val="1"/>
    <w:qFormat/>
    <w:uiPriority w:val="0"/>
    <w:rPr>
      <w:sz w:val="28"/>
    </w:rPr>
  </w:style>
  <w:style w:type="paragraph" w:styleId="11">
    <w:name w:val="Body Text Indent"/>
    <w:basedOn w:val="1"/>
    <w:qFormat/>
    <w:uiPriority w:val="0"/>
    <w:pPr>
      <w:spacing w:line="460" w:lineRule="exact"/>
      <w:ind w:firstLine="480" w:firstLineChars="200"/>
    </w:pPr>
  </w:style>
  <w:style w:type="paragraph" w:styleId="12">
    <w:name w:val="toc 3"/>
    <w:basedOn w:val="1"/>
    <w:next w:val="1"/>
    <w:qFormat/>
    <w:uiPriority w:val="39"/>
    <w:pPr>
      <w:ind w:left="840" w:leftChars="400"/>
    </w:pPr>
  </w:style>
  <w:style w:type="paragraph" w:styleId="13">
    <w:name w:val="Date"/>
    <w:basedOn w:val="1"/>
    <w:next w:val="1"/>
    <w:autoRedefine/>
    <w:qFormat/>
    <w:uiPriority w:val="0"/>
    <w:pPr>
      <w:ind w:left="100" w:leftChars="2500"/>
    </w:pPr>
  </w:style>
  <w:style w:type="paragraph" w:styleId="14">
    <w:name w:val="Balloon Text"/>
    <w:basedOn w:val="1"/>
    <w:autoRedefine/>
    <w:unhideWhenUsed/>
    <w:qFormat/>
    <w:uiPriority w:val="99"/>
    <w:rPr>
      <w:sz w:val="18"/>
      <w:szCs w:val="18"/>
    </w:rPr>
  </w:style>
  <w:style w:type="paragraph" w:styleId="15">
    <w:name w:val="footer"/>
    <w:basedOn w:val="1"/>
    <w:autoRedefine/>
    <w:unhideWhenUsed/>
    <w:qFormat/>
    <w:uiPriority w:val="0"/>
    <w:pPr>
      <w:tabs>
        <w:tab w:val="center" w:pos="4153"/>
        <w:tab w:val="right" w:pos="8306"/>
      </w:tabs>
      <w:snapToGrid w:val="0"/>
    </w:pPr>
    <w:rPr>
      <w:sz w:val="18"/>
      <w:szCs w:val="18"/>
    </w:rPr>
  </w:style>
  <w:style w:type="paragraph" w:styleId="16">
    <w:name w:val="header"/>
    <w:basedOn w:val="1"/>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autoRedefine/>
    <w:qFormat/>
    <w:uiPriority w:val="39"/>
  </w:style>
  <w:style w:type="paragraph" w:styleId="18">
    <w:name w:val="Body Text Indent 3"/>
    <w:basedOn w:val="1"/>
    <w:autoRedefine/>
    <w:qFormat/>
    <w:uiPriority w:val="0"/>
    <w:pPr>
      <w:tabs>
        <w:tab w:val="left" w:pos="2898"/>
      </w:tabs>
      <w:spacing w:line="400" w:lineRule="exact"/>
      <w:ind w:left="319" w:leftChars="152" w:firstLine="960" w:firstLineChars="300"/>
    </w:pPr>
    <w:rPr>
      <w:rFonts w:ascii="华文新魏" w:eastAsia="华文新魏"/>
      <w:bCs/>
      <w:sz w:val="32"/>
      <w:szCs w:val="20"/>
    </w:rPr>
  </w:style>
  <w:style w:type="paragraph" w:styleId="19">
    <w:name w:val="toc 2"/>
    <w:basedOn w:val="1"/>
    <w:next w:val="1"/>
    <w:autoRedefine/>
    <w:qFormat/>
    <w:uiPriority w:val="39"/>
    <w:pPr>
      <w:ind w:left="420" w:leftChars="200"/>
    </w:pPr>
  </w:style>
  <w:style w:type="paragraph" w:styleId="20">
    <w:name w:val="Normal (Web)"/>
    <w:basedOn w:val="1"/>
    <w:autoRedefine/>
    <w:qFormat/>
    <w:uiPriority w:val="0"/>
    <w:pPr>
      <w:spacing w:before="100" w:beforeAutospacing="1" w:after="100" w:afterAutospacing="1"/>
    </w:pPr>
    <w:rPr>
      <w:rFonts w:ascii="宋体" w:hAnsi="宋体" w:cs="宋体"/>
    </w:rPr>
  </w:style>
  <w:style w:type="paragraph" w:styleId="21">
    <w:name w:val="annotation subject"/>
    <w:basedOn w:val="8"/>
    <w:next w:val="8"/>
    <w:link w:val="28"/>
    <w:autoRedefine/>
    <w:qFormat/>
    <w:uiPriority w:val="0"/>
    <w:rPr>
      <w:b/>
      <w:bCs/>
    </w:rPr>
  </w:style>
  <w:style w:type="character" w:styleId="24">
    <w:name w:val="page number"/>
    <w:basedOn w:val="23"/>
    <w:autoRedefine/>
    <w:qFormat/>
    <w:uiPriority w:val="0"/>
  </w:style>
  <w:style w:type="character" w:styleId="25">
    <w:name w:val="Hyperlink"/>
    <w:unhideWhenUsed/>
    <w:qFormat/>
    <w:uiPriority w:val="99"/>
    <w:rPr>
      <w:color w:val="0563C1"/>
      <w:u w:val="single"/>
    </w:rPr>
  </w:style>
  <w:style w:type="character" w:styleId="26">
    <w:name w:val="annotation reference"/>
    <w:autoRedefine/>
    <w:qFormat/>
    <w:uiPriority w:val="0"/>
    <w:rPr>
      <w:sz w:val="21"/>
      <w:szCs w:val="21"/>
    </w:rPr>
  </w:style>
  <w:style w:type="character" w:customStyle="1" w:styleId="27">
    <w:name w:val="批注文字 字符"/>
    <w:link w:val="8"/>
    <w:autoRedefine/>
    <w:qFormat/>
    <w:uiPriority w:val="0"/>
    <w:rPr>
      <w:sz w:val="24"/>
      <w:szCs w:val="24"/>
    </w:rPr>
  </w:style>
  <w:style w:type="character" w:customStyle="1" w:styleId="28">
    <w:name w:val="批注主题 字符"/>
    <w:link w:val="21"/>
    <w:qFormat/>
    <w:uiPriority w:val="0"/>
    <w:rPr>
      <w:b/>
      <w:bCs/>
      <w:sz w:val="24"/>
      <w:szCs w:val="24"/>
    </w:rPr>
  </w:style>
  <w:style w:type="character" w:customStyle="1" w:styleId="29">
    <w:name w:val="图表题 Char1"/>
    <w:link w:val="30"/>
    <w:autoRedefine/>
    <w:qFormat/>
    <w:uiPriority w:val="0"/>
    <w:rPr>
      <w:b/>
      <w:color w:val="000000"/>
    </w:rPr>
  </w:style>
  <w:style w:type="paragraph" w:customStyle="1" w:styleId="30">
    <w:name w:val="图表题"/>
    <w:basedOn w:val="1"/>
    <w:link w:val="29"/>
    <w:autoRedefine/>
    <w:qFormat/>
    <w:uiPriority w:val="0"/>
    <w:pPr>
      <w:spacing w:afterLines="50" w:line="300" w:lineRule="auto"/>
      <w:jc w:val="center"/>
    </w:pPr>
    <w:rPr>
      <w:b/>
      <w:color w:val="000000"/>
    </w:rPr>
  </w:style>
  <w:style w:type="paragraph" w:customStyle="1" w:styleId="31">
    <w:name w:val="XN图标"/>
    <w:basedOn w:val="1"/>
    <w:autoRedefine/>
    <w:qFormat/>
    <w:uiPriority w:val="0"/>
    <w:pPr>
      <w:spacing w:line="264" w:lineRule="auto"/>
      <w:jc w:val="center"/>
    </w:pPr>
    <w:rPr>
      <w:rFonts w:ascii="仿宋" w:hAnsi="仿宋" w:eastAsia="仿宋"/>
      <w:color w:val="000000"/>
    </w:rPr>
  </w:style>
  <w:style w:type="paragraph" w:customStyle="1" w:styleId="32">
    <w:name w:val="标题3"/>
    <w:basedOn w:val="4"/>
    <w:next w:val="1"/>
    <w:autoRedefine/>
    <w:qFormat/>
    <w:uiPriority w:val="0"/>
    <w:pPr>
      <w:spacing w:before="240" w:after="0" w:line="240" w:lineRule="auto"/>
    </w:pPr>
    <w:rPr>
      <w:rFonts w:ascii="黑体" w:eastAsia="黑体"/>
    </w:rPr>
  </w:style>
  <w:style w:type="paragraph" w:customStyle="1" w:styleId="33">
    <w:name w:val="华帝4级"/>
    <w:basedOn w:val="1"/>
    <w:autoRedefine/>
    <w:qFormat/>
    <w:uiPriority w:val="0"/>
    <w:pPr>
      <w:adjustRightInd w:val="0"/>
      <w:spacing w:beforeLines="50" w:afterLines="50" w:line="300" w:lineRule="auto"/>
      <w:ind w:firstLine="200" w:firstLineChars="200"/>
      <w:outlineLvl w:val="3"/>
    </w:pPr>
    <w:rPr>
      <w:rFonts w:ascii="仿宋" w:hAnsi="仿宋" w:eastAsia="仿宋"/>
      <w:b/>
    </w:rPr>
  </w:style>
  <w:style w:type="paragraph" w:customStyle="1" w:styleId="34">
    <w:name w:val="XN表头"/>
    <w:basedOn w:val="7"/>
    <w:autoRedefine/>
    <w:qFormat/>
    <w:uiPriority w:val="0"/>
    <w:pPr>
      <w:spacing w:beforeLines="30" w:afterLines="20"/>
      <w:jc w:val="center"/>
    </w:pPr>
  </w:style>
  <w:style w:type="paragraph" w:customStyle="1" w:styleId="35">
    <w:name w:val="标题4"/>
    <w:basedOn w:val="5"/>
    <w:next w:val="1"/>
    <w:autoRedefine/>
    <w:qFormat/>
    <w:uiPriority w:val="0"/>
    <w:pPr>
      <w:spacing w:before="0" w:after="0" w:line="360" w:lineRule="auto"/>
    </w:pPr>
    <w:rPr>
      <w:rFonts w:ascii="黑体" w:hAnsi="黑体"/>
    </w:rPr>
  </w:style>
  <w:style w:type="paragraph" w:customStyle="1" w:styleId="36">
    <w:name w:val="XN正文"/>
    <w:basedOn w:val="1"/>
    <w:qFormat/>
    <w:uiPriority w:val="99"/>
    <w:pPr>
      <w:spacing w:line="300" w:lineRule="auto"/>
      <w:ind w:firstLine="200" w:firstLineChars="200"/>
    </w:pPr>
    <w:rPr>
      <w:rFonts w:ascii="仿宋" w:hAnsi="仿宋" w:eastAsia="仿宋"/>
      <w:color w:val="000000"/>
    </w:rPr>
  </w:style>
  <w:style w:type="paragraph" w:customStyle="1" w:styleId="37">
    <w:name w:val="正文文字缩进+5"/>
    <w:basedOn w:val="38"/>
    <w:next w:val="38"/>
    <w:autoRedefine/>
    <w:qFormat/>
    <w:uiPriority w:val="99"/>
    <w:rPr>
      <w:rFonts w:hAnsi="Calibri"/>
      <w:color w:val="auto"/>
      <w:szCs w:val="24"/>
    </w:rPr>
  </w:style>
  <w:style w:type="paragraph" w:customStyle="1" w:styleId="38">
    <w:name w:val="Default"/>
    <w:autoRedefine/>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39">
    <w:name w:val="p0"/>
    <w:basedOn w:val="1"/>
    <w:autoRedefine/>
    <w:qFormat/>
    <w:uiPriority w:val="0"/>
    <w:pPr>
      <w:spacing w:before="100" w:beforeAutospacing="1" w:after="100" w:afterAutospacing="1"/>
    </w:pPr>
    <w:rPr>
      <w:rFonts w:hint="eastAsia" w:ascii="宋体" w:hAnsi="宋体"/>
      <w:szCs w:val="20"/>
    </w:rPr>
  </w:style>
  <w:style w:type="paragraph" w:customStyle="1" w:styleId="40">
    <w:name w:val="表表标题"/>
    <w:basedOn w:val="1"/>
    <w:autoRedefine/>
    <w:qFormat/>
    <w:uiPriority w:val="0"/>
    <w:pPr>
      <w:spacing w:beforeLines="50" w:line="300" w:lineRule="auto"/>
      <w:jc w:val="center"/>
    </w:pPr>
    <w:rPr>
      <w:b/>
    </w:rPr>
  </w:style>
  <w:style w:type="paragraph" w:customStyle="1" w:styleId="41">
    <w:name w:val="XN六级标题"/>
    <w:basedOn w:val="33"/>
    <w:autoRedefine/>
    <w:qFormat/>
    <w:uiPriority w:val="99"/>
    <w:pPr>
      <w:spacing w:afterLines="0" w:line="240" w:lineRule="auto"/>
      <w:outlineLvl w:val="5"/>
    </w:pPr>
    <w:rPr>
      <w:color w:val="000000"/>
    </w:rPr>
  </w:style>
  <w:style w:type="paragraph" w:customStyle="1" w:styleId="42">
    <w:name w:val="正文1"/>
    <w:basedOn w:val="1"/>
    <w:qFormat/>
    <w:uiPriority w:val="0"/>
    <w:pPr>
      <w:spacing w:line="360" w:lineRule="auto"/>
      <w:ind w:firstLine="480" w:firstLineChars="200"/>
    </w:pPr>
  </w:style>
  <w:style w:type="paragraph" w:customStyle="1" w:styleId="43">
    <w:name w:val="样式 加粗 居中 行距: 固定值 18 磅 图案: 清除 (强调文字颜色 5)"/>
    <w:basedOn w:val="1"/>
    <w:next w:val="1"/>
    <w:autoRedefine/>
    <w:qFormat/>
    <w:uiPriority w:val="0"/>
    <w:pPr>
      <w:shd w:val="clear" w:color="auto" w:fill="FFFFFF"/>
      <w:spacing w:line="300" w:lineRule="exact"/>
      <w:jc w:val="center"/>
    </w:pPr>
    <w:rPr>
      <w:rFonts w:cs="宋体"/>
      <w:b/>
      <w:bCs/>
      <w:szCs w:val="20"/>
    </w:rPr>
  </w:style>
  <w:style w:type="paragraph" w:customStyle="1" w:styleId="44">
    <w:name w:val="XN五级标题"/>
    <w:basedOn w:val="33"/>
    <w:autoRedefine/>
    <w:qFormat/>
    <w:uiPriority w:val="0"/>
    <w:pPr>
      <w:spacing w:afterLines="0" w:line="240" w:lineRule="auto"/>
      <w:outlineLvl w:val="4"/>
    </w:pPr>
  </w:style>
  <w:style w:type="paragraph" w:customStyle="1" w:styleId="45">
    <w:name w:val="普通文字"/>
    <w:basedOn w:val="38"/>
    <w:next w:val="38"/>
    <w:qFormat/>
    <w:uiPriority w:val="99"/>
    <w:rPr>
      <w:rFonts w:hAnsi="Calibri"/>
      <w:color w:val="auto"/>
      <w:szCs w:val="24"/>
    </w:rPr>
  </w:style>
  <w:style w:type="paragraph" w:customStyle="1" w:styleId="46">
    <w:name w:val="标题5"/>
    <w:basedOn w:val="6"/>
    <w:next w:val="1"/>
    <w:autoRedefine/>
    <w:qFormat/>
    <w:uiPriority w:val="0"/>
    <w:rPr>
      <w:rFonts w:eastAsia="黑体"/>
      <w:b w:val="0"/>
    </w:rPr>
  </w:style>
  <w:style w:type="paragraph" w:customStyle="1" w:styleId="47">
    <w:name w:val="普通文件"/>
    <w:basedOn w:val="1"/>
    <w:autoRedefine/>
    <w:qFormat/>
    <w:uiPriority w:val="0"/>
    <w:rPr>
      <w:color w:val="0000FF"/>
    </w:rPr>
  </w:style>
  <w:style w:type="paragraph" w:customStyle="1" w:styleId="48">
    <w:name w:val="段"/>
    <w:link w:val="49"/>
    <w:autoRedefine/>
    <w:qFormat/>
    <w:uiPriority w:val="99"/>
    <w:pPr>
      <w:tabs>
        <w:tab w:val="center" w:pos="4201"/>
        <w:tab w:val="right" w:leader="dot" w:pos="9298"/>
      </w:tabs>
      <w:autoSpaceDE w:val="0"/>
      <w:autoSpaceDN w:val="0"/>
      <w:ind w:firstLine="420" w:firstLineChars="200"/>
      <w:jc w:val="both"/>
    </w:pPr>
    <w:rPr>
      <w:rFonts w:ascii="宋体" w:hAnsi="Times New Roman" w:eastAsia="宋体" w:cs="Times New Roman"/>
      <w:kern w:val="2"/>
      <w:sz w:val="22"/>
      <w:szCs w:val="22"/>
      <w:lang w:val="en-US" w:eastAsia="zh-CN" w:bidi="ar-SA"/>
    </w:rPr>
  </w:style>
  <w:style w:type="character" w:customStyle="1" w:styleId="49">
    <w:name w:val="段 Char"/>
    <w:link w:val="48"/>
    <w:autoRedefine/>
    <w:qFormat/>
    <w:locked/>
    <w:uiPriority w:val="99"/>
    <w:rPr>
      <w:rFonts w:ascii="宋体"/>
      <w:kern w:val="2"/>
      <w:sz w:val="22"/>
      <w:szCs w:val="22"/>
    </w:rPr>
  </w:style>
  <w:style w:type="paragraph" w:customStyle="1" w:styleId="50">
    <w:name w:val="三级无"/>
    <w:basedOn w:val="1"/>
    <w:autoRedefine/>
    <w:qFormat/>
    <w:uiPriority w:val="0"/>
    <w:pPr>
      <w:spacing w:before="50" w:after="50"/>
      <w:ind w:left="2520" w:hanging="420"/>
      <w:outlineLvl w:val="4"/>
    </w:pPr>
    <w:rPr>
      <w:rFonts w:ascii="宋体"/>
      <w:sz w:val="21"/>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2" Type="http://schemas.openxmlformats.org/officeDocument/2006/relationships/fontTable" Target="fontTable.xml"/><Relationship Id="rId41" Type="http://schemas.openxmlformats.org/officeDocument/2006/relationships/numbering" Target="numbering.xml"/><Relationship Id="rId40" Type="http://schemas.openxmlformats.org/officeDocument/2006/relationships/customXml" Target="../customXml/item1.xml"/><Relationship Id="rId4" Type="http://schemas.openxmlformats.org/officeDocument/2006/relationships/footer" Target="footer1.xml"/><Relationship Id="rId39" Type="http://schemas.openxmlformats.org/officeDocument/2006/relationships/image" Target="media/image26.png"/><Relationship Id="rId38" Type="http://schemas.openxmlformats.org/officeDocument/2006/relationships/image" Target="media/image25.png"/><Relationship Id="rId37" Type="http://schemas.openxmlformats.org/officeDocument/2006/relationships/image" Target="media/image24.png"/><Relationship Id="rId36" Type="http://schemas.openxmlformats.org/officeDocument/2006/relationships/image" Target="media/image23.png"/><Relationship Id="rId35" Type="http://schemas.openxmlformats.org/officeDocument/2006/relationships/image" Target="media/image22.png"/><Relationship Id="rId34" Type="http://schemas.openxmlformats.org/officeDocument/2006/relationships/image" Target="http://www.99zjw.cn/uploads/allimg/100312/1_100312101847_1.JPG" TargetMode="External"/><Relationship Id="rId33" Type="http://schemas.openxmlformats.org/officeDocument/2006/relationships/image" Target="media/image21.jpeg"/><Relationship Id="rId32" Type="http://schemas.openxmlformats.org/officeDocument/2006/relationships/image" Target="media/image20.jpeg"/><Relationship Id="rId31" Type="http://schemas.openxmlformats.org/officeDocument/2006/relationships/image" Target="media/image19.png"/><Relationship Id="rId30" Type="http://schemas.openxmlformats.org/officeDocument/2006/relationships/oleObject" Target="embeddings/oleObject3.bin"/><Relationship Id="rId3" Type="http://schemas.openxmlformats.org/officeDocument/2006/relationships/header" Target="header1.xml"/><Relationship Id="rId29" Type="http://schemas.openxmlformats.org/officeDocument/2006/relationships/image" Target="media/image18.png"/><Relationship Id="rId28" Type="http://schemas.openxmlformats.org/officeDocument/2006/relationships/image" Target="media/image17.png"/><Relationship Id="rId27" Type="http://schemas.openxmlformats.org/officeDocument/2006/relationships/image" Target="media/image16.emf"/><Relationship Id="rId26" Type="http://schemas.openxmlformats.org/officeDocument/2006/relationships/oleObject" Target="embeddings/oleObject2.bin"/><Relationship Id="rId25" Type="http://schemas.openxmlformats.org/officeDocument/2006/relationships/image" Target="media/image15.png"/><Relationship Id="rId24" Type="http://schemas.openxmlformats.org/officeDocument/2006/relationships/image" Target="media/image14.png"/><Relationship Id="rId23" Type="http://schemas.openxmlformats.org/officeDocument/2006/relationships/image" Target="media/image13.jpeg"/><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emf"/><Relationship Id="rId17" Type="http://schemas.openxmlformats.org/officeDocument/2006/relationships/oleObject" Target="embeddings/oleObject1.bin"/><Relationship Id="rId16" Type="http://schemas.openxmlformats.org/officeDocument/2006/relationships/image" Target="media/image7.png"/><Relationship Id="rId15" Type="http://schemas.openxmlformats.org/officeDocument/2006/relationships/image" Target="media/image6.jpe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97</Pages>
  <Words>248</Words>
  <Characters>407</Characters>
  <Lines>454</Lines>
  <Paragraphs>127</Paragraphs>
  <TotalTime>506</TotalTime>
  <ScaleCrop>false</ScaleCrop>
  <LinksUpToDate>false</LinksUpToDate>
  <CharactersWithSpaces>454</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lnuyasha</cp:lastModifiedBy>
  <cp:lastPrinted>2022-08-26T12:05:00Z</cp:lastPrinted>
  <dcterms:modified xsi:type="dcterms:W3CDTF">2026-07-27T05:00:42Z</dcterms:modified>
  <cp:revision>153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F1E9E0E0647D4BFD8A3C42E743415B61_13</vt:lpwstr>
  </property>
  <property fmtid="{D5CDD505-2E9C-101B-9397-08002B2CF9AE}" pid="4" name="KSOTemplateDocerSaveRecord">
    <vt:lpwstr>eyJoZGlkIjoiY2RhZjFhZWI0MGM5NzQ3OTljNTU3ODUwOGE2MmY2YWIiLCJ1c2VySWQiOiIzMzI4NjAzMjAifQ==</vt:lpwstr>
  </property>
</Properties>
</file>